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DF2" w:rsidRPr="009F0DF2" w:rsidRDefault="009F0DF2" w:rsidP="009F0DF2">
      <w:pPr>
        <w:jc w:val="center"/>
        <w:rPr>
          <w:b/>
          <w:snapToGrid w:val="0"/>
          <w:szCs w:val="24"/>
          <w:lang w:val="en-US" w:eastAsia="en-US"/>
        </w:rPr>
      </w:pPr>
      <w:r w:rsidRPr="009F0DF2">
        <w:rPr>
          <w:b/>
          <w:snapToGrid w:val="0"/>
          <w:szCs w:val="24"/>
          <w:lang w:val="en-US" w:eastAsia="en-US"/>
        </w:rPr>
        <w:t>AUSTRALIA AND NEW ZEALAND FOOD REGULATION MINISTERIAL COUNCIL</w:t>
      </w:r>
    </w:p>
    <w:p w:rsidR="009F0DF2" w:rsidRPr="009F0DF2" w:rsidRDefault="009F0DF2" w:rsidP="009F0DF2">
      <w:pPr>
        <w:rPr>
          <w:snapToGrid w:val="0"/>
          <w:lang w:val="en-US" w:eastAsia="en-US"/>
        </w:rPr>
      </w:pPr>
    </w:p>
    <w:p w:rsidR="009F0DF2" w:rsidRPr="009F0DF2" w:rsidRDefault="009F0DF2" w:rsidP="009F0DF2">
      <w:pPr>
        <w:jc w:val="center"/>
        <w:rPr>
          <w:b/>
          <w:snapToGrid w:val="0"/>
          <w:lang w:val="en-US" w:eastAsia="en-US"/>
        </w:rPr>
      </w:pPr>
      <w:r w:rsidRPr="009F0DF2">
        <w:rPr>
          <w:b/>
          <w:snapToGrid w:val="0"/>
          <w:lang w:val="en-US" w:eastAsia="en-US"/>
        </w:rPr>
        <w:t>3 JULY 2015</w:t>
      </w:r>
    </w:p>
    <w:p w:rsidR="009F0DF2" w:rsidRPr="009F0DF2" w:rsidRDefault="009F0DF2" w:rsidP="009F0DF2">
      <w:pPr>
        <w:rPr>
          <w:snapToGrid w:val="0"/>
          <w:lang w:val="en-US" w:eastAsia="en-US"/>
        </w:rPr>
      </w:pPr>
    </w:p>
    <w:p w:rsidR="009F0DF2" w:rsidRPr="00781FB1" w:rsidRDefault="009F0DF2" w:rsidP="009F0DF2">
      <w:pPr>
        <w:jc w:val="center"/>
        <w:rPr>
          <w:b/>
          <w:snapToGrid w:val="0"/>
          <w:sz w:val="28"/>
          <w:szCs w:val="28"/>
          <w:lang w:val="en-US" w:eastAsia="en-US"/>
        </w:rPr>
      </w:pPr>
      <w:r w:rsidRPr="00781FB1">
        <w:rPr>
          <w:b/>
          <w:snapToGrid w:val="0"/>
          <w:sz w:val="28"/>
          <w:szCs w:val="28"/>
          <w:lang w:val="en-US" w:eastAsia="en-US"/>
        </w:rPr>
        <w:t>REVIEW REQUEST FOR THE VARIATION TO STANDARD 1.3.2 THAT HAS RESULTED FROM APPLICATION A1090 - VOLUNTARY ADDITION OF VITAMIN D TO BREAKFAST CEREALS</w:t>
      </w:r>
    </w:p>
    <w:p w:rsidR="009F0DF2" w:rsidRPr="009F0DF2" w:rsidRDefault="009F0DF2" w:rsidP="009F0DF2">
      <w:pPr>
        <w:rPr>
          <w:snapToGrid w:val="0"/>
          <w:lang w:val="en-US" w:eastAsia="en-US"/>
        </w:rPr>
      </w:pPr>
    </w:p>
    <w:p w:rsidR="009F0DF2" w:rsidRPr="009F0DF2" w:rsidRDefault="009F0DF2" w:rsidP="00781FB1">
      <w:pPr>
        <w:ind w:left="142" w:right="282"/>
        <w:rPr>
          <w:snapToGrid w:val="0"/>
          <w:lang w:val="en-US" w:eastAsia="en-US"/>
        </w:rPr>
      </w:pPr>
      <w:r w:rsidRPr="009F0DF2">
        <w:rPr>
          <w:snapToGrid w:val="0"/>
          <w:lang w:val="en-US" w:eastAsia="en-US"/>
        </w:rPr>
        <w:t>The Australia and New Zealand Food Regulation Ministerial Council (Ministerial Council) has requested that Food Standards Australia New Zealand (FSANZ) review the variation to Standard 1.3.2 – that has resulted from consideration of Application A1090 - Voluntary addition of vitamin D to breakfast cereals.</w:t>
      </w:r>
    </w:p>
    <w:p w:rsidR="009F0DF2" w:rsidRPr="009F0DF2" w:rsidRDefault="009F0DF2" w:rsidP="00781FB1">
      <w:pPr>
        <w:ind w:left="142" w:right="282"/>
        <w:rPr>
          <w:snapToGrid w:val="0"/>
          <w:lang w:val="en-US" w:eastAsia="en-US"/>
        </w:rPr>
      </w:pPr>
    </w:p>
    <w:p w:rsidR="009F0DF2" w:rsidRPr="009F0DF2" w:rsidRDefault="009F0DF2" w:rsidP="00781FB1">
      <w:pPr>
        <w:ind w:left="142" w:right="282"/>
        <w:rPr>
          <w:snapToGrid w:val="0"/>
          <w:lang w:val="en-US" w:eastAsia="en-US"/>
        </w:rPr>
      </w:pPr>
      <w:r w:rsidRPr="009F0DF2">
        <w:rPr>
          <w:snapToGrid w:val="0"/>
          <w:lang w:val="en-US" w:eastAsia="en-US"/>
        </w:rPr>
        <w:t xml:space="preserve">The </w:t>
      </w:r>
      <w:proofErr w:type="gramStart"/>
      <w:r w:rsidRPr="009F0DF2">
        <w:rPr>
          <w:snapToGrid w:val="0"/>
          <w:lang w:val="en-US" w:eastAsia="en-US"/>
        </w:rPr>
        <w:t>grounds for the review of the variation to Standard 1.3.2 is</w:t>
      </w:r>
      <w:proofErr w:type="gramEnd"/>
      <w:r w:rsidRPr="009F0DF2">
        <w:rPr>
          <w:snapToGrid w:val="0"/>
          <w:lang w:val="en-US" w:eastAsia="en-US"/>
        </w:rPr>
        <w:t xml:space="preserve"> that it does not have sufficient regard for the ‘Ministerial Policy Guideline for the Fortification of Food with Vitamins and Minerals’ (the Policy Guideline). </w:t>
      </w:r>
    </w:p>
    <w:p w:rsidR="009F0DF2" w:rsidRPr="009F0DF2" w:rsidRDefault="009F0DF2" w:rsidP="00781FB1">
      <w:pPr>
        <w:ind w:left="142" w:right="282"/>
        <w:rPr>
          <w:snapToGrid w:val="0"/>
          <w:lang w:val="en-US" w:eastAsia="en-US"/>
        </w:rPr>
      </w:pPr>
    </w:p>
    <w:p w:rsidR="009F0DF2" w:rsidRPr="009F0DF2" w:rsidRDefault="009F0DF2" w:rsidP="00781FB1">
      <w:pPr>
        <w:spacing w:after="120"/>
        <w:ind w:left="142" w:right="284"/>
        <w:rPr>
          <w:snapToGrid w:val="0"/>
          <w:lang w:val="en-US" w:eastAsia="en-US"/>
        </w:rPr>
      </w:pPr>
      <w:r w:rsidRPr="009F0DF2">
        <w:rPr>
          <w:snapToGrid w:val="0"/>
          <w:lang w:val="en-US" w:eastAsia="en-US"/>
        </w:rPr>
        <w:t>In particular:</w:t>
      </w:r>
    </w:p>
    <w:p w:rsidR="009F0DF2" w:rsidRPr="00781FB1" w:rsidRDefault="009F0DF2" w:rsidP="00781FB1">
      <w:pPr>
        <w:pStyle w:val="ListParagraph"/>
        <w:numPr>
          <w:ilvl w:val="0"/>
          <w:numId w:val="4"/>
        </w:numPr>
        <w:spacing w:after="120"/>
        <w:ind w:left="726" w:right="284" w:hanging="584"/>
        <w:contextualSpacing w:val="0"/>
        <w:rPr>
          <w:snapToGrid w:val="0"/>
          <w:lang w:val="en-US" w:eastAsia="en-US"/>
        </w:rPr>
      </w:pPr>
      <w:r w:rsidRPr="00781FB1">
        <w:rPr>
          <w:snapToGrid w:val="0"/>
          <w:lang w:val="en-US" w:eastAsia="en-US"/>
        </w:rPr>
        <w:t xml:space="preserve">Permission to fortify should not promote consumption patterns inconsistent with the nutrition policies and guidelines of Australia and New Zealand; </w:t>
      </w:r>
    </w:p>
    <w:p w:rsidR="009F0DF2" w:rsidRPr="00781FB1" w:rsidRDefault="009F0DF2" w:rsidP="00781FB1">
      <w:pPr>
        <w:pStyle w:val="ListParagraph"/>
        <w:numPr>
          <w:ilvl w:val="0"/>
          <w:numId w:val="4"/>
        </w:numPr>
        <w:spacing w:after="120"/>
        <w:ind w:left="726" w:right="284" w:hanging="584"/>
        <w:contextualSpacing w:val="0"/>
        <w:rPr>
          <w:snapToGrid w:val="0"/>
          <w:lang w:val="en-US" w:eastAsia="en-US"/>
        </w:rPr>
      </w:pPr>
      <w:r w:rsidRPr="00781FB1">
        <w:rPr>
          <w:snapToGrid w:val="0"/>
          <w:lang w:val="en-US" w:eastAsia="en-US"/>
        </w:rPr>
        <w:t xml:space="preserve">Permission to fortify should not promote increased consumption of foods high in salt, sugar or fat, or foods with little or no nutritional value that have no other demonstrated health benefit; and </w:t>
      </w:r>
    </w:p>
    <w:p w:rsidR="009F0DF2" w:rsidRPr="00781FB1" w:rsidRDefault="009F0DF2" w:rsidP="00781FB1">
      <w:pPr>
        <w:pStyle w:val="ListParagraph"/>
        <w:numPr>
          <w:ilvl w:val="0"/>
          <w:numId w:val="4"/>
        </w:numPr>
        <w:spacing w:after="120"/>
        <w:ind w:left="726" w:right="284" w:hanging="584"/>
        <w:contextualSpacing w:val="0"/>
        <w:rPr>
          <w:snapToGrid w:val="0"/>
          <w:lang w:val="en-US" w:eastAsia="en-US"/>
        </w:rPr>
      </w:pPr>
      <w:r w:rsidRPr="00781FB1">
        <w:rPr>
          <w:snapToGrid w:val="0"/>
          <w:lang w:val="en-US" w:eastAsia="en-US"/>
        </w:rPr>
        <w:t>The fortification of a food, and the amounts of fortification in the food, should not mislead the consumer as to the nutritional quality of the fortified food.</w:t>
      </w:r>
    </w:p>
    <w:p w:rsidR="009F0DF2" w:rsidRPr="009F0DF2" w:rsidRDefault="009F0DF2" w:rsidP="00781FB1">
      <w:pPr>
        <w:ind w:left="142" w:right="282"/>
        <w:rPr>
          <w:snapToGrid w:val="0"/>
          <w:lang w:val="en-US" w:eastAsia="en-US"/>
        </w:rPr>
      </w:pPr>
    </w:p>
    <w:p w:rsidR="009F0DF2" w:rsidRPr="009F0DF2" w:rsidRDefault="009F0DF2" w:rsidP="00781FB1">
      <w:pPr>
        <w:ind w:left="142" w:right="282"/>
        <w:rPr>
          <w:snapToGrid w:val="0"/>
          <w:lang w:val="en-US" w:eastAsia="en-US"/>
        </w:rPr>
      </w:pPr>
      <w:r w:rsidRPr="009F0DF2">
        <w:rPr>
          <w:snapToGrid w:val="0"/>
          <w:lang w:val="en-US" w:eastAsia="en-US"/>
        </w:rPr>
        <w:t>The Ministerial Council also agreed that the Policy Guideline will be clarified in conjunction with the FSANZ review, including options for the use of nutrient criteria to ensure that nutritionally-poor cereals are not to be fortified with further vitamins and minerals.</w:t>
      </w:r>
    </w:p>
    <w:p w:rsidR="009F0DF2" w:rsidRPr="009F0DF2" w:rsidRDefault="009F0DF2" w:rsidP="00781FB1">
      <w:pPr>
        <w:ind w:left="142" w:right="282"/>
        <w:rPr>
          <w:snapToGrid w:val="0"/>
          <w:lang w:val="en-US" w:eastAsia="en-US"/>
        </w:rPr>
      </w:pPr>
    </w:p>
    <w:p w:rsidR="009F0DF2" w:rsidRPr="009F0DF2" w:rsidRDefault="009F0DF2" w:rsidP="00781FB1">
      <w:pPr>
        <w:ind w:left="142" w:right="282"/>
        <w:rPr>
          <w:snapToGrid w:val="0"/>
          <w:lang w:val="en-US" w:eastAsia="en-US"/>
        </w:rPr>
      </w:pPr>
      <w:r w:rsidRPr="009F0DF2">
        <w:rPr>
          <w:snapToGrid w:val="0"/>
          <w:lang w:val="en-US" w:eastAsia="en-US"/>
        </w:rPr>
        <w:t xml:space="preserve">FSANZ has until 12 May 2016 to finalise the review </w:t>
      </w:r>
      <w:r w:rsidR="00DB68DC">
        <w:rPr>
          <w:snapToGrid w:val="0"/>
          <w:lang w:val="en-US" w:eastAsia="en-US"/>
        </w:rPr>
        <w:t xml:space="preserve">of </w:t>
      </w:r>
      <w:r w:rsidRPr="009F0DF2">
        <w:rPr>
          <w:snapToGrid w:val="0"/>
          <w:lang w:val="en-US" w:eastAsia="en-US"/>
        </w:rPr>
        <w:t>the draft standard and re-affirm, re-affirm with amendments, or withdraw its approval of the draft standard.</w:t>
      </w:r>
    </w:p>
    <w:p w:rsidR="009F0DF2" w:rsidRPr="009F0DF2" w:rsidRDefault="009F0DF2" w:rsidP="00781FB1">
      <w:pPr>
        <w:ind w:left="142" w:right="282"/>
        <w:rPr>
          <w:snapToGrid w:val="0"/>
          <w:lang w:val="en-US" w:eastAsia="en-US"/>
        </w:rPr>
      </w:pPr>
    </w:p>
    <w:p w:rsidR="009F0DF2" w:rsidRPr="009F0DF2" w:rsidRDefault="009F0DF2" w:rsidP="00781FB1">
      <w:pPr>
        <w:ind w:left="142" w:right="282"/>
        <w:rPr>
          <w:snapToGrid w:val="0"/>
          <w:lang w:val="en-US" w:eastAsia="en-US"/>
        </w:rPr>
      </w:pPr>
    </w:p>
    <w:p w:rsidR="009F0DF2" w:rsidRPr="009F0DF2" w:rsidRDefault="009F0DF2" w:rsidP="00781FB1">
      <w:pPr>
        <w:ind w:left="142" w:right="282"/>
        <w:rPr>
          <w:snapToGrid w:val="0"/>
          <w:lang w:val="en-US" w:eastAsia="en-US"/>
        </w:rPr>
      </w:pPr>
      <w:r w:rsidRPr="009F0DF2">
        <w:rPr>
          <w:snapToGrid w:val="0"/>
          <w:lang w:val="en-US" w:eastAsia="en-US"/>
        </w:rPr>
        <w:t> </w:t>
      </w:r>
    </w:p>
    <w:p w:rsidR="009F0DF2" w:rsidRPr="009F0DF2" w:rsidRDefault="009F0DF2" w:rsidP="00781FB1">
      <w:pPr>
        <w:ind w:left="142" w:right="282"/>
        <w:rPr>
          <w:snapToGrid w:val="0"/>
          <w:lang w:val="en-US" w:eastAsia="en-US"/>
        </w:rPr>
      </w:pPr>
      <w:r w:rsidRPr="009F0DF2">
        <w:rPr>
          <w:snapToGrid w:val="0"/>
          <w:lang w:val="en-US" w:eastAsia="en-US"/>
        </w:rPr>
        <w:br w:type="page"/>
      </w:r>
    </w:p>
    <w:p w:rsidR="009F0DF2" w:rsidRPr="00DB68DC" w:rsidRDefault="009F0DF2" w:rsidP="00781FB1">
      <w:pPr>
        <w:ind w:left="142" w:right="282"/>
        <w:rPr>
          <w:b/>
          <w:snapToGrid w:val="0"/>
          <w:lang w:val="en-US" w:eastAsia="en-US"/>
        </w:rPr>
      </w:pPr>
      <w:r w:rsidRPr="00DB68DC">
        <w:rPr>
          <w:b/>
          <w:snapToGrid w:val="0"/>
          <w:lang w:val="en-US" w:eastAsia="en-US"/>
        </w:rPr>
        <w:lastRenderedPageBreak/>
        <w:t>The process for requesting a review</w:t>
      </w:r>
    </w:p>
    <w:p w:rsidR="009F0DF2" w:rsidRPr="009F0DF2" w:rsidRDefault="009F0DF2" w:rsidP="00781FB1">
      <w:pPr>
        <w:ind w:left="142" w:right="282"/>
        <w:rPr>
          <w:snapToGrid w:val="0"/>
          <w:lang w:val="en-US" w:eastAsia="en-US"/>
        </w:rPr>
      </w:pPr>
    </w:p>
    <w:p w:rsidR="009F0DF2" w:rsidRPr="009F0DF2" w:rsidRDefault="009F0DF2" w:rsidP="00781FB1">
      <w:pPr>
        <w:ind w:left="142" w:right="282"/>
        <w:rPr>
          <w:snapToGrid w:val="0"/>
          <w:lang w:val="en-US" w:eastAsia="en-US"/>
        </w:rPr>
      </w:pPr>
      <w:r w:rsidRPr="009F0DF2">
        <w:rPr>
          <w:snapToGrid w:val="0"/>
          <w:lang w:val="en-US" w:eastAsia="en-US"/>
        </w:rPr>
        <w:t>After Food Standards Australia New Zealand (FSANZ) notifies the Australia and New Zealand Food Regulation Ministerial Council (the Ministerial Council) of a draft standard or variation the Ministerial Council may request a review if the Ministerial Council believes that one or more of the Criteria/Ground/s  set out in the Food Regulation Agreement 2000 (as amended in 2008) (the Agreement) or the Agreement between the Government of Australia and the Government of New Zealand concerning a Joint Food Standards System (the Treaty) applies. The Criteria / Ground/s set out in the Agreement and in the Treaty are:</w:t>
      </w:r>
    </w:p>
    <w:p w:rsidR="009F0DF2" w:rsidRPr="009F0DF2" w:rsidRDefault="009F0DF2" w:rsidP="00DB68DC">
      <w:pPr>
        <w:ind w:left="851" w:right="282" w:hanging="709"/>
        <w:rPr>
          <w:snapToGrid w:val="0"/>
          <w:lang w:val="en-US" w:eastAsia="en-US"/>
        </w:rPr>
      </w:pPr>
      <w:r w:rsidRPr="009F0DF2">
        <w:rPr>
          <w:snapToGrid w:val="0"/>
          <w:lang w:val="en-US" w:eastAsia="en-US"/>
        </w:rPr>
        <w:t>(</w:t>
      </w:r>
      <w:proofErr w:type="spellStart"/>
      <w:r w:rsidRPr="009F0DF2">
        <w:rPr>
          <w:snapToGrid w:val="0"/>
          <w:lang w:val="en-US" w:eastAsia="en-US"/>
        </w:rPr>
        <w:t>i</w:t>
      </w:r>
      <w:proofErr w:type="spellEnd"/>
      <w:r w:rsidRPr="009F0DF2">
        <w:rPr>
          <w:snapToGrid w:val="0"/>
          <w:lang w:val="en-US" w:eastAsia="en-US"/>
        </w:rPr>
        <w:t xml:space="preserve">) </w:t>
      </w:r>
      <w:r w:rsidRPr="009F0DF2">
        <w:rPr>
          <w:snapToGrid w:val="0"/>
          <w:lang w:val="en-US" w:eastAsia="en-US"/>
        </w:rPr>
        <w:tab/>
      </w:r>
      <w:proofErr w:type="gramStart"/>
      <w:r w:rsidRPr="009F0DF2">
        <w:rPr>
          <w:snapToGrid w:val="0"/>
          <w:lang w:val="en-US" w:eastAsia="en-US"/>
        </w:rPr>
        <w:t>it</w:t>
      </w:r>
      <w:proofErr w:type="gramEnd"/>
      <w:r w:rsidRPr="009F0DF2">
        <w:rPr>
          <w:snapToGrid w:val="0"/>
          <w:lang w:val="en-US" w:eastAsia="en-US"/>
        </w:rPr>
        <w:t xml:space="preserve"> is not consistent with existing policy guidelines set by the Ministerial Council;</w:t>
      </w:r>
    </w:p>
    <w:p w:rsidR="009F0DF2" w:rsidRPr="009F0DF2" w:rsidRDefault="009F0DF2" w:rsidP="00DB68DC">
      <w:pPr>
        <w:ind w:left="851" w:right="282" w:hanging="709"/>
        <w:rPr>
          <w:snapToGrid w:val="0"/>
          <w:lang w:val="en-US" w:eastAsia="en-US"/>
        </w:rPr>
      </w:pPr>
      <w:r w:rsidRPr="009F0DF2">
        <w:rPr>
          <w:snapToGrid w:val="0"/>
          <w:lang w:val="en-US" w:eastAsia="en-US"/>
        </w:rPr>
        <w:t xml:space="preserve">(ii) </w:t>
      </w:r>
      <w:r w:rsidRPr="009F0DF2">
        <w:rPr>
          <w:snapToGrid w:val="0"/>
          <w:lang w:val="en-US" w:eastAsia="en-US"/>
        </w:rPr>
        <w:tab/>
      </w:r>
      <w:proofErr w:type="gramStart"/>
      <w:r w:rsidRPr="009F0DF2">
        <w:rPr>
          <w:snapToGrid w:val="0"/>
          <w:lang w:val="en-US" w:eastAsia="en-US"/>
        </w:rPr>
        <w:t>it</w:t>
      </w:r>
      <w:proofErr w:type="gramEnd"/>
      <w:r w:rsidRPr="009F0DF2">
        <w:rPr>
          <w:snapToGrid w:val="0"/>
          <w:lang w:val="en-US" w:eastAsia="en-US"/>
        </w:rPr>
        <w:t xml:space="preserve"> is not consistent with the objectives of the legislation which establishes FSANZ;</w:t>
      </w:r>
    </w:p>
    <w:p w:rsidR="009F0DF2" w:rsidRPr="009F0DF2" w:rsidRDefault="009F0DF2" w:rsidP="00DB68DC">
      <w:pPr>
        <w:ind w:left="851" w:right="282" w:hanging="709"/>
        <w:rPr>
          <w:snapToGrid w:val="0"/>
          <w:lang w:val="en-US" w:eastAsia="en-US"/>
        </w:rPr>
      </w:pPr>
      <w:r w:rsidRPr="009F0DF2">
        <w:rPr>
          <w:snapToGrid w:val="0"/>
          <w:lang w:val="en-US" w:eastAsia="en-US"/>
        </w:rPr>
        <w:t xml:space="preserve">(iii) </w:t>
      </w:r>
      <w:r w:rsidRPr="009F0DF2">
        <w:rPr>
          <w:snapToGrid w:val="0"/>
          <w:lang w:val="en-US" w:eastAsia="en-US"/>
        </w:rPr>
        <w:tab/>
      </w:r>
      <w:proofErr w:type="gramStart"/>
      <w:r w:rsidRPr="009F0DF2">
        <w:rPr>
          <w:snapToGrid w:val="0"/>
          <w:lang w:val="en-US" w:eastAsia="en-US"/>
        </w:rPr>
        <w:t>it</w:t>
      </w:r>
      <w:proofErr w:type="gramEnd"/>
      <w:r w:rsidRPr="009F0DF2">
        <w:rPr>
          <w:snapToGrid w:val="0"/>
          <w:lang w:val="en-US" w:eastAsia="en-US"/>
        </w:rPr>
        <w:t xml:space="preserve"> does not protect public health and safety;</w:t>
      </w:r>
    </w:p>
    <w:p w:rsidR="009F0DF2" w:rsidRPr="009F0DF2" w:rsidRDefault="009F0DF2" w:rsidP="00DB68DC">
      <w:pPr>
        <w:ind w:left="851" w:right="282" w:hanging="709"/>
        <w:rPr>
          <w:snapToGrid w:val="0"/>
          <w:lang w:val="en-US" w:eastAsia="en-US"/>
        </w:rPr>
      </w:pPr>
      <w:r w:rsidRPr="009F0DF2">
        <w:rPr>
          <w:snapToGrid w:val="0"/>
          <w:lang w:val="en-US" w:eastAsia="en-US"/>
        </w:rPr>
        <w:t xml:space="preserve">(iv) </w:t>
      </w:r>
      <w:r w:rsidRPr="009F0DF2">
        <w:rPr>
          <w:snapToGrid w:val="0"/>
          <w:lang w:val="en-US" w:eastAsia="en-US"/>
        </w:rPr>
        <w:tab/>
      </w:r>
      <w:proofErr w:type="gramStart"/>
      <w:r w:rsidRPr="009F0DF2">
        <w:rPr>
          <w:snapToGrid w:val="0"/>
          <w:lang w:val="en-US" w:eastAsia="en-US"/>
        </w:rPr>
        <w:t>it</w:t>
      </w:r>
      <w:proofErr w:type="gramEnd"/>
      <w:r w:rsidRPr="009F0DF2">
        <w:rPr>
          <w:snapToGrid w:val="0"/>
          <w:lang w:val="en-US" w:eastAsia="en-US"/>
        </w:rPr>
        <w:t xml:space="preserve"> does not promote consistency between domestic and international food standards</w:t>
      </w:r>
      <w:r w:rsidR="00DB68DC">
        <w:rPr>
          <w:snapToGrid w:val="0"/>
          <w:lang w:val="en-US" w:eastAsia="en-US"/>
        </w:rPr>
        <w:t xml:space="preserve"> </w:t>
      </w:r>
      <w:r w:rsidRPr="009F0DF2">
        <w:rPr>
          <w:snapToGrid w:val="0"/>
          <w:lang w:val="en-US" w:eastAsia="en-US"/>
        </w:rPr>
        <w:t>where these are at variance;</w:t>
      </w:r>
    </w:p>
    <w:p w:rsidR="009F0DF2" w:rsidRPr="009F0DF2" w:rsidRDefault="009F0DF2" w:rsidP="00DB68DC">
      <w:pPr>
        <w:ind w:left="851" w:right="282" w:hanging="709"/>
        <w:rPr>
          <w:snapToGrid w:val="0"/>
          <w:lang w:val="en-US" w:eastAsia="en-US"/>
        </w:rPr>
      </w:pPr>
      <w:r w:rsidRPr="009F0DF2">
        <w:rPr>
          <w:snapToGrid w:val="0"/>
          <w:lang w:val="en-US" w:eastAsia="en-US"/>
        </w:rPr>
        <w:t xml:space="preserve">(v) </w:t>
      </w:r>
      <w:r w:rsidRPr="009F0DF2">
        <w:rPr>
          <w:snapToGrid w:val="0"/>
          <w:lang w:val="en-US" w:eastAsia="en-US"/>
        </w:rPr>
        <w:tab/>
      </w:r>
      <w:proofErr w:type="gramStart"/>
      <w:r w:rsidRPr="009F0DF2">
        <w:rPr>
          <w:snapToGrid w:val="0"/>
          <w:lang w:val="en-US" w:eastAsia="en-US"/>
        </w:rPr>
        <w:t>it</w:t>
      </w:r>
      <w:proofErr w:type="gramEnd"/>
      <w:r w:rsidRPr="009F0DF2">
        <w:rPr>
          <w:snapToGrid w:val="0"/>
          <w:lang w:val="en-US" w:eastAsia="en-US"/>
        </w:rPr>
        <w:t xml:space="preserve"> does not provide adequate information to enable informed choice;</w:t>
      </w:r>
    </w:p>
    <w:p w:rsidR="009F0DF2" w:rsidRPr="009F0DF2" w:rsidRDefault="009F0DF2" w:rsidP="00DB68DC">
      <w:pPr>
        <w:ind w:left="851" w:right="282" w:hanging="709"/>
        <w:rPr>
          <w:snapToGrid w:val="0"/>
          <w:lang w:val="en-US" w:eastAsia="en-US"/>
        </w:rPr>
      </w:pPr>
      <w:r w:rsidRPr="009F0DF2">
        <w:rPr>
          <w:snapToGrid w:val="0"/>
          <w:lang w:val="en-US" w:eastAsia="en-US"/>
        </w:rPr>
        <w:t xml:space="preserve">(vi) </w:t>
      </w:r>
      <w:r w:rsidRPr="009F0DF2">
        <w:rPr>
          <w:snapToGrid w:val="0"/>
          <w:lang w:val="en-US" w:eastAsia="en-US"/>
        </w:rPr>
        <w:tab/>
      </w:r>
      <w:proofErr w:type="gramStart"/>
      <w:r w:rsidRPr="009F0DF2">
        <w:rPr>
          <w:snapToGrid w:val="0"/>
          <w:lang w:val="en-US" w:eastAsia="en-US"/>
        </w:rPr>
        <w:t>it</w:t>
      </w:r>
      <w:proofErr w:type="gramEnd"/>
      <w:r w:rsidRPr="009F0DF2">
        <w:rPr>
          <w:snapToGrid w:val="0"/>
          <w:lang w:val="en-US" w:eastAsia="en-US"/>
        </w:rPr>
        <w:t xml:space="preserve"> is difficult to enforce or comply with in both practical or resource terms; and / or</w:t>
      </w:r>
    </w:p>
    <w:p w:rsidR="009F0DF2" w:rsidRPr="009F0DF2" w:rsidRDefault="009F0DF2" w:rsidP="00DB68DC">
      <w:pPr>
        <w:ind w:left="851" w:right="282" w:hanging="709"/>
        <w:rPr>
          <w:snapToGrid w:val="0"/>
          <w:lang w:val="en-US" w:eastAsia="en-US"/>
        </w:rPr>
      </w:pPr>
      <w:r w:rsidRPr="009F0DF2">
        <w:rPr>
          <w:snapToGrid w:val="0"/>
          <w:lang w:val="en-US" w:eastAsia="en-US"/>
        </w:rPr>
        <w:t xml:space="preserve">(vii) </w:t>
      </w:r>
      <w:proofErr w:type="gramStart"/>
      <w:r w:rsidRPr="009F0DF2">
        <w:rPr>
          <w:snapToGrid w:val="0"/>
          <w:lang w:val="en-US" w:eastAsia="en-US"/>
        </w:rPr>
        <w:t>it</w:t>
      </w:r>
      <w:proofErr w:type="gramEnd"/>
      <w:r w:rsidRPr="009F0DF2">
        <w:rPr>
          <w:snapToGrid w:val="0"/>
          <w:lang w:val="en-US" w:eastAsia="en-US"/>
        </w:rPr>
        <w:t xml:space="preserve"> places an unreasonable cost burden on industry or consumers.</w:t>
      </w:r>
    </w:p>
    <w:p w:rsidR="00DB68DC" w:rsidRDefault="00DB68DC" w:rsidP="00781FB1">
      <w:pPr>
        <w:ind w:left="142" w:right="282"/>
        <w:rPr>
          <w:snapToGrid w:val="0"/>
          <w:lang w:val="en-US" w:eastAsia="en-US"/>
        </w:rPr>
      </w:pPr>
    </w:p>
    <w:p w:rsidR="00003743" w:rsidRPr="009F0DF2" w:rsidRDefault="009F0DF2" w:rsidP="00781FB1">
      <w:pPr>
        <w:ind w:left="142" w:right="282"/>
        <w:rPr>
          <w:rStyle w:val="IntenseReference"/>
          <w:b w:val="0"/>
          <w:bCs w:val="0"/>
          <w:i/>
          <w:smallCaps w:val="0"/>
          <w:color w:val="auto"/>
          <w:spacing w:val="0"/>
        </w:rPr>
      </w:pPr>
      <w:r w:rsidRPr="009F0DF2">
        <w:rPr>
          <w:snapToGrid w:val="0"/>
          <w:lang w:val="en-US" w:eastAsia="en-US"/>
        </w:rPr>
        <w:t>In exercising this power the Ministerial Council must comply with the Agreement and the Treaty. Under the Agreement the Ministerial Council will request a review if the Ministerial Council considers that one or more of the Criteria applies. The Ministerial Council would also, at this point in the process, request a review if New Zealand notifies the Ministerial Council of concerns that the standard would be inappropriate for New Zealand (Annex C(2) of the Treaty).</w:t>
      </w:r>
      <w:bookmarkStart w:id="0" w:name="_GoBack"/>
      <w:bookmarkEnd w:id="0"/>
      <w:r w:rsidR="00043841" w:rsidRPr="009F0DF2">
        <w:rPr>
          <w:rStyle w:val="IntenseReference"/>
          <w:b w:val="0"/>
          <w:bCs w:val="0"/>
          <w:i/>
          <w:smallCaps w:val="0"/>
          <w:color w:val="auto"/>
          <w:spacing w:val="0"/>
        </w:rPr>
        <w:t xml:space="preserve"> </w:t>
      </w:r>
    </w:p>
    <w:sectPr w:rsidR="00003743" w:rsidRPr="009F0DF2" w:rsidSect="00781FB1">
      <w:pgSz w:w="11906" w:h="16838"/>
      <w:pgMar w:top="1440" w:right="1134" w:bottom="144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9643C"/>
    <w:multiLevelType w:val="hybridMultilevel"/>
    <w:tmpl w:val="B8504F64"/>
    <w:lvl w:ilvl="0" w:tplc="543874AE">
      <w:numFmt w:val="bullet"/>
      <w:lvlText w:val="-"/>
      <w:lvlJc w:val="left"/>
      <w:pPr>
        <w:ind w:left="727" w:hanging="585"/>
      </w:pPr>
      <w:rPr>
        <w:rFonts w:ascii="Times New Roman" w:eastAsia="Times New Roman" w:hAnsi="Times New Roman" w:cs="Times New Roman"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1">
    <w:nsid w:val="442209A7"/>
    <w:multiLevelType w:val="hybridMultilevel"/>
    <w:tmpl w:val="D5F0D2EA"/>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2">
    <w:nsid w:val="4E376689"/>
    <w:multiLevelType w:val="hybridMultilevel"/>
    <w:tmpl w:val="E1483602"/>
    <w:lvl w:ilvl="0" w:tplc="ECFC2BF0">
      <w:start w:val="4"/>
      <w:numFmt w:val="bullet"/>
      <w:lvlText w:val="-"/>
      <w:lvlJc w:val="left"/>
      <w:pPr>
        <w:tabs>
          <w:tab w:val="num" w:pos="360"/>
        </w:tabs>
        <w:ind w:left="360" w:hanging="360"/>
      </w:pPr>
      <w:rPr>
        <w:rFonts w:ascii="Times New Roman" w:eastAsia="Times New Roman" w:hAnsi="Times New Roman" w:cs="Times New Roman"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3">
    <w:nsid w:val="616B1F2F"/>
    <w:multiLevelType w:val="hybridMultilevel"/>
    <w:tmpl w:val="E6EA526E"/>
    <w:lvl w:ilvl="0" w:tplc="45009DD4">
      <w:start w:val="1"/>
      <w:numFmt w:val="bullet"/>
      <w:lvlText w:val="-"/>
      <w:lvlJc w:val="left"/>
      <w:pPr>
        <w:ind w:left="360" w:hanging="360"/>
      </w:pPr>
      <w:rPr>
        <w:rFonts w:ascii="Courier New" w:hAnsi="Courier New" w:hint="default"/>
      </w:rPr>
    </w:lvl>
    <w:lvl w:ilvl="1" w:tplc="45009DD4">
      <w:start w:val="1"/>
      <w:numFmt w:val="bullet"/>
      <w:lvlText w:val="-"/>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31F"/>
    <w:rsid w:val="00003743"/>
    <w:rsid w:val="00043841"/>
    <w:rsid w:val="00044A25"/>
    <w:rsid w:val="00067456"/>
    <w:rsid w:val="001B3443"/>
    <w:rsid w:val="0030786C"/>
    <w:rsid w:val="00380B7D"/>
    <w:rsid w:val="003D17F9"/>
    <w:rsid w:val="004867E2"/>
    <w:rsid w:val="00524CED"/>
    <w:rsid w:val="0060277C"/>
    <w:rsid w:val="006627F9"/>
    <w:rsid w:val="006F4B10"/>
    <w:rsid w:val="00781FB1"/>
    <w:rsid w:val="008264EB"/>
    <w:rsid w:val="009B631F"/>
    <w:rsid w:val="009F0DF2"/>
    <w:rsid w:val="00A4512D"/>
    <w:rsid w:val="00A705AF"/>
    <w:rsid w:val="00B42851"/>
    <w:rsid w:val="00C17D8A"/>
    <w:rsid w:val="00CB5B1A"/>
    <w:rsid w:val="00D10935"/>
    <w:rsid w:val="00DB68DC"/>
    <w:rsid w:val="00FF64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277C"/>
    <w:rPr>
      <w:sz w:val="24"/>
    </w:rPr>
  </w:style>
  <w:style w:type="paragraph" w:styleId="Heading1">
    <w:name w:val="heading 1"/>
    <w:basedOn w:val="Normal"/>
    <w:next w:val="Normal"/>
    <w:uiPriority w:val="9"/>
    <w:qFormat/>
    <w:rsid w:val="00A705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uiPriority w:val="9"/>
    <w:semiHidden/>
    <w:unhideWhenUsed/>
    <w:qFormat/>
    <w:rsid w:val="00A705A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rsid w:val="00A705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rsid w:val="00A705A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rsid w:val="00A705A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unhideWhenUsed/>
    <w:qFormat/>
    <w:rsid w:val="00A705A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705AF"/>
    <w:rPr>
      <w:i/>
      <w:iCs/>
    </w:rPr>
  </w:style>
  <w:style w:type="character" w:styleId="Strong">
    <w:name w:val="Strong"/>
    <w:basedOn w:val="DefaultParagraphFont"/>
    <w:uiPriority w:val="22"/>
    <w:qFormat/>
    <w:rsid w:val="00A705AF"/>
    <w:rPr>
      <w:b/>
      <w:bCs/>
    </w:rPr>
  </w:style>
  <w:style w:type="paragraph" w:styleId="Subtitle">
    <w:name w:val="Subtitle"/>
    <w:basedOn w:val="Normal"/>
    <w:next w:val="Normal"/>
    <w:link w:val="SubtitleChar"/>
    <w:uiPriority w:val="11"/>
    <w:qFormat/>
    <w:rsid w:val="00A705A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A705AF"/>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qFormat/>
    <w:rsid w:val="00A705A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705A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4512D"/>
    <w:rPr>
      <w:sz w:val="24"/>
    </w:rPr>
  </w:style>
  <w:style w:type="character" w:styleId="SubtleEmphasis">
    <w:name w:val="Subtle Emphasis"/>
    <w:basedOn w:val="DefaultParagraphFont"/>
    <w:uiPriority w:val="19"/>
    <w:qFormat/>
    <w:rsid w:val="00A4512D"/>
    <w:rPr>
      <w:i/>
      <w:iCs/>
      <w:color w:val="808080" w:themeColor="text1" w:themeTint="7F"/>
    </w:rPr>
  </w:style>
  <w:style w:type="character" w:styleId="IntenseEmphasis">
    <w:name w:val="Intense Emphasis"/>
    <w:basedOn w:val="DefaultParagraphFont"/>
    <w:uiPriority w:val="21"/>
    <w:qFormat/>
    <w:rsid w:val="00A4512D"/>
    <w:rPr>
      <w:b/>
      <w:bCs/>
      <w:i/>
      <w:iCs/>
      <w:color w:val="4F81BD" w:themeColor="accent1"/>
    </w:rPr>
  </w:style>
  <w:style w:type="paragraph" w:styleId="Quote">
    <w:name w:val="Quote"/>
    <w:basedOn w:val="Normal"/>
    <w:next w:val="Normal"/>
    <w:link w:val="QuoteChar"/>
    <w:uiPriority w:val="29"/>
    <w:qFormat/>
    <w:rsid w:val="00A4512D"/>
    <w:rPr>
      <w:i/>
      <w:iCs/>
      <w:color w:val="000000" w:themeColor="text1"/>
    </w:rPr>
  </w:style>
  <w:style w:type="character" w:customStyle="1" w:styleId="QuoteChar">
    <w:name w:val="Quote Char"/>
    <w:basedOn w:val="DefaultParagraphFont"/>
    <w:link w:val="Quote"/>
    <w:uiPriority w:val="29"/>
    <w:rsid w:val="00A4512D"/>
    <w:rPr>
      <w:i/>
      <w:iCs/>
      <w:color w:val="000000" w:themeColor="text1"/>
      <w:sz w:val="24"/>
    </w:rPr>
  </w:style>
  <w:style w:type="paragraph" w:styleId="IntenseQuote">
    <w:name w:val="Intense Quote"/>
    <w:basedOn w:val="Normal"/>
    <w:next w:val="Normal"/>
    <w:link w:val="IntenseQuoteChar"/>
    <w:uiPriority w:val="30"/>
    <w:qFormat/>
    <w:rsid w:val="00A4512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4512D"/>
    <w:rPr>
      <w:b/>
      <w:bCs/>
      <w:i/>
      <w:iCs/>
      <w:color w:val="4F81BD" w:themeColor="accent1"/>
      <w:sz w:val="24"/>
    </w:rPr>
  </w:style>
  <w:style w:type="character" w:styleId="SubtleReference">
    <w:name w:val="Subtle Reference"/>
    <w:basedOn w:val="DefaultParagraphFont"/>
    <w:uiPriority w:val="31"/>
    <w:qFormat/>
    <w:rsid w:val="00A4512D"/>
    <w:rPr>
      <w:smallCaps/>
      <w:color w:val="C0504D" w:themeColor="accent2"/>
      <w:u w:val="single"/>
    </w:rPr>
  </w:style>
  <w:style w:type="character" w:styleId="IntenseReference">
    <w:name w:val="Intense Reference"/>
    <w:basedOn w:val="DefaultParagraphFont"/>
    <w:uiPriority w:val="32"/>
    <w:qFormat/>
    <w:rsid w:val="00A4512D"/>
    <w:rPr>
      <w:b/>
      <w:bCs/>
      <w:smallCaps/>
      <w:color w:val="C0504D" w:themeColor="accent2"/>
      <w:spacing w:val="5"/>
      <w:u w:val="single"/>
    </w:rPr>
  </w:style>
  <w:style w:type="character" w:styleId="BookTitle">
    <w:name w:val="Book Title"/>
    <w:basedOn w:val="DefaultParagraphFont"/>
    <w:uiPriority w:val="33"/>
    <w:qFormat/>
    <w:rsid w:val="00A4512D"/>
    <w:rPr>
      <w:b/>
      <w:bCs/>
      <w:smallCaps/>
      <w:spacing w:val="5"/>
    </w:rPr>
  </w:style>
  <w:style w:type="paragraph" w:styleId="ListParagraph">
    <w:name w:val="List Paragraph"/>
    <w:basedOn w:val="Normal"/>
    <w:uiPriority w:val="99"/>
    <w:qFormat/>
    <w:rsid w:val="00C17D8A"/>
    <w:pPr>
      <w:ind w:left="720"/>
      <w:contextualSpacing/>
    </w:pPr>
  </w:style>
  <w:style w:type="paragraph" w:styleId="Header">
    <w:name w:val="header"/>
    <w:basedOn w:val="Normal"/>
    <w:link w:val="HeaderChar"/>
    <w:rsid w:val="0060277C"/>
    <w:pPr>
      <w:widowControl w:val="0"/>
      <w:tabs>
        <w:tab w:val="center" w:pos="4153"/>
        <w:tab w:val="right" w:pos="8306"/>
      </w:tabs>
    </w:pPr>
    <w:rPr>
      <w:snapToGrid w:val="0"/>
      <w:lang w:val="en-US" w:eastAsia="en-US"/>
    </w:rPr>
  </w:style>
  <w:style w:type="character" w:customStyle="1" w:styleId="HeaderChar">
    <w:name w:val="Header Char"/>
    <w:basedOn w:val="DefaultParagraphFont"/>
    <w:link w:val="Header"/>
    <w:rsid w:val="0060277C"/>
    <w:rPr>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277C"/>
    <w:rPr>
      <w:sz w:val="24"/>
    </w:rPr>
  </w:style>
  <w:style w:type="paragraph" w:styleId="Heading1">
    <w:name w:val="heading 1"/>
    <w:basedOn w:val="Normal"/>
    <w:next w:val="Normal"/>
    <w:uiPriority w:val="9"/>
    <w:qFormat/>
    <w:rsid w:val="00A705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uiPriority w:val="9"/>
    <w:semiHidden/>
    <w:unhideWhenUsed/>
    <w:qFormat/>
    <w:rsid w:val="00A705A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rsid w:val="00A705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rsid w:val="00A705A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rsid w:val="00A705A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unhideWhenUsed/>
    <w:qFormat/>
    <w:rsid w:val="00A705A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705AF"/>
    <w:rPr>
      <w:i/>
      <w:iCs/>
    </w:rPr>
  </w:style>
  <w:style w:type="character" w:styleId="Strong">
    <w:name w:val="Strong"/>
    <w:basedOn w:val="DefaultParagraphFont"/>
    <w:uiPriority w:val="22"/>
    <w:qFormat/>
    <w:rsid w:val="00A705AF"/>
    <w:rPr>
      <w:b/>
      <w:bCs/>
    </w:rPr>
  </w:style>
  <w:style w:type="paragraph" w:styleId="Subtitle">
    <w:name w:val="Subtitle"/>
    <w:basedOn w:val="Normal"/>
    <w:next w:val="Normal"/>
    <w:link w:val="SubtitleChar"/>
    <w:uiPriority w:val="11"/>
    <w:qFormat/>
    <w:rsid w:val="00A705A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A705AF"/>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qFormat/>
    <w:rsid w:val="00A705A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705A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4512D"/>
    <w:rPr>
      <w:sz w:val="24"/>
    </w:rPr>
  </w:style>
  <w:style w:type="character" w:styleId="SubtleEmphasis">
    <w:name w:val="Subtle Emphasis"/>
    <w:basedOn w:val="DefaultParagraphFont"/>
    <w:uiPriority w:val="19"/>
    <w:qFormat/>
    <w:rsid w:val="00A4512D"/>
    <w:rPr>
      <w:i/>
      <w:iCs/>
      <w:color w:val="808080" w:themeColor="text1" w:themeTint="7F"/>
    </w:rPr>
  </w:style>
  <w:style w:type="character" w:styleId="IntenseEmphasis">
    <w:name w:val="Intense Emphasis"/>
    <w:basedOn w:val="DefaultParagraphFont"/>
    <w:uiPriority w:val="21"/>
    <w:qFormat/>
    <w:rsid w:val="00A4512D"/>
    <w:rPr>
      <w:b/>
      <w:bCs/>
      <w:i/>
      <w:iCs/>
      <w:color w:val="4F81BD" w:themeColor="accent1"/>
    </w:rPr>
  </w:style>
  <w:style w:type="paragraph" w:styleId="Quote">
    <w:name w:val="Quote"/>
    <w:basedOn w:val="Normal"/>
    <w:next w:val="Normal"/>
    <w:link w:val="QuoteChar"/>
    <w:uiPriority w:val="29"/>
    <w:qFormat/>
    <w:rsid w:val="00A4512D"/>
    <w:rPr>
      <w:i/>
      <w:iCs/>
      <w:color w:val="000000" w:themeColor="text1"/>
    </w:rPr>
  </w:style>
  <w:style w:type="character" w:customStyle="1" w:styleId="QuoteChar">
    <w:name w:val="Quote Char"/>
    <w:basedOn w:val="DefaultParagraphFont"/>
    <w:link w:val="Quote"/>
    <w:uiPriority w:val="29"/>
    <w:rsid w:val="00A4512D"/>
    <w:rPr>
      <w:i/>
      <w:iCs/>
      <w:color w:val="000000" w:themeColor="text1"/>
      <w:sz w:val="24"/>
    </w:rPr>
  </w:style>
  <w:style w:type="paragraph" w:styleId="IntenseQuote">
    <w:name w:val="Intense Quote"/>
    <w:basedOn w:val="Normal"/>
    <w:next w:val="Normal"/>
    <w:link w:val="IntenseQuoteChar"/>
    <w:uiPriority w:val="30"/>
    <w:qFormat/>
    <w:rsid w:val="00A4512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4512D"/>
    <w:rPr>
      <w:b/>
      <w:bCs/>
      <w:i/>
      <w:iCs/>
      <w:color w:val="4F81BD" w:themeColor="accent1"/>
      <w:sz w:val="24"/>
    </w:rPr>
  </w:style>
  <w:style w:type="character" w:styleId="SubtleReference">
    <w:name w:val="Subtle Reference"/>
    <w:basedOn w:val="DefaultParagraphFont"/>
    <w:uiPriority w:val="31"/>
    <w:qFormat/>
    <w:rsid w:val="00A4512D"/>
    <w:rPr>
      <w:smallCaps/>
      <w:color w:val="C0504D" w:themeColor="accent2"/>
      <w:u w:val="single"/>
    </w:rPr>
  </w:style>
  <w:style w:type="character" w:styleId="IntenseReference">
    <w:name w:val="Intense Reference"/>
    <w:basedOn w:val="DefaultParagraphFont"/>
    <w:uiPriority w:val="32"/>
    <w:qFormat/>
    <w:rsid w:val="00A4512D"/>
    <w:rPr>
      <w:b/>
      <w:bCs/>
      <w:smallCaps/>
      <w:color w:val="C0504D" w:themeColor="accent2"/>
      <w:spacing w:val="5"/>
      <w:u w:val="single"/>
    </w:rPr>
  </w:style>
  <w:style w:type="character" w:styleId="BookTitle">
    <w:name w:val="Book Title"/>
    <w:basedOn w:val="DefaultParagraphFont"/>
    <w:uiPriority w:val="33"/>
    <w:qFormat/>
    <w:rsid w:val="00A4512D"/>
    <w:rPr>
      <w:b/>
      <w:bCs/>
      <w:smallCaps/>
      <w:spacing w:val="5"/>
    </w:rPr>
  </w:style>
  <w:style w:type="paragraph" w:styleId="ListParagraph">
    <w:name w:val="List Paragraph"/>
    <w:basedOn w:val="Normal"/>
    <w:uiPriority w:val="99"/>
    <w:qFormat/>
    <w:rsid w:val="00C17D8A"/>
    <w:pPr>
      <w:ind w:left="720"/>
      <w:contextualSpacing/>
    </w:pPr>
  </w:style>
  <w:style w:type="paragraph" w:styleId="Header">
    <w:name w:val="header"/>
    <w:basedOn w:val="Normal"/>
    <w:link w:val="HeaderChar"/>
    <w:rsid w:val="0060277C"/>
    <w:pPr>
      <w:widowControl w:val="0"/>
      <w:tabs>
        <w:tab w:val="center" w:pos="4153"/>
        <w:tab w:val="right" w:pos="8306"/>
      </w:tabs>
    </w:pPr>
    <w:rPr>
      <w:snapToGrid w:val="0"/>
      <w:lang w:val="en-US" w:eastAsia="en-US"/>
    </w:rPr>
  </w:style>
  <w:style w:type="character" w:customStyle="1" w:styleId="HeaderChar">
    <w:name w:val="Header Char"/>
    <w:basedOn w:val="DefaultParagraphFont"/>
    <w:link w:val="Header"/>
    <w:rsid w:val="0060277C"/>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Dept Health And Ageing</Company>
  <LinksUpToDate>false</LinksUpToDate>
  <CharactersWithSpaces>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 Catherine</dc:creator>
  <cp:lastModifiedBy>Cornes Sarah</cp:lastModifiedBy>
  <cp:revision>3</cp:revision>
  <dcterms:created xsi:type="dcterms:W3CDTF">2016-01-20T04:44:00Z</dcterms:created>
  <dcterms:modified xsi:type="dcterms:W3CDTF">2016-01-20T04:46:00Z</dcterms:modified>
</cp:coreProperties>
</file>