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6885" w:rsidRPr="00A00B62" w:rsidRDefault="008D6885">
      <w:pPr>
        <w:rPr>
          <w:rFonts w:ascii="OpenSansRegular" w:hAnsi="OpenSansRegular" w:cs="OpenSansRegular"/>
        </w:rPr>
      </w:pPr>
      <w:r w:rsidRPr="00A00B62">
        <w:rPr>
          <w:rFonts w:ascii="OpenSansRegular" w:hAnsi="OpenSansRegular" w:cs="OpenSansRegular"/>
          <w:noProof/>
          <w:lang w:eastAsia="en-AU"/>
        </w:rPr>
        <mc:AlternateContent>
          <mc:Choice Requires="wps">
            <w:drawing>
              <wp:anchor distT="0" distB="0" distL="114300" distR="114300" simplePos="0" relativeHeight="251652608" behindDoc="0" locked="0" layoutInCell="1" allowOverlap="1" wp14:anchorId="5FB99E0D" wp14:editId="1CFFB723">
                <wp:simplePos x="0" y="0"/>
                <wp:positionH relativeFrom="margin">
                  <wp:posOffset>-922655</wp:posOffset>
                </wp:positionH>
                <wp:positionV relativeFrom="paragraph">
                  <wp:posOffset>-1303655</wp:posOffset>
                </wp:positionV>
                <wp:extent cx="7575550" cy="11212642"/>
                <wp:effectExtent l="0" t="0" r="25400" b="27305"/>
                <wp:wrapNone/>
                <wp:docPr id="1" name="Rectangle 1" descr="Black box"/>
                <wp:cNvGraphicFramePr/>
                <a:graphic xmlns:a="http://schemas.openxmlformats.org/drawingml/2006/main">
                  <a:graphicData uri="http://schemas.microsoft.com/office/word/2010/wordprocessingShape">
                    <wps:wsp>
                      <wps:cNvSpPr/>
                      <wps:spPr>
                        <a:xfrm>
                          <a:off x="0" y="0"/>
                          <a:ext cx="7575550" cy="11212642"/>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alt="Black box" style="position:absolute;margin-left:-72.65pt;margin-top:-102.65pt;width:596.5pt;height:882.9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" fillcolor="black [3200]" strokecolor="black [1600]" strokeweight="1pt">
                <w10:wrap anchorx="margin"/>
              </v:rect>
            </w:pict>
          </mc:Fallback>
        </mc:AlternateContent>
      </w:r>
      <w:r w:rsidRPr="00A00B62">
        <w:rPr>
          <w:rFonts w:ascii="OpenSansRegular" w:hAnsi="OpenSansRegular" w:cs="OpenSansRegular"/>
          <w:noProof/>
          <w:lang w:eastAsia="en-AU"/>
        </w:rPr>
        <w:drawing>
          <wp:anchor distT="0" distB="0" distL="114300" distR="114300" simplePos="0" relativeHeight="251655680" behindDoc="0" locked="0" layoutInCell="1" allowOverlap="1" wp14:anchorId="37304459" wp14:editId="5B7DC86D">
            <wp:simplePos x="0" y="0"/>
            <wp:positionH relativeFrom="column">
              <wp:posOffset>-412750</wp:posOffset>
            </wp:positionH>
            <wp:positionV relativeFrom="paragraph">
              <wp:posOffset>-411480</wp:posOffset>
            </wp:positionV>
            <wp:extent cx="1937385" cy="363855"/>
            <wp:effectExtent l="0" t="0" r="5715" b="0"/>
            <wp:wrapNone/>
            <wp:docPr id="20" name="Picture 20" descr="Image result for deloit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deloitte 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7385" cy="363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2B4F" w:rsidRDefault="00A23293">
      <w:pPr>
        <w:pStyle w:val="TOCHeading"/>
        <w:rPr>
          <w:rFonts w:ascii="OpenSansRegular" w:hAnsi="OpenSansRegular" w:cs="OpenSansRegular"/>
        </w:rPr>
      </w:pPr>
      <w:r>
        <w:rPr>
          <w:rFonts w:ascii="OpenSansRegular" w:hAnsi="OpenSansRegular" w:cs="OpenSansRegular"/>
          <w:noProof/>
          <w:lang w:val="en-AU" w:eastAsia="en-AU"/>
        </w:rPr>
        <w:drawing>
          <wp:anchor distT="0" distB="0" distL="114300" distR="114300" simplePos="0" relativeHeight="251663872" behindDoc="0" locked="0" layoutInCell="1" allowOverlap="1">
            <wp:simplePos x="0" y="0"/>
            <wp:positionH relativeFrom="margin">
              <wp:align>center</wp:align>
            </wp:positionH>
            <wp:positionV relativeFrom="paragraph">
              <wp:posOffset>820199</wp:posOffset>
            </wp:positionV>
            <wp:extent cx="5078730" cy="4954270"/>
            <wp:effectExtent l="57150" t="57150" r="45720" b="55880"/>
            <wp:wrapTopAndBottom/>
            <wp:docPr id="2" name="Picture 2" descr="Image: lab equipment - centrif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F1AT_TestTubes_A_lo.png"/>
                    <pic:cNvPicPr/>
                  </pic:nvPicPr>
                  <pic:blipFill rotWithShape="1">
                    <a:blip r:embed="rId10">
                      <a:extLst>
                        <a:ext uri="{28A0092B-C50C-407E-A947-70E740481C1C}">
                          <a14:useLocalDpi xmlns:a14="http://schemas.microsoft.com/office/drawing/2010/main" val="0"/>
                        </a:ext>
                      </a:extLst>
                    </a:blip>
                    <a:srcRect l="13147" t="13681" r="13436" b="14578"/>
                    <a:stretch/>
                  </pic:blipFill>
                  <pic:spPr bwMode="auto">
                    <a:xfrm>
                      <a:off x="0" y="0"/>
                      <a:ext cx="5078730" cy="4954270"/>
                    </a:xfrm>
                    <a:prstGeom prst="ellipse">
                      <a:avLst/>
                    </a:prstGeom>
                    <a:ln w="63500" cap="rnd" cmpd="sng" algn="ctr">
                      <a:noFill/>
                      <a:prstDash val="solid"/>
                      <a:round/>
                      <a:headEnd type="none" w="med" len="med"/>
                      <a:tailEnd type="none" w="med" len="med"/>
                    </a:ln>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86B" w:rsidRPr="00A00B62">
        <w:rPr>
          <w:rFonts w:ascii="OpenSansRegular" w:hAnsi="OpenSansRegular" w:cs="OpenSansRegular"/>
          <w:noProof/>
          <w:lang w:val="en-AU" w:eastAsia="en-AU"/>
        </w:rPr>
        <mc:AlternateContent>
          <mc:Choice Requires="wps">
            <w:drawing>
              <wp:anchor distT="0" distB="0" distL="114300" distR="114300" simplePos="0" relativeHeight="251656704" behindDoc="0" locked="0" layoutInCell="1" allowOverlap="1" wp14:anchorId="159D09E6" wp14:editId="3E9B145B">
                <wp:simplePos x="0" y="0"/>
                <wp:positionH relativeFrom="margin">
                  <wp:posOffset>-412750</wp:posOffset>
                </wp:positionH>
                <wp:positionV relativeFrom="paragraph">
                  <wp:posOffset>6398895</wp:posOffset>
                </wp:positionV>
                <wp:extent cx="5721350" cy="1666240"/>
                <wp:effectExtent l="0" t="0" r="0" b="0"/>
                <wp:wrapNone/>
                <wp:docPr id="7" name="Subtitle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bwMode="gray">
                        <a:xfrm>
                          <a:off x="0" y="0"/>
                          <a:ext cx="5721350" cy="1666240"/>
                        </a:xfrm>
                        <a:prstGeom prst="rect">
                          <a:avLst/>
                        </a:prstGeom>
                      </wps:spPr>
                      <wps:txbx>
                        <w:txbxContent>
                          <w:p w:rsidR="00AF4A89" w:rsidRPr="00ED06BD" w:rsidRDefault="00AF4A89" w:rsidP="0030786B">
                            <w:pPr>
                              <w:pStyle w:val="Bodycopy"/>
                              <w:spacing w:after="120"/>
                              <w:rPr>
                                <w:rFonts w:ascii="Verdana" w:hAnsi="Verdana" w:cs="OpenSansRegular"/>
                                <w:b/>
                                <w:sz w:val="32"/>
                              </w:rPr>
                            </w:pPr>
                            <w:r w:rsidRPr="00ED06BD">
                              <w:rPr>
                                <w:rFonts w:ascii="Verdana" w:hAnsi="Verdana" w:cs="OpenSansRegular"/>
                                <w:b/>
                                <w:bCs/>
                                <w:color w:val="FFFFFF" w:themeColor="background1"/>
                                <w:kern w:val="24"/>
                                <w:sz w:val="44"/>
                                <w:szCs w:val="36"/>
                              </w:rPr>
                              <w:t>Department of Health</w:t>
                            </w:r>
                          </w:p>
                          <w:p w:rsidR="00AF4A89" w:rsidRPr="00AE17ED" w:rsidRDefault="00AF4A89" w:rsidP="008D6885">
                            <w:pPr>
                              <w:spacing w:after="120"/>
                              <w:rPr>
                                <w:rFonts w:ascii="OpenSansRegular" w:hAnsi="OpenSansRegular" w:cs="OpenSansRegular"/>
                                <w:sz w:val="28"/>
                              </w:rPr>
                            </w:pPr>
                            <w:r>
                              <w:rPr>
                                <w:rFonts w:ascii="Verdana" w:hAnsi="Verdana" w:cs="OpenSansRegular"/>
                                <w:bCs/>
                                <w:color w:val="FFFFFF" w:themeColor="background1"/>
                                <w:kern w:val="24"/>
                                <w:sz w:val="40"/>
                                <w:szCs w:val="36"/>
                              </w:rPr>
                              <w:t>Sports Supplements Roundtable</w:t>
                            </w:r>
                            <w:proofErr w:type="gramStart"/>
                            <w:r w:rsidRPr="00ED06BD">
                              <w:rPr>
                                <w:rFonts w:ascii="Verdana" w:hAnsi="Verdana" w:cs="OpenSansRegular"/>
                                <w:bCs/>
                                <w:color w:val="FFFFFF" w:themeColor="background1"/>
                                <w:kern w:val="24"/>
                                <w:sz w:val="40"/>
                                <w:szCs w:val="36"/>
                              </w:rPr>
                              <w:t>:</w:t>
                            </w:r>
                            <w:proofErr w:type="gramEnd"/>
                            <w:r w:rsidRPr="00ED06BD">
                              <w:rPr>
                                <w:rFonts w:ascii="Verdana" w:hAnsi="Verdana" w:cs="OpenSansRegular"/>
                                <w:bCs/>
                                <w:color w:val="FFFFFF" w:themeColor="background1"/>
                                <w:kern w:val="24"/>
                                <w:sz w:val="40"/>
                                <w:szCs w:val="36"/>
                              </w:rPr>
                              <w:br/>
                              <w:t>Re</w:t>
                            </w:r>
                            <w:r>
                              <w:rPr>
                                <w:rFonts w:ascii="Verdana" w:hAnsi="Verdana" w:cs="OpenSansRegular"/>
                                <w:bCs/>
                                <w:color w:val="FFFFFF" w:themeColor="background1"/>
                                <w:kern w:val="24"/>
                                <w:sz w:val="40"/>
                                <w:szCs w:val="36"/>
                              </w:rPr>
                              <w:t>port on Discussions and Next Steps</w:t>
                            </w:r>
                          </w:p>
                        </w:txbxContent>
                      </wps:txbx>
                      <wps:bodyPr vert="horz" lIns="0" tIns="0" rIns="0" bIns="0" rtlCol="0" anchor="b" anchorCtr="0">
                        <a:noAutofit/>
                      </wps:bodyPr>
                    </wps:wsp>
                  </a:graphicData>
                </a:graphic>
                <wp14:sizeRelV relativeFrom="margin">
                  <wp14:pctHeight>0</wp14:pctHeight>
                </wp14:sizeRelV>
              </wp:anchor>
            </w:drawing>
          </mc:Choice>
          <mc:Fallback>
            <w:pict>
              <v:rect id="Subtitle 3" o:spid="_x0000_s1029" style="position:absolute;margin-left:-32.5pt;margin-top:503.85pt;width:450.5pt;height:131.2pt;z-index:2516567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bottom"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" filled="f" stroked="f">
                <v:path arrowok="t"/>
                <o:lock v:ext="edit" grouping="t"/>
                <v:textbox inset="0,0,0,0">
                  <w:txbxContent>
                    <w:p w:rsidR="00AF4A89" w:rsidRPr="00ED06BD" w:rsidRDefault="00AF4A89" w:rsidP="0030786B">
                      <w:pPr>
                        <w:pStyle w:val="Bodycopy"/>
                        <w:spacing w:after="120"/>
                        <w:rPr>
                          <w:rFonts w:ascii="Verdana" w:hAnsi="Verdana" w:cs="OpenSansRegular"/>
                          <w:b/>
                          <w:sz w:val="32"/>
                        </w:rPr>
                      </w:pPr>
                      <w:r w:rsidRPr="00ED06BD">
                        <w:rPr>
                          <w:rFonts w:ascii="Verdana" w:hAnsi="Verdana" w:cs="OpenSansRegular"/>
                          <w:b/>
                          <w:bCs/>
                          <w:color w:val="FFFFFF" w:themeColor="background1"/>
                          <w:kern w:val="24"/>
                          <w:sz w:val="44"/>
                          <w:szCs w:val="36"/>
                        </w:rPr>
                        <w:t>Department of Health</w:t>
                      </w:r>
                    </w:p>
                    <w:p w:rsidR="00AF4A89" w:rsidRPr="00AE17ED" w:rsidRDefault="00AF4A89" w:rsidP="008D6885">
                      <w:pPr>
                        <w:spacing w:after="120"/>
                        <w:rPr>
                          <w:rFonts w:ascii="OpenSansRegular" w:hAnsi="OpenSansRegular" w:cs="OpenSansRegular"/>
                          <w:sz w:val="28"/>
                        </w:rPr>
                      </w:pPr>
                      <w:r>
                        <w:rPr>
                          <w:rFonts w:ascii="Verdana" w:hAnsi="Verdana" w:cs="OpenSansRegular"/>
                          <w:bCs/>
                          <w:color w:val="FFFFFF" w:themeColor="background1"/>
                          <w:kern w:val="24"/>
                          <w:sz w:val="40"/>
                          <w:szCs w:val="36"/>
                        </w:rPr>
                        <w:t>Sports Supplements Roundtable</w:t>
                      </w:r>
                      <w:r w:rsidRPr="00ED06BD">
                        <w:rPr>
                          <w:rFonts w:ascii="Verdana" w:hAnsi="Verdana" w:cs="OpenSansRegular"/>
                          <w:bCs/>
                          <w:color w:val="FFFFFF" w:themeColor="background1"/>
                          <w:kern w:val="24"/>
                          <w:sz w:val="40"/>
                          <w:szCs w:val="36"/>
                        </w:rPr>
                        <w:t>:</w:t>
                      </w:r>
                      <w:r w:rsidRPr="00ED06BD">
                        <w:rPr>
                          <w:rFonts w:ascii="Verdana" w:hAnsi="Verdana" w:cs="OpenSansRegular"/>
                          <w:bCs/>
                          <w:color w:val="FFFFFF" w:themeColor="background1"/>
                          <w:kern w:val="24"/>
                          <w:sz w:val="40"/>
                          <w:szCs w:val="36"/>
                        </w:rPr>
                        <w:br/>
                        <w:t>Re</w:t>
                      </w:r>
                      <w:r>
                        <w:rPr>
                          <w:rFonts w:ascii="Verdana" w:hAnsi="Verdana" w:cs="OpenSansRegular"/>
                          <w:bCs/>
                          <w:color w:val="FFFFFF" w:themeColor="background1"/>
                          <w:kern w:val="24"/>
                          <w:sz w:val="40"/>
                          <w:szCs w:val="36"/>
                        </w:rPr>
                        <w:t>port on Discussions and Next Steps</w:t>
                      </w:r>
                    </w:p>
                  </w:txbxContent>
                </v:textbox>
                <w10:wrap anchorx="margin"/>
              </v:rect>
            </w:pict>
          </mc:Fallback>
        </mc:AlternateContent>
      </w:r>
      <w:r w:rsidR="008D6885" w:rsidRPr="00A00B62">
        <w:rPr>
          <w:rFonts w:ascii="OpenSansRegular" w:hAnsi="OpenSansRegular" w:cs="OpenSansRegular"/>
          <w:noProof/>
          <w:lang w:val="en-AU" w:eastAsia="en-AU"/>
        </w:rPr>
        <mc:AlternateContent>
          <mc:Choice Requires="wps">
            <w:drawing>
              <wp:anchor distT="0" distB="0" distL="114300" distR="114300" simplePos="0" relativeHeight="251657728" behindDoc="0" locked="0" layoutInCell="1" allowOverlap="1" wp14:anchorId="05E7EAAA" wp14:editId="28199736">
                <wp:simplePos x="0" y="0"/>
                <wp:positionH relativeFrom="margin">
                  <wp:posOffset>-412750</wp:posOffset>
                </wp:positionH>
                <wp:positionV relativeFrom="paragraph">
                  <wp:posOffset>8114030</wp:posOffset>
                </wp:positionV>
                <wp:extent cx="4195445" cy="298450"/>
                <wp:effectExtent l="0" t="0" r="0" b="0"/>
                <wp:wrapNone/>
                <wp:docPr id="10" name="Text Placeholder 4"/>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4195445" cy="298450"/>
                        </a:xfrm>
                        <a:prstGeom prst="rect">
                          <a:avLst/>
                        </a:prstGeom>
                      </wps:spPr>
                      <wps:txbx>
                        <w:txbxContent>
                          <w:p w:rsidR="00AF4A89" w:rsidRPr="00ED06BD" w:rsidRDefault="00AF4A89" w:rsidP="008D6885">
                            <w:pPr>
                              <w:spacing w:after="0"/>
                              <w:rPr>
                                <w:rFonts w:ascii="Verdana" w:hAnsi="Verdana" w:cs="OpenSansRegular"/>
                                <w:sz w:val="26"/>
                              </w:rPr>
                            </w:pPr>
                            <w:r>
                              <w:rPr>
                                <w:rFonts w:ascii="Verdana" w:hAnsi="Verdana" w:cs="OpenSansRegular"/>
                                <w:color w:val="FFFFFF" w:themeColor="background1"/>
                                <w:kern w:val="24"/>
                                <w:sz w:val="23"/>
                                <w:szCs w:val="21"/>
                                <w:lang w:val="en-US"/>
                              </w:rPr>
                              <w:t>August</w:t>
                            </w:r>
                            <w:r w:rsidRPr="00ED06BD">
                              <w:rPr>
                                <w:rFonts w:ascii="Verdana" w:hAnsi="Verdana" w:cs="OpenSansRegular"/>
                                <w:color w:val="FFFFFF" w:themeColor="background1"/>
                                <w:kern w:val="24"/>
                                <w:sz w:val="23"/>
                                <w:szCs w:val="21"/>
                                <w:lang w:val="en-US"/>
                              </w:rPr>
                              <w:t xml:space="preserve"> 2018</w:t>
                            </w:r>
                          </w:p>
                        </w:txbxContent>
                      </wps:txbx>
                      <wps:bodyPr vert="horz" lIns="0" tIns="0" rIns="0" bIns="0" rtlCol="0">
                        <a:noAutofit/>
                      </wps:bodyPr>
                    </wps:wsp>
                  </a:graphicData>
                </a:graphic>
              </wp:anchor>
            </w:drawing>
          </mc:Choice>
          <mc:Fallback>
            <w:pict>
              <v:rect id="Text Placeholder 4" o:spid="_x0000_s1030" style="position:absolute;margin-left:-32.5pt;margin-top:638.9pt;width:330.35pt;height:23.5pt;z-index:2516577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" filled="f" stroked="f">
                <v:path arrowok="t"/>
                <o:lock v:ext="edit" grouping="t"/>
                <v:textbox inset="0,0,0,0">
                  <w:txbxContent>
                    <w:p w:rsidR="00AF4A89" w:rsidRPr="00ED06BD" w:rsidRDefault="00AF4A89" w:rsidP="008D6885">
                      <w:pPr>
                        <w:spacing w:after="0"/>
                        <w:rPr>
                          <w:rFonts w:ascii="Verdana" w:hAnsi="Verdana" w:cs="OpenSansRegular"/>
                          <w:sz w:val="26"/>
                        </w:rPr>
                      </w:pPr>
                      <w:r>
                        <w:rPr>
                          <w:rFonts w:ascii="Verdana" w:hAnsi="Verdana" w:cs="OpenSansRegular"/>
                          <w:color w:val="FFFFFF" w:themeColor="background1"/>
                          <w:kern w:val="24"/>
                          <w:sz w:val="23"/>
                          <w:szCs w:val="21"/>
                          <w:lang w:val="en-US"/>
                        </w:rPr>
                        <w:t>August</w:t>
                      </w:r>
                      <w:r w:rsidRPr="00ED06BD">
                        <w:rPr>
                          <w:rFonts w:ascii="Verdana" w:hAnsi="Verdana" w:cs="OpenSansRegular"/>
                          <w:color w:val="FFFFFF" w:themeColor="background1"/>
                          <w:kern w:val="24"/>
                          <w:sz w:val="23"/>
                          <w:szCs w:val="21"/>
                          <w:lang w:val="en-US"/>
                        </w:rPr>
                        <w:t xml:space="preserve"> 2018</w:t>
                      </w:r>
                    </w:p>
                  </w:txbxContent>
                </v:textbox>
                <w10:wrap anchorx="margin"/>
              </v:rect>
            </w:pict>
          </mc:Fallback>
        </mc:AlternateContent>
      </w:r>
      <w:r w:rsidR="008D6885" w:rsidRPr="00A00B62">
        <w:rPr>
          <w:rFonts w:ascii="OpenSansRegular" w:hAnsi="OpenSansRegular" w:cs="OpenSansRegular"/>
        </w:rPr>
        <w:br w:type="page"/>
      </w:r>
    </w:p>
    <w:sdt>
      <w:sdtPr>
        <w:rPr>
          <w:rFonts w:ascii="Verdana" w:hAnsi="Verdana" w:cs="OpenSansRegular"/>
          <w:color w:val="000000" w:themeColor="text1"/>
          <w:sz w:val="40"/>
        </w:rPr>
        <w:id w:val="-1160845797"/>
        <w:docPartObj>
          <w:docPartGallery w:val="Table of Contents"/>
          <w:docPartUnique/>
        </w:docPartObj>
      </w:sdtPr>
      <w:sdtEndPr>
        <w:rPr>
          <w:b/>
          <w:bCs/>
          <w:noProof/>
          <w:color w:val="auto"/>
          <w:sz w:val="22"/>
        </w:rPr>
      </w:sdtEndPr>
      <w:sdtContent>
        <w:p w:rsidR="00985111" w:rsidRPr="00512C3E" w:rsidRDefault="008D6885" w:rsidP="00512C3E">
          <w:pPr>
            <w:rPr>
              <w:rFonts w:ascii="Verdana" w:hAnsi="Verdana" w:cs="OpenSansRegular"/>
              <w:noProof/>
              <w:color w:val="000000" w:themeColor="text1"/>
              <w:sz w:val="40"/>
            </w:rPr>
          </w:pPr>
          <w:r w:rsidRPr="00ED06BD">
            <w:rPr>
              <w:rFonts w:ascii="Verdana" w:hAnsi="Verdana" w:cs="OpenSansRegular"/>
              <w:color w:val="000000" w:themeColor="text1"/>
              <w:sz w:val="40"/>
            </w:rPr>
            <w:t>Contents</w:t>
          </w:r>
          <w:r w:rsidRPr="00ED06BD">
            <w:rPr>
              <w:rFonts w:ascii="Verdana" w:hAnsi="Verdana" w:cs="OpenSansRegular"/>
            </w:rPr>
            <w:fldChar w:fldCharType="begin"/>
          </w:r>
          <w:r w:rsidRPr="00ED06BD">
            <w:rPr>
              <w:rFonts w:ascii="Verdana" w:hAnsi="Verdana" w:cs="OpenSansRegular"/>
            </w:rPr>
            <w:instrText xml:space="preserve"> TOC \o "1-3" \h \z \u </w:instrText>
          </w:r>
          <w:r w:rsidRPr="00ED06BD">
            <w:rPr>
              <w:rFonts w:ascii="Verdana" w:hAnsi="Verdana" w:cs="OpenSansRegular"/>
            </w:rPr>
            <w:fldChar w:fldCharType="separate"/>
          </w:r>
        </w:p>
        <w:p w:rsidR="00985111" w:rsidRDefault="006F03F1">
          <w:pPr>
            <w:pStyle w:val="TOC1"/>
            <w:tabs>
              <w:tab w:val="right" w:leader="dot" w:pos="9016"/>
            </w:tabs>
            <w:rPr>
              <w:rFonts w:eastAsiaTheme="minorEastAsia"/>
              <w:noProof/>
              <w:lang w:eastAsia="en-AU"/>
            </w:rPr>
          </w:pPr>
          <w:hyperlink w:anchor="_Toc521503519" w:history="1">
            <w:r w:rsidR="00985111" w:rsidRPr="0084479C">
              <w:rPr>
                <w:rStyle w:val="Hyperlink"/>
                <w:rFonts w:ascii="Verdana" w:eastAsia="Times New Roman" w:hAnsi="Verdana" w:cs="OpenSansRegular"/>
                <w:bCs/>
                <w:noProof/>
                <w:kern w:val="32"/>
              </w:rPr>
              <w:t>Background</w:t>
            </w:r>
            <w:r w:rsidR="00985111">
              <w:rPr>
                <w:noProof/>
                <w:webHidden/>
              </w:rPr>
              <w:tab/>
            </w:r>
            <w:r w:rsidR="00985111">
              <w:rPr>
                <w:noProof/>
                <w:webHidden/>
              </w:rPr>
              <w:fldChar w:fldCharType="begin"/>
            </w:r>
            <w:r w:rsidR="00985111">
              <w:rPr>
                <w:noProof/>
                <w:webHidden/>
              </w:rPr>
              <w:instrText xml:space="preserve"> PAGEREF _Toc521503519 \h </w:instrText>
            </w:r>
            <w:r w:rsidR="00985111">
              <w:rPr>
                <w:noProof/>
                <w:webHidden/>
              </w:rPr>
            </w:r>
            <w:r w:rsidR="00985111">
              <w:rPr>
                <w:noProof/>
                <w:webHidden/>
              </w:rPr>
              <w:fldChar w:fldCharType="separate"/>
            </w:r>
            <w:r>
              <w:rPr>
                <w:noProof/>
                <w:webHidden/>
              </w:rPr>
              <w:t>4</w:t>
            </w:r>
            <w:r w:rsidR="00985111">
              <w:rPr>
                <w:noProof/>
                <w:webHidden/>
              </w:rPr>
              <w:fldChar w:fldCharType="end"/>
            </w:r>
          </w:hyperlink>
        </w:p>
        <w:p w:rsidR="00985111" w:rsidRDefault="006F03F1">
          <w:pPr>
            <w:pStyle w:val="TOC1"/>
            <w:tabs>
              <w:tab w:val="right" w:leader="dot" w:pos="9016"/>
            </w:tabs>
            <w:rPr>
              <w:rFonts w:eastAsiaTheme="minorEastAsia"/>
              <w:noProof/>
              <w:lang w:eastAsia="en-AU"/>
            </w:rPr>
          </w:pPr>
          <w:hyperlink w:anchor="_Toc521503521" w:history="1">
            <w:r w:rsidR="00985111" w:rsidRPr="0084479C">
              <w:rPr>
                <w:rStyle w:val="Hyperlink"/>
                <w:rFonts w:ascii="Verdana" w:eastAsia="Times New Roman" w:hAnsi="Verdana" w:cs="OpenSansRegular"/>
                <w:bCs/>
                <w:noProof/>
                <w:kern w:val="32"/>
              </w:rPr>
              <w:t>Attendees</w:t>
            </w:r>
            <w:r w:rsidR="00985111">
              <w:rPr>
                <w:noProof/>
                <w:webHidden/>
              </w:rPr>
              <w:tab/>
            </w:r>
            <w:r w:rsidR="00985111">
              <w:rPr>
                <w:noProof/>
                <w:webHidden/>
              </w:rPr>
              <w:fldChar w:fldCharType="begin"/>
            </w:r>
            <w:r w:rsidR="00985111">
              <w:rPr>
                <w:noProof/>
                <w:webHidden/>
              </w:rPr>
              <w:instrText xml:space="preserve"> PAGEREF _Toc521503521 \h </w:instrText>
            </w:r>
            <w:r w:rsidR="00985111">
              <w:rPr>
                <w:noProof/>
                <w:webHidden/>
              </w:rPr>
            </w:r>
            <w:r w:rsidR="00985111">
              <w:rPr>
                <w:noProof/>
                <w:webHidden/>
              </w:rPr>
              <w:fldChar w:fldCharType="separate"/>
            </w:r>
            <w:r>
              <w:rPr>
                <w:noProof/>
                <w:webHidden/>
              </w:rPr>
              <w:t>4</w:t>
            </w:r>
            <w:r w:rsidR="00985111">
              <w:rPr>
                <w:noProof/>
                <w:webHidden/>
              </w:rPr>
              <w:fldChar w:fldCharType="end"/>
            </w:r>
          </w:hyperlink>
        </w:p>
        <w:p w:rsidR="00985111" w:rsidRDefault="006F03F1">
          <w:pPr>
            <w:pStyle w:val="TOC1"/>
            <w:tabs>
              <w:tab w:val="right" w:leader="dot" w:pos="9016"/>
            </w:tabs>
            <w:rPr>
              <w:rFonts w:eastAsiaTheme="minorEastAsia"/>
              <w:noProof/>
              <w:lang w:eastAsia="en-AU"/>
            </w:rPr>
          </w:pPr>
          <w:hyperlink w:anchor="_Toc521503523" w:history="1">
            <w:r w:rsidR="00985111" w:rsidRPr="0084479C">
              <w:rPr>
                <w:rStyle w:val="Hyperlink"/>
                <w:rFonts w:ascii="Verdana" w:eastAsia="Times New Roman" w:hAnsi="Verdana" w:cs="OpenSansRegular"/>
                <w:bCs/>
                <w:noProof/>
                <w:kern w:val="32"/>
              </w:rPr>
              <w:t>Presentations</w:t>
            </w:r>
            <w:r w:rsidR="00985111">
              <w:rPr>
                <w:noProof/>
                <w:webHidden/>
              </w:rPr>
              <w:tab/>
            </w:r>
            <w:r w:rsidR="00985111">
              <w:rPr>
                <w:noProof/>
                <w:webHidden/>
              </w:rPr>
              <w:fldChar w:fldCharType="begin"/>
            </w:r>
            <w:r w:rsidR="00985111">
              <w:rPr>
                <w:noProof/>
                <w:webHidden/>
              </w:rPr>
              <w:instrText xml:space="preserve"> PAGEREF _Toc521503523 \h </w:instrText>
            </w:r>
            <w:r w:rsidR="00985111">
              <w:rPr>
                <w:noProof/>
                <w:webHidden/>
              </w:rPr>
            </w:r>
            <w:r w:rsidR="00985111">
              <w:rPr>
                <w:noProof/>
                <w:webHidden/>
              </w:rPr>
              <w:fldChar w:fldCharType="separate"/>
            </w:r>
            <w:r>
              <w:rPr>
                <w:noProof/>
                <w:webHidden/>
              </w:rPr>
              <w:t>5</w:t>
            </w:r>
            <w:r w:rsidR="00985111">
              <w:rPr>
                <w:noProof/>
                <w:webHidden/>
              </w:rPr>
              <w:fldChar w:fldCharType="end"/>
            </w:r>
          </w:hyperlink>
        </w:p>
        <w:p w:rsidR="00985111" w:rsidRDefault="006F03F1">
          <w:pPr>
            <w:pStyle w:val="TOC1"/>
            <w:tabs>
              <w:tab w:val="right" w:leader="dot" w:pos="9016"/>
            </w:tabs>
            <w:rPr>
              <w:rFonts w:eastAsiaTheme="minorEastAsia"/>
              <w:noProof/>
              <w:lang w:eastAsia="en-AU"/>
            </w:rPr>
          </w:pPr>
          <w:hyperlink w:anchor="_Toc521503524" w:history="1">
            <w:r w:rsidR="00985111" w:rsidRPr="0084479C">
              <w:rPr>
                <w:rStyle w:val="Hyperlink"/>
                <w:rFonts w:ascii="Verdana" w:eastAsia="Times New Roman" w:hAnsi="Verdana" w:cs="OpenSansRegular"/>
                <w:bCs/>
                <w:noProof/>
                <w:kern w:val="32"/>
              </w:rPr>
              <w:t>Register of Issues Raised</w:t>
            </w:r>
            <w:r w:rsidR="00985111">
              <w:rPr>
                <w:noProof/>
                <w:webHidden/>
              </w:rPr>
              <w:tab/>
            </w:r>
            <w:r w:rsidR="00985111">
              <w:rPr>
                <w:noProof/>
                <w:webHidden/>
              </w:rPr>
              <w:fldChar w:fldCharType="begin"/>
            </w:r>
            <w:r w:rsidR="00985111">
              <w:rPr>
                <w:noProof/>
                <w:webHidden/>
              </w:rPr>
              <w:instrText xml:space="preserve"> PAGEREF _Toc521503524 \h </w:instrText>
            </w:r>
            <w:r w:rsidR="00985111">
              <w:rPr>
                <w:noProof/>
                <w:webHidden/>
              </w:rPr>
            </w:r>
            <w:r w:rsidR="00985111">
              <w:rPr>
                <w:noProof/>
                <w:webHidden/>
              </w:rPr>
              <w:fldChar w:fldCharType="separate"/>
            </w:r>
            <w:r>
              <w:rPr>
                <w:noProof/>
                <w:webHidden/>
              </w:rPr>
              <w:t>10</w:t>
            </w:r>
            <w:r w:rsidR="00985111">
              <w:rPr>
                <w:noProof/>
                <w:webHidden/>
              </w:rPr>
              <w:fldChar w:fldCharType="end"/>
            </w:r>
          </w:hyperlink>
        </w:p>
        <w:p w:rsidR="00985111" w:rsidRDefault="006F03F1">
          <w:pPr>
            <w:pStyle w:val="TOC1"/>
            <w:tabs>
              <w:tab w:val="right" w:leader="dot" w:pos="9016"/>
            </w:tabs>
            <w:rPr>
              <w:rFonts w:eastAsiaTheme="minorEastAsia"/>
              <w:noProof/>
              <w:lang w:eastAsia="en-AU"/>
            </w:rPr>
          </w:pPr>
          <w:hyperlink w:anchor="_Toc521503532" w:history="1">
            <w:r w:rsidR="00985111" w:rsidRPr="0084479C">
              <w:rPr>
                <w:rStyle w:val="Hyperlink"/>
                <w:rFonts w:ascii="Verdana" w:eastAsia="Times New Roman" w:hAnsi="Verdana" w:cs="OpenSansRegular"/>
                <w:bCs/>
                <w:noProof/>
                <w:kern w:val="32"/>
              </w:rPr>
              <w:t>Options to Improve Consumer Safety</w:t>
            </w:r>
            <w:r w:rsidR="00985111">
              <w:rPr>
                <w:noProof/>
                <w:webHidden/>
              </w:rPr>
              <w:tab/>
            </w:r>
            <w:r w:rsidR="00985111">
              <w:rPr>
                <w:noProof/>
                <w:webHidden/>
              </w:rPr>
              <w:fldChar w:fldCharType="begin"/>
            </w:r>
            <w:r w:rsidR="00985111">
              <w:rPr>
                <w:noProof/>
                <w:webHidden/>
              </w:rPr>
              <w:instrText xml:space="preserve"> PAGEREF _Toc521503532 \h </w:instrText>
            </w:r>
            <w:r w:rsidR="00985111">
              <w:rPr>
                <w:noProof/>
                <w:webHidden/>
              </w:rPr>
            </w:r>
            <w:r w:rsidR="00985111">
              <w:rPr>
                <w:noProof/>
                <w:webHidden/>
              </w:rPr>
              <w:fldChar w:fldCharType="separate"/>
            </w:r>
            <w:r>
              <w:rPr>
                <w:noProof/>
                <w:webHidden/>
              </w:rPr>
              <w:t>12</w:t>
            </w:r>
            <w:r w:rsidR="00985111">
              <w:rPr>
                <w:noProof/>
                <w:webHidden/>
              </w:rPr>
              <w:fldChar w:fldCharType="end"/>
            </w:r>
          </w:hyperlink>
        </w:p>
        <w:p w:rsidR="00985111" w:rsidRDefault="006F03F1">
          <w:pPr>
            <w:pStyle w:val="TOC1"/>
            <w:tabs>
              <w:tab w:val="right" w:leader="dot" w:pos="9016"/>
            </w:tabs>
            <w:rPr>
              <w:rFonts w:eastAsiaTheme="minorEastAsia"/>
              <w:noProof/>
              <w:lang w:eastAsia="en-AU"/>
            </w:rPr>
          </w:pPr>
          <w:hyperlink w:anchor="_Toc521503538" w:history="1">
            <w:r w:rsidR="00985111" w:rsidRPr="0084479C">
              <w:rPr>
                <w:rStyle w:val="Hyperlink"/>
                <w:rFonts w:ascii="Verdana" w:eastAsia="Times New Roman" w:hAnsi="Verdana" w:cs="OpenSansRegular"/>
                <w:bCs/>
                <w:noProof/>
                <w:kern w:val="32"/>
              </w:rPr>
              <w:t>Next Steps</w:t>
            </w:r>
            <w:r w:rsidR="00985111">
              <w:rPr>
                <w:noProof/>
                <w:webHidden/>
              </w:rPr>
              <w:tab/>
            </w:r>
            <w:r w:rsidR="00985111">
              <w:rPr>
                <w:noProof/>
                <w:webHidden/>
              </w:rPr>
              <w:fldChar w:fldCharType="begin"/>
            </w:r>
            <w:r w:rsidR="00985111">
              <w:rPr>
                <w:noProof/>
                <w:webHidden/>
              </w:rPr>
              <w:instrText xml:space="preserve"> PAGEREF _Toc521503538 \h </w:instrText>
            </w:r>
            <w:r w:rsidR="00985111">
              <w:rPr>
                <w:noProof/>
                <w:webHidden/>
              </w:rPr>
            </w:r>
            <w:r w:rsidR="00985111">
              <w:rPr>
                <w:noProof/>
                <w:webHidden/>
              </w:rPr>
              <w:fldChar w:fldCharType="separate"/>
            </w:r>
            <w:r>
              <w:rPr>
                <w:noProof/>
                <w:webHidden/>
              </w:rPr>
              <w:t>14</w:t>
            </w:r>
            <w:r w:rsidR="00985111">
              <w:rPr>
                <w:noProof/>
                <w:webHidden/>
              </w:rPr>
              <w:fldChar w:fldCharType="end"/>
            </w:r>
          </w:hyperlink>
        </w:p>
        <w:p w:rsidR="008E0E32" w:rsidRPr="00ED06BD" w:rsidRDefault="008D6885" w:rsidP="008E0E32">
          <w:pPr>
            <w:rPr>
              <w:rFonts w:ascii="Verdana" w:hAnsi="Verdana" w:cs="OpenSansRegular"/>
            </w:rPr>
          </w:pPr>
          <w:r w:rsidRPr="00ED06BD">
            <w:rPr>
              <w:rFonts w:ascii="Verdana" w:hAnsi="Verdana" w:cs="OpenSansRegular"/>
              <w:b/>
              <w:bCs/>
              <w:noProof/>
            </w:rPr>
            <w:fldChar w:fldCharType="end"/>
          </w:r>
        </w:p>
      </w:sdtContent>
    </w:sdt>
    <w:p w:rsidR="008E0E32" w:rsidRPr="00ED06BD" w:rsidRDefault="008E0E32" w:rsidP="008E0E32">
      <w:pPr>
        <w:rPr>
          <w:rFonts w:ascii="Verdana" w:hAnsi="Verdana" w:cs="OpenSansRegular"/>
        </w:rPr>
        <w:sectPr w:rsidR="008E0E32" w:rsidRPr="00ED06BD" w:rsidSect="00346686">
          <w:footerReference w:type="default" r:id="rId11"/>
          <w:pgSz w:w="11906" w:h="16838" w:code="9"/>
          <w:pgMar w:top="1440" w:right="1440" w:bottom="1440" w:left="1440" w:header="709" w:footer="709" w:gutter="0"/>
          <w:cols w:space="708"/>
          <w:docGrid w:linePitch="360"/>
        </w:sectPr>
      </w:pPr>
    </w:p>
    <w:p w:rsidR="000C7D79" w:rsidRPr="00ED06BD" w:rsidRDefault="000C7D79" w:rsidP="000C7D79">
      <w:pPr>
        <w:pStyle w:val="Heading1"/>
        <w:keepLines w:val="0"/>
        <w:tabs>
          <w:tab w:val="left" w:pos="2866"/>
        </w:tabs>
        <w:spacing w:before="0" w:after="240" w:line="240" w:lineRule="auto"/>
        <w:rPr>
          <w:rFonts w:ascii="Verdana" w:eastAsia="Times New Roman" w:hAnsi="Verdana" w:cs="OpenSansRegular"/>
          <w:bCs/>
          <w:color w:val="000000" w:themeColor="text1"/>
          <w:kern w:val="32"/>
          <w:sz w:val="40"/>
          <w:szCs w:val="40"/>
        </w:rPr>
      </w:pPr>
      <w:r w:rsidRPr="00ED06BD">
        <w:rPr>
          <w:rFonts w:ascii="Verdana" w:eastAsia="Times New Roman" w:hAnsi="Verdana" w:cs="OpenSansRegular"/>
          <w:bCs/>
          <w:color w:val="000000" w:themeColor="text1"/>
          <w:kern w:val="32"/>
          <w:sz w:val="40"/>
          <w:szCs w:val="40"/>
        </w:rPr>
        <w:lastRenderedPageBreak/>
        <w:tab/>
      </w:r>
    </w:p>
    <w:p w:rsidR="00346686" w:rsidRPr="00ED06BD" w:rsidRDefault="000C7D79" w:rsidP="000C7D79">
      <w:pPr>
        <w:tabs>
          <w:tab w:val="left" w:pos="2866"/>
        </w:tabs>
        <w:rPr>
          <w:rFonts w:ascii="Verdana" w:hAnsi="Verdana"/>
        </w:rPr>
        <w:sectPr w:rsidR="00346686" w:rsidRPr="00ED06BD" w:rsidSect="00DA5BBF">
          <w:type w:val="continuous"/>
          <w:pgSz w:w="11906" w:h="16838"/>
          <w:pgMar w:top="1440" w:right="1440" w:bottom="1440" w:left="1440" w:header="708" w:footer="708" w:gutter="0"/>
          <w:cols w:space="708"/>
          <w:docGrid w:linePitch="360"/>
        </w:sectPr>
      </w:pPr>
      <w:r w:rsidRPr="00ED06BD">
        <w:rPr>
          <w:rFonts w:ascii="Verdana" w:hAnsi="Verdana"/>
        </w:rPr>
        <w:tab/>
      </w:r>
      <w:bookmarkStart w:id="0" w:name="_GoBack"/>
      <w:bookmarkEnd w:id="0"/>
    </w:p>
    <w:bookmarkStart w:id="1" w:name="_Toc515893668" w:displacedByCustomXml="next"/>
    <w:bookmarkStart w:id="2" w:name="_Toc517430197" w:displacedByCustomXml="next"/>
    <w:bookmarkStart w:id="3" w:name="_Toc521503518" w:displacedByCustomXml="next"/>
    <w:bookmarkStart w:id="4" w:name="_Ref504563897" w:displacedByCustomXml="next"/>
    <w:sdt>
      <w:sdtPr>
        <w:rPr>
          <w:rFonts w:ascii="Verdana" w:eastAsiaTheme="minorHAnsi" w:hAnsi="Verdana" w:cstheme="minorBidi"/>
          <w:color w:val="auto"/>
          <w:sz w:val="22"/>
          <w:szCs w:val="22"/>
        </w:rPr>
        <w:id w:val="-1838615274"/>
        <w:docPartObj>
          <w:docPartGallery w:val="Cover Pages"/>
          <w:docPartUnique/>
        </w:docPartObj>
      </w:sdtPr>
      <w:sdtEndPr>
        <w:rPr>
          <w:sz w:val="20"/>
          <w:szCs w:val="20"/>
        </w:rPr>
      </w:sdtEndPr>
      <w:sdtContent>
        <w:p w:rsidR="003D5D41" w:rsidRPr="00ED06BD" w:rsidRDefault="00ED06BD" w:rsidP="006F03F1">
          <w:pPr>
            <w:pStyle w:val="Heading1"/>
            <w:spacing w:before="1200"/>
            <w:rPr>
              <w:rFonts w:ascii="Verdana" w:hAnsi="Verdana"/>
              <w:sz w:val="20"/>
              <w:szCs w:val="20"/>
            </w:rPr>
          </w:pPr>
          <w:r w:rsidRPr="00ED06BD">
            <w:rPr>
              <w:rFonts w:ascii="Verdana" w:hAnsi="Verdana"/>
              <w:noProof/>
              <w:lang w:eastAsia="en-AU"/>
            </w:rPr>
            <mc:AlternateContent>
              <mc:Choice Requires="wps">
                <w:drawing>
                  <wp:anchor distT="0" distB="0" distL="114300" distR="114300" simplePos="0" relativeHeight="251660800" behindDoc="0" locked="0" layoutInCell="1" allowOverlap="1" wp14:anchorId="0BC58EDE" wp14:editId="35068E80">
                    <wp:simplePos x="0" y="0"/>
                    <wp:positionH relativeFrom="column">
                      <wp:posOffset>4305782</wp:posOffset>
                    </wp:positionH>
                    <wp:positionV relativeFrom="paragraph">
                      <wp:posOffset>-381964</wp:posOffset>
                    </wp:positionV>
                    <wp:extent cx="1876425" cy="1643606"/>
                    <wp:effectExtent l="0" t="0" r="9525"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1643606"/>
                            </a:xfrm>
                            <a:prstGeom prst="rect">
                              <a:avLst/>
                            </a:prstGeom>
                            <a:solidFill>
                              <a:srgbClr val="FFFFFF"/>
                            </a:solidFill>
                            <a:ln w="9525">
                              <a:noFill/>
                              <a:miter lim="800000"/>
                              <a:headEnd/>
                              <a:tailEnd/>
                            </a:ln>
                          </wps:spPr>
                          <wps:txbx>
                            <w:txbxContent>
                              <w:p w:rsidR="00AF4A89" w:rsidRPr="00ED06BD" w:rsidRDefault="00AF4A89" w:rsidP="003D5D41">
                                <w:pPr>
                                  <w:spacing w:before="30" w:line="180" w:lineRule="atLeast"/>
                                  <w:rPr>
                                    <w:rStyle w:val="AddressdetailsChar"/>
                                    <w:rFonts w:ascii="Verdana" w:eastAsiaTheme="minorHAnsi" w:hAnsi="Verdana"/>
                                  </w:rPr>
                                </w:pPr>
                                <w:r w:rsidRPr="00ED06BD">
                                  <w:rPr>
                                    <w:rStyle w:val="AddressdetailsChar"/>
                                    <w:rFonts w:ascii="Verdana" w:eastAsiaTheme="minorHAnsi" w:hAnsi="Verdana"/>
                                  </w:rPr>
                                  <w:t>Deloitte Consulting Pty Ltd</w:t>
                                </w:r>
                                <w:r w:rsidRPr="00ED06BD">
                                  <w:rPr>
                                    <w:rStyle w:val="AddressdetailsChar"/>
                                    <w:rFonts w:ascii="Verdana" w:eastAsiaTheme="minorHAnsi" w:hAnsi="Verdana"/>
                                  </w:rPr>
                                  <w:br/>
                                  <w:t>ABN 46 892 629 039</w:t>
                                </w:r>
                                <w:r w:rsidRPr="00ED06BD">
                                  <w:rPr>
                                    <w:rStyle w:val="AddressdetailsChar"/>
                                    <w:rFonts w:ascii="Verdana" w:eastAsiaTheme="minorHAnsi" w:hAnsi="Verdana"/>
                                  </w:rPr>
                                  <w:br/>
                                </w:r>
                                <w:r w:rsidRPr="00ED06BD">
                                  <w:rPr>
                                    <w:rStyle w:val="AddressdetailsChar"/>
                                    <w:rFonts w:ascii="Verdana" w:eastAsiaTheme="minorHAnsi" w:hAnsi="Verdana"/>
                                  </w:rPr>
                                  <w:br/>
                                  <w:t>8 Brindabella Circuit</w:t>
                                </w:r>
                                <w:r w:rsidRPr="00ED06BD">
                                  <w:rPr>
                                    <w:rStyle w:val="AddressdetailsChar"/>
                                    <w:rFonts w:ascii="Verdana" w:eastAsiaTheme="minorHAnsi" w:hAnsi="Verdana"/>
                                  </w:rPr>
                                  <w:br/>
                                  <w:t>Brindabella Business Park ACT 2609</w:t>
                                </w:r>
                                <w:r w:rsidRPr="00ED06BD">
                                  <w:rPr>
                                    <w:rStyle w:val="AddressdetailsChar"/>
                                    <w:rFonts w:ascii="Verdana" w:eastAsiaTheme="minorHAnsi" w:hAnsi="Verdana"/>
                                  </w:rPr>
                                  <w:br/>
                                  <w:t>GPO Box 823</w:t>
                                </w:r>
                                <w:r w:rsidRPr="00ED06BD">
                                  <w:rPr>
                                    <w:rStyle w:val="AddressdetailsChar"/>
                                    <w:rFonts w:ascii="Verdana" w:eastAsiaTheme="minorHAnsi" w:hAnsi="Verdana"/>
                                  </w:rPr>
                                  <w:br/>
                                  <w:t>Canberra ACT 2601 Australia</w:t>
                                </w:r>
                                <w:r w:rsidRPr="00ED06BD">
                                  <w:rPr>
                                    <w:rStyle w:val="AddressdetailsChar"/>
                                    <w:rFonts w:ascii="Verdana" w:eastAsiaTheme="minorHAnsi" w:hAnsi="Verdana"/>
                                  </w:rPr>
                                  <w:br/>
                                </w:r>
                                <w:r w:rsidRPr="00ED06BD">
                                  <w:rPr>
                                    <w:rStyle w:val="AddressdetailsChar"/>
                                    <w:rFonts w:ascii="Verdana" w:eastAsiaTheme="minorHAnsi" w:hAnsi="Verdana"/>
                                  </w:rPr>
                                  <w:br/>
                                  <w:t>Tel:  +61 2 6263 7000</w:t>
                                </w:r>
                                <w:r w:rsidRPr="00ED06BD">
                                  <w:rPr>
                                    <w:rStyle w:val="AddressdetailsChar"/>
                                    <w:rFonts w:ascii="Verdana" w:eastAsiaTheme="minorHAnsi" w:hAnsi="Verdana"/>
                                  </w:rPr>
                                  <w:br/>
                                  <w:t>Fax:  +61 2 6263 7004</w:t>
                                </w:r>
                                <w:r w:rsidRPr="00ED06BD">
                                  <w:rPr>
                                    <w:rStyle w:val="AddressdetailsChar"/>
                                    <w:rFonts w:ascii="Verdana" w:eastAsiaTheme="minorHAnsi" w:hAnsi="Verdana"/>
                                  </w:rPr>
                                  <w:br/>
                                  <w:t>www.deloitte.com.au</w:t>
                                </w:r>
                              </w:p>
                              <w:p w:rsidR="00AF4A89" w:rsidRDefault="00AF4A89" w:rsidP="003D5D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39.05pt;margin-top:-30.1pt;width:147.75pt;height:129.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" stroked="f">
                    <v:textbox>
                      <w:txbxContent>
                        <w:p w:rsidR="00AF4A89" w:rsidRPr="00ED06BD" w:rsidRDefault="00AF4A89" w:rsidP="003D5D41">
                          <w:pPr>
                            <w:spacing w:before="30" w:line="180" w:lineRule="atLeast"/>
                            <w:rPr>
                              <w:rStyle w:val="AddressdetailsChar"/>
                              <w:rFonts w:ascii="Verdana" w:eastAsiaTheme="minorHAnsi" w:hAnsi="Verdana"/>
                            </w:rPr>
                          </w:pPr>
                          <w:r w:rsidRPr="00ED06BD">
                            <w:rPr>
                              <w:rStyle w:val="AddressdetailsChar"/>
                              <w:rFonts w:ascii="Verdana" w:eastAsiaTheme="minorHAnsi" w:hAnsi="Verdana"/>
                            </w:rPr>
                            <w:t>Deloitte Consulting Pty Ltd</w:t>
                          </w:r>
                          <w:r w:rsidRPr="00ED06BD">
                            <w:rPr>
                              <w:rStyle w:val="AddressdetailsChar"/>
                              <w:rFonts w:ascii="Verdana" w:eastAsiaTheme="minorHAnsi" w:hAnsi="Verdana"/>
                            </w:rPr>
                            <w:br/>
                            <w:t>ABN 46 892 629 039</w:t>
                          </w:r>
                          <w:r w:rsidRPr="00ED06BD">
                            <w:rPr>
                              <w:rStyle w:val="AddressdetailsChar"/>
                              <w:rFonts w:ascii="Verdana" w:eastAsiaTheme="minorHAnsi" w:hAnsi="Verdana"/>
                            </w:rPr>
                            <w:br/>
                          </w:r>
                          <w:r w:rsidRPr="00ED06BD">
                            <w:rPr>
                              <w:rStyle w:val="AddressdetailsChar"/>
                              <w:rFonts w:ascii="Verdana" w:eastAsiaTheme="minorHAnsi" w:hAnsi="Verdana"/>
                            </w:rPr>
                            <w:br/>
                            <w:t>8 Brindabella Circuit</w:t>
                          </w:r>
                          <w:r w:rsidRPr="00ED06BD">
                            <w:rPr>
                              <w:rStyle w:val="AddressdetailsChar"/>
                              <w:rFonts w:ascii="Verdana" w:eastAsiaTheme="minorHAnsi" w:hAnsi="Verdana"/>
                            </w:rPr>
                            <w:br/>
                            <w:t>Brindabella Business Park ACT 2609</w:t>
                          </w:r>
                          <w:r w:rsidRPr="00ED06BD">
                            <w:rPr>
                              <w:rStyle w:val="AddressdetailsChar"/>
                              <w:rFonts w:ascii="Verdana" w:eastAsiaTheme="minorHAnsi" w:hAnsi="Verdana"/>
                            </w:rPr>
                            <w:br/>
                            <w:t>GPO Box 823</w:t>
                          </w:r>
                          <w:r w:rsidRPr="00ED06BD">
                            <w:rPr>
                              <w:rStyle w:val="AddressdetailsChar"/>
                              <w:rFonts w:ascii="Verdana" w:eastAsiaTheme="minorHAnsi" w:hAnsi="Verdana"/>
                            </w:rPr>
                            <w:br/>
                            <w:t>Canberra ACT 2601 Australia</w:t>
                          </w:r>
                          <w:r w:rsidRPr="00ED06BD">
                            <w:rPr>
                              <w:rStyle w:val="AddressdetailsChar"/>
                              <w:rFonts w:ascii="Verdana" w:eastAsiaTheme="minorHAnsi" w:hAnsi="Verdana"/>
                            </w:rPr>
                            <w:br/>
                          </w:r>
                          <w:r w:rsidRPr="00ED06BD">
                            <w:rPr>
                              <w:rStyle w:val="AddressdetailsChar"/>
                              <w:rFonts w:ascii="Verdana" w:eastAsiaTheme="minorHAnsi" w:hAnsi="Verdana"/>
                            </w:rPr>
                            <w:br/>
                            <w:t>Tel:  +61 2 6263 7000</w:t>
                          </w:r>
                          <w:r w:rsidRPr="00ED06BD">
                            <w:rPr>
                              <w:rStyle w:val="AddressdetailsChar"/>
                              <w:rFonts w:ascii="Verdana" w:eastAsiaTheme="minorHAnsi" w:hAnsi="Verdana"/>
                            </w:rPr>
                            <w:br/>
                            <w:t>Fax:  +61 2 6263 7004</w:t>
                          </w:r>
                          <w:r w:rsidRPr="00ED06BD">
                            <w:rPr>
                              <w:rStyle w:val="AddressdetailsChar"/>
                              <w:rFonts w:ascii="Verdana" w:eastAsiaTheme="minorHAnsi" w:hAnsi="Verdana"/>
                            </w:rPr>
                            <w:br/>
                            <w:t>www.deloitte.com.au</w:t>
                          </w:r>
                        </w:p>
                        <w:p w:rsidR="00AF4A89" w:rsidRDefault="00AF4A89" w:rsidP="003D5D41"/>
                      </w:txbxContent>
                    </v:textbox>
                  </v:shape>
                </w:pict>
              </mc:Fallback>
            </mc:AlternateContent>
          </w:r>
          <w:r w:rsidR="00EC7697" w:rsidRPr="00ED06BD">
            <w:rPr>
              <w:rFonts w:ascii="Verdana" w:hAnsi="Verdana"/>
              <w:noProof/>
              <w:szCs w:val="18"/>
              <w:lang w:eastAsia="en-AU"/>
            </w:rPr>
            <w:drawing>
              <wp:anchor distT="0" distB="0" distL="114300" distR="114300" simplePos="0" relativeHeight="251661824" behindDoc="0" locked="0" layoutInCell="1" allowOverlap="1" wp14:anchorId="579592A6" wp14:editId="2027D574">
                <wp:simplePos x="0" y="0"/>
                <wp:positionH relativeFrom="page">
                  <wp:posOffset>919109</wp:posOffset>
                </wp:positionH>
                <wp:positionV relativeFrom="page">
                  <wp:posOffset>668020</wp:posOffset>
                </wp:positionV>
                <wp:extent cx="1638300" cy="304800"/>
                <wp:effectExtent l="0" t="0" r="0" b="0"/>
                <wp:wrapNone/>
                <wp:docPr id="4" name="HDR_LOGO" descr="Deloitte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loitte_blue_RGB_1.tif"/>
                        <pic:cNvPicPr/>
                      </pic:nvPicPr>
                      <pic:blipFill>
                        <a:blip r:embed="rId12"/>
                        <a:stretch>
                          <a:fillRect/>
                        </a:stretch>
                      </pic:blipFill>
                      <pic:spPr>
                        <a:xfrm>
                          <a:off x="0" y="0"/>
                          <a:ext cx="1638300" cy="304800"/>
                        </a:xfrm>
                        <a:prstGeom prst="rect">
                          <a:avLst/>
                        </a:prstGeom>
                      </pic:spPr>
                    </pic:pic>
                  </a:graphicData>
                </a:graphic>
              </wp:anchor>
            </w:drawing>
          </w:r>
          <w:bookmarkEnd w:id="3"/>
          <w:bookmarkEnd w:id="2"/>
          <w:bookmarkEnd w:id="1"/>
        </w:p>
        <w:p w:rsidR="003B35EC" w:rsidRDefault="003B35EC" w:rsidP="00ED06BD">
          <w:pPr>
            <w:pStyle w:val="Bodycopy"/>
            <w:rPr>
              <w:rFonts w:ascii="Verdana" w:hAnsi="Verdana" w:cs="Arial"/>
            </w:rPr>
          </w:pPr>
        </w:p>
        <w:p w:rsidR="003B35EC" w:rsidRDefault="003B35EC" w:rsidP="00ED06BD">
          <w:pPr>
            <w:pStyle w:val="Bodycopy"/>
            <w:rPr>
              <w:rFonts w:ascii="Verdana" w:hAnsi="Verdana" w:cs="Arial"/>
            </w:rPr>
          </w:pPr>
        </w:p>
        <w:p w:rsidR="00AD7E72" w:rsidRDefault="00AD7E72" w:rsidP="00ED06BD">
          <w:pPr>
            <w:pStyle w:val="Bodycopy"/>
            <w:rPr>
              <w:rFonts w:ascii="Verdana" w:hAnsi="Verdana" w:cs="Arial"/>
            </w:rPr>
          </w:pPr>
          <w:r>
            <w:rPr>
              <w:rFonts w:ascii="Verdana" w:hAnsi="Verdana" w:cs="Arial"/>
            </w:rPr>
            <w:t>6 August 2018</w:t>
          </w:r>
        </w:p>
        <w:p w:rsidR="00AD7E72" w:rsidRDefault="00AD7E72" w:rsidP="00ED06BD">
          <w:pPr>
            <w:pStyle w:val="Bodycopy"/>
            <w:rPr>
              <w:rFonts w:ascii="Verdana" w:hAnsi="Verdana" w:cs="Arial"/>
            </w:rPr>
          </w:pPr>
        </w:p>
        <w:p w:rsidR="003D5D41" w:rsidRPr="00ED06BD" w:rsidRDefault="0075494E" w:rsidP="00ED06BD">
          <w:pPr>
            <w:pStyle w:val="Bodycopy"/>
            <w:rPr>
              <w:rFonts w:ascii="Verdana" w:hAnsi="Verdana" w:cs="Arial"/>
              <w:color w:val="000000" w:themeColor="text1"/>
            </w:rPr>
          </w:pPr>
          <w:r>
            <w:rPr>
              <w:rFonts w:ascii="Verdana" w:eastAsia="Times" w:hAnsi="Verdana"/>
              <w:b/>
              <w:color w:val="000000" w:themeColor="text1"/>
              <w:szCs w:val="18"/>
            </w:rPr>
            <w:t>Sports Supplements</w:t>
          </w:r>
          <w:r w:rsidR="003D5D41" w:rsidRPr="00ED06BD">
            <w:rPr>
              <w:rFonts w:ascii="Verdana" w:eastAsia="Times" w:hAnsi="Verdana"/>
              <w:b/>
              <w:color w:val="000000" w:themeColor="text1"/>
              <w:szCs w:val="18"/>
            </w:rPr>
            <w:t xml:space="preserve"> </w:t>
          </w:r>
          <w:r w:rsidR="00851B50">
            <w:rPr>
              <w:rFonts w:ascii="Verdana" w:eastAsia="Times" w:hAnsi="Verdana"/>
              <w:b/>
              <w:color w:val="000000" w:themeColor="text1"/>
              <w:szCs w:val="18"/>
            </w:rPr>
            <w:t>Roundtable – Report on Discussions and Next Steps</w:t>
          </w:r>
        </w:p>
        <w:p w:rsidR="003B35EC" w:rsidRDefault="003B35EC" w:rsidP="00ED06BD">
          <w:pPr>
            <w:pStyle w:val="Bodycopy"/>
            <w:rPr>
              <w:rFonts w:ascii="Verdana" w:hAnsi="Verdana" w:cstheme="minorHAnsi"/>
            </w:rPr>
          </w:pPr>
        </w:p>
        <w:p w:rsidR="00AD7E72" w:rsidRDefault="004A54EC" w:rsidP="00ED06BD">
          <w:pPr>
            <w:pStyle w:val="Bodycopy"/>
            <w:rPr>
              <w:rFonts w:ascii="Verdana" w:hAnsi="Verdana" w:cstheme="minorHAnsi"/>
            </w:rPr>
          </w:pPr>
          <w:r>
            <w:rPr>
              <w:rFonts w:ascii="Verdana" w:hAnsi="Verdana" w:cstheme="minorHAnsi"/>
            </w:rPr>
            <w:t xml:space="preserve">In </w:t>
          </w:r>
          <w:r w:rsidR="00AD7E72">
            <w:rPr>
              <w:rFonts w:ascii="Verdana" w:hAnsi="Verdana" w:cstheme="minorHAnsi"/>
            </w:rPr>
            <w:t>July</w:t>
          </w:r>
          <w:r>
            <w:rPr>
              <w:rFonts w:ascii="Verdana" w:hAnsi="Verdana" w:cstheme="minorHAnsi"/>
            </w:rPr>
            <w:t xml:space="preserve"> 2018, </w:t>
          </w:r>
          <w:r w:rsidR="00080B10">
            <w:rPr>
              <w:rFonts w:ascii="Verdana" w:hAnsi="Verdana" w:cstheme="minorHAnsi"/>
            </w:rPr>
            <w:t>Deloitte</w:t>
          </w:r>
          <w:r w:rsidR="00080B10" w:rsidRPr="00ED06BD">
            <w:rPr>
              <w:rFonts w:ascii="Verdana" w:hAnsi="Verdana" w:cstheme="minorHAnsi"/>
            </w:rPr>
            <w:t xml:space="preserve"> </w:t>
          </w:r>
          <w:r w:rsidR="003D5D41" w:rsidRPr="00ED06BD">
            <w:rPr>
              <w:rFonts w:ascii="Verdana" w:hAnsi="Verdana" w:cstheme="minorHAnsi"/>
            </w:rPr>
            <w:t xml:space="preserve">was commissioned to </w:t>
          </w:r>
          <w:r w:rsidR="00AD7E72">
            <w:rPr>
              <w:rFonts w:ascii="Verdana" w:hAnsi="Verdana" w:cstheme="minorHAnsi"/>
            </w:rPr>
            <w:t>facilitate a Roundtable on the Regulation of Sport Supplements.</w:t>
          </w:r>
        </w:p>
        <w:p w:rsidR="003B35EC" w:rsidRDefault="003B35EC" w:rsidP="00ED06BD">
          <w:pPr>
            <w:pStyle w:val="Bodycopy"/>
            <w:rPr>
              <w:rFonts w:ascii="Verdana" w:hAnsi="Verdana" w:cstheme="minorHAnsi"/>
            </w:rPr>
          </w:pPr>
        </w:p>
        <w:p w:rsidR="003B35EC" w:rsidRDefault="008D071E" w:rsidP="00AD7E72">
          <w:pPr>
            <w:pStyle w:val="Bodycopy"/>
            <w:rPr>
              <w:rFonts w:ascii="Verdana" w:hAnsi="Verdana" w:cstheme="minorHAnsi"/>
            </w:rPr>
          </w:pPr>
          <w:r>
            <w:rPr>
              <w:rFonts w:ascii="Verdana" w:hAnsi="Verdana" w:cstheme="minorHAnsi"/>
            </w:rPr>
            <w:t>The</w:t>
          </w:r>
          <w:r w:rsidR="00AD7E72" w:rsidRPr="00AD7E72">
            <w:rPr>
              <w:rFonts w:ascii="Verdana" w:hAnsi="Verdana" w:cstheme="minorHAnsi"/>
            </w:rPr>
            <w:t xml:space="preserve"> </w:t>
          </w:r>
          <w:r w:rsidR="00A56D04">
            <w:rPr>
              <w:rFonts w:ascii="Verdana" w:hAnsi="Verdana" w:cstheme="minorHAnsi"/>
            </w:rPr>
            <w:t>roundtable</w:t>
          </w:r>
          <w:r w:rsidR="00AD7E72" w:rsidRPr="00AD7E72">
            <w:rPr>
              <w:rFonts w:ascii="Verdana" w:hAnsi="Verdana" w:cstheme="minorHAnsi"/>
            </w:rPr>
            <w:t xml:space="preserve"> was convened by the Australian Government Department of Health on behalf of the Food Regu</w:t>
          </w:r>
          <w:r w:rsidR="003B35EC">
            <w:rPr>
              <w:rFonts w:ascii="Verdana" w:hAnsi="Verdana" w:cstheme="minorHAnsi"/>
            </w:rPr>
            <w:t>lation Standing Committee after a request</w:t>
          </w:r>
          <w:r w:rsidR="00AD7E72" w:rsidRPr="00AD7E72">
            <w:rPr>
              <w:rFonts w:ascii="Verdana" w:hAnsi="Verdana" w:cstheme="minorHAnsi"/>
            </w:rPr>
            <w:t xml:space="preserve"> from the </w:t>
          </w:r>
          <w:r w:rsidR="00903D59">
            <w:rPr>
              <w:rFonts w:ascii="Verdana" w:hAnsi="Verdana" w:cstheme="minorHAnsi"/>
            </w:rPr>
            <w:t xml:space="preserve">Australian Government </w:t>
          </w:r>
          <w:r w:rsidR="00AD7E72" w:rsidRPr="00AD7E72">
            <w:rPr>
              <w:rFonts w:ascii="Verdana" w:hAnsi="Verdana" w:cstheme="minorHAnsi"/>
            </w:rPr>
            <w:t>Minister for Health, the Hon Greg Hunt MP</w:t>
          </w:r>
          <w:r w:rsidR="003B35EC">
            <w:rPr>
              <w:rFonts w:ascii="Verdana" w:hAnsi="Verdana" w:cstheme="minorHAnsi"/>
            </w:rPr>
            <w:t>.</w:t>
          </w:r>
        </w:p>
        <w:p w:rsidR="003B35EC" w:rsidRDefault="003B35EC" w:rsidP="00AD7E72">
          <w:pPr>
            <w:pStyle w:val="Bodycopy"/>
            <w:rPr>
              <w:rFonts w:ascii="Verdana" w:hAnsi="Verdana" w:cstheme="minorHAnsi"/>
            </w:rPr>
          </w:pPr>
        </w:p>
        <w:p w:rsidR="008D071E" w:rsidRDefault="00AD7E72" w:rsidP="00AD7E72">
          <w:pPr>
            <w:pStyle w:val="Bodycopy"/>
            <w:rPr>
              <w:rFonts w:ascii="Verdana" w:hAnsi="Verdana" w:cstheme="minorHAnsi"/>
            </w:rPr>
          </w:pPr>
          <w:r w:rsidRPr="00AD7E72">
            <w:rPr>
              <w:rFonts w:ascii="Verdana" w:hAnsi="Verdana" w:cstheme="minorHAnsi"/>
            </w:rPr>
            <w:t xml:space="preserve">The Minister requested a </w:t>
          </w:r>
          <w:r w:rsidR="00A56D04">
            <w:rPr>
              <w:rFonts w:ascii="Verdana" w:hAnsi="Verdana" w:cstheme="minorHAnsi"/>
            </w:rPr>
            <w:t>roundtable</w:t>
          </w:r>
          <w:r w:rsidR="003B35EC">
            <w:rPr>
              <w:rFonts w:ascii="Verdana" w:hAnsi="Verdana" w:cstheme="minorHAnsi"/>
            </w:rPr>
            <w:t xml:space="preserve"> discussion to consider </w:t>
          </w:r>
          <w:r w:rsidRPr="00AD7E72">
            <w:rPr>
              <w:rFonts w:ascii="Verdana" w:hAnsi="Verdana" w:cstheme="minorHAnsi"/>
            </w:rPr>
            <w:t xml:space="preserve">whether there are opportunities at the </w:t>
          </w:r>
          <w:r w:rsidR="00E22F9B">
            <w:rPr>
              <w:rFonts w:ascii="Verdana" w:hAnsi="Verdana" w:cstheme="minorHAnsi"/>
            </w:rPr>
            <w:t xml:space="preserve">Australian Government </w:t>
          </w:r>
          <w:r w:rsidRPr="00AD7E72">
            <w:rPr>
              <w:rFonts w:ascii="Verdana" w:hAnsi="Verdana" w:cstheme="minorHAnsi"/>
            </w:rPr>
            <w:t xml:space="preserve">and/or state and territory levels to enhance the safety of consumers who choose to use sports supplements. </w:t>
          </w:r>
        </w:p>
        <w:p w:rsidR="003B35EC" w:rsidRDefault="003B35EC" w:rsidP="003B35EC">
          <w:pPr>
            <w:pStyle w:val="Bodycopy"/>
            <w:rPr>
              <w:rFonts w:ascii="Verdana" w:hAnsi="Verdana" w:cs="Arial"/>
            </w:rPr>
          </w:pPr>
        </w:p>
        <w:p w:rsidR="003D5D41" w:rsidRPr="00ED06BD" w:rsidRDefault="003B35EC" w:rsidP="003B35EC">
          <w:pPr>
            <w:pStyle w:val="Bodycopy"/>
            <w:rPr>
              <w:rFonts w:ascii="Verdana" w:hAnsi="Verdana" w:cs="Arial"/>
            </w:rPr>
          </w:pPr>
          <w:r>
            <w:rPr>
              <w:rFonts w:ascii="Verdana" w:hAnsi="Verdana" w:cs="Arial"/>
            </w:rPr>
            <w:t xml:space="preserve">The attached document </w:t>
          </w:r>
          <w:proofErr w:type="gramStart"/>
          <w:r>
            <w:rPr>
              <w:rFonts w:ascii="Verdana" w:hAnsi="Verdana" w:cs="Arial"/>
            </w:rPr>
            <w:t>report</w:t>
          </w:r>
          <w:r w:rsidR="008351C1">
            <w:rPr>
              <w:rFonts w:ascii="Verdana" w:hAnsi="Verdana" w:cs="Arial"/>
            </w:rPr>
            <w:t>s</w:t>
          </w:r>
          <w:r>
            <w:rPr>
              <w:rFonts w:ascii="Verdana" w:hAnsi="Verdana" w:cs="Arial"/>
            </w:rPr>
            <w:t xml:space="preserve"> on the proceedings of the Roundtable, the key issues raised and recommends</w:t>
          </w:r>
          <w:proofErr w:type="gramEnd"/>
          <w:r>
            <w:rPr>
              <w:rFonts w:ascii="Verdana" w:hAnsi="Verdana" w:cs="Arial"/>
            </w:rPr>
            <w:t xml:space="preserve"> further work on some options for improving safety for consumers of such products.</w:t>
          </w:r>
        </w:p>
        <w:p w:rsidR="003B35EC" w:rsidRDefault="003B35EC" w:rsidP="003D5D41">
          <w:pPr>
            <w:rPr>
              <w:rFonts w:ascii="Verdana" w:hAnsi="Verdana" w:cs="Arial"/>
              <w:sz w:val="20"/>
              <w:szCs w:val="20"/>
            </w:rPr>
          </w:pPr>
        </w:p>
        <w:p w:rsidR="003D5D41" w:rsidRPr="00ED06BD" w:rsidRDefault="006F03F1" w:rsidP="003D5D41">
          <w:pPr>
            <w:rPr>
              <w:rFonts w:ascii="Verdana" w:hAnsi="Verdana" w:cs="Arial"/>
              <w:sz w:val="20"/>
              <w:szCs w:val="20"/>
            </w:rPr>
          </w:pPr>
        </w:p>
      </w:sdtContent>
    </w:sdt>
    <w:p w:rsidR="003D5D41" w:rsidRPr="00ED06BD" w:rsidRDefault="003D5D41" w:rsidP="003D5D41">
      <w:pPr>
        <w:rPr>
          <w:rFonts w:ascii="Verdana" w:hAnsi="Verdana" w:cs="Arial"/>
          <w:sz w:val="20"/>
          <w:szCs w:val="20"/>
        </w:rPr>
      </w:pPr>
      <w:r w:rsidRPr="00ED06BD">
        <w:rPr>
          <w:rFonts w:ascii="Verdana" w:hAnsi="Verdana" w:cs="Arial"/>
          <w:noProof/>
          <w:sz w:val="20"/>
          <w:szCs w:val="20"/>
          <w:lang w:eastAsia="en-AU"/>
        </w:rPr>
        <w:drawing>
          <wp:inline distT="0" distB="0" distL="0" distR="0" wp14:anchorId="764BF846" wp14:editId="5B8092C9">
            <wp:extent cx="1085333" cy="504746"/>
            <wp:effectExtent l="0" t="0" r="635" b="0"/>
            <wp:docPr id="6" name="Picture 6" descr="Signature: Gary Rak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74372" cy="546155"/>
                    </a:xfrm>
                    <a:prstGeom prst="rect">
                      <a:avLst/>
                    </a:prstGeom>
                    <a:noFill/>
                    <a:ln>
                      <a:noFill/>
                    </a:ln>
                  </pic:spPr>
                </pic:pic>
              </a:graphicData>
            </a:graphic>
          </wp:inline>
        </w:drawing>
      </w:r>
    </w:p>
    <w:p w:rsidR="003D5D41" w:rsidRPr="00ED06BD" w:rsidRDefault="003D5D41" w:rsidP="003D5D41">
      <w:pPr>
        <w:spacing w:after="120"/>
        <w:rPr>
          <w:rFonts w:ascii="Verdana" w:hAnsi="Verdana"/>
          <w:b/>
          <w:sz w:val="20"/>
          <w:szCs w:val="20"/>
        </w:rPr>
      </w:pPr>
      <w:r w:rsidRPr="00ED06BD">
        <w:rPr>
          <w:rFonts w:ascii="Verdana" w:hAnsi="Verdana"/>
          <w:b/>
          <w:sz w:val="20"/>
          <w:szCs w:val="20"/>
        </w:rPr>
        <w:t>Gary Rake</w:t>
      </w:r>
    </w:p>
    <w:p w:rsidR="00516450" w:rsidRPr="00ED06BD" w:rsidRDefault="003D5D41" w:rsidP="00516450">
      <w:pPr>
        <w:spacing w:after="0"/>
        <w:rPr>
          <w:rFonts w:ascii="Verdana" w:hAnsi="Verdana"/>
          <w:b/>
          <w:sz w:val="20"/>
          <w:szCs w:val="20"/>
        </w:rPr>
      </w:pPr>
      <w:r w:rsidRPr="00ED06BD">
        <w:rPr>
          <w:rFonts w:ascii="Verdana" w:hAnsi="Verdana"/>
          <w:b/>
          <w:sz w:val="20"/>
          <w:szCs w:val="20"/>
        </w:rPr>
        <w:t>Partner</w:t>
      </w:r>
    </w:p>
    <w:p w:rsidR="00516450" w:rsidRPr="00ED06BD" w:rsidRDefault="00080B10" w:rsidP="00B83FCB">
      <w:pPr>
        <w:spacing w:after="120"/>
        <w:rPr>
          <w:rFonts w:ascii="Verdana" w:hAnsi="Verdana"/>
          <w:b/>
          <w:sz w:val="20"/>
          <w:szCs w:val="20"/>
        </w:rPr>
      </w:pPr>
      <w:r>
        <w:rPr>
          <w:rFonts w:ascii="Verdana" w:hAnsi="Verdana"/>
          <w:b/>
          <w:sz w:val="20"/>
          <w:szCs w:val="20"/>
        </w:rPr>
        <w:t>Deloitte Consulting Pty Ltd</w:t>
      </w:r>
    </w:p>
    <w:p w:rsidR="000C7D79" w:rsidRPr="00ED06BD" w:rsidRDefault="000C7D79" w:rsidP="007C55DE">
      <w:pPr>
        <w:pStyle w:val="Heading1"/>
        <w:keepLines w:val="0"/>
        <w:spacing w:before="0" w:after="240" w:line="240" w:lineRule="auto"/>
        <w:rPr>
          <w:rFonts w:ascii="Verdana" w:eastAsia="Times New Roman" w:hAnsi="Verdana" w:cs="OpenSansRegular"/>
          <w:bCs/>
          <w:color w:val="000000" w:themeColor="text1"/>
          <w:kern w:val="32"/>
          <w:sz w:val="40"/>
          <w:szCs w:val="40"/>
        </w:rPr>
        <w:sectPr w:rsidR="000C7D79" w:rsidRPr="00ED06BD" w:rsidSect="00346686">
          <w:headerReference w:type="even" r:id="rId14"/>
          <w:headerReference w:type="default" r:id="rId15"/>
          <w:headerReference w:type="first" r:id="rId16"/>
          <w:pgSz w:w="11906" w:h="16838"/>
          <w:pgMar w:top="1440" w:right="1440" w:bottom="1440" w:left="1440" w:header="708" w:footer="708" w:gutter="0"/>
          <w:cols w:space="708"/>
          <w:docGrid w:linePitch="360"/>
        </w:sectPr>
      </w:pPr>
    </w:p>
    <w:p w:rsidR="003D5D41" w:rsidRPr="00ED06BD" w:rsidRDefault="003D5D41" w:rsidP="007C55DE">
      <w:pPr>
        <w:pStyle w:val="Heading1"/>
        <w:keepLines w:val="0"/>
        <w:spacing w:before="0" w:after="240" w:line="240" w:lineRule="auto"/>
        <w:rPr>
          <w:rFonts w:ascii="Verdana" w:eastAsia="Times New Roman" w:hAnsi="Verdana" w:cs="OpenSansRegular"/>
          <w:bCs/>
          <w:color w:val="000000" w:themeColor="text1"/>
          <w:kern w:val="32"/>
          <w:sz w:val="40"/>
          <w:szCs w:val="40"/>
        </w:rPr>
        <w:sectPr w:rsidR="003D5D41" w:rsidRPr="00ED06BD" w:rsidSect="000C7D79">
          <w:type w:val="continuous"/>
          <w:pgSz w:w="11906" w:h="16838"/>
          <w:pgMar w:top="1440" w:right="1440" w:bottom="1440" w:left="1440" w:header="708" w:footer="708" w:gutter="0"/>
          <w:cols w:space="708"/>
          <w:docGrid w:linePitch="360"/>
        </w:sectPr>
      </w:pPr>
    </w:p>
    <w:p w:rsidR="007C55DE" w:rsidRPr="00ED06BD" w:rsidRDefault="008D071E" w:rsidP="007C55DE">
      <w:pPr>
        <w:pStyle w:val="Heading1"/>
        <w:keepLines w:val="0"/>
        <w:spacing w:before="0" w:after="240" w:line="240" w:lineRule="auto"/>
        <w:rPr>
          <w:rFonts w:ascii="Verdana" w:eastAsia="Verdana" w:hAnsi="Verdana" w:cs="OpenSansRegular"/>
          <w:sz w:val="18"/>
          <w:szCs w:val="18"/>
        </w:rPr>
      </w:pPr>
      <w:bookmarkStart w:id="5" w:name="_Toc521503519"/>
      <w:r>
        <w:rPr>
          <w:rFonts w:ascii="Verdana" w:eastAsia="Times New Roman" w:hAnsi="Verdana" w:cs="OpenSansRegular"/>
          <w:bCs/>
          <w:color w:val="000000" w:themeColor="text1"/>
          <w:kern w:val="32"/>
          <w:sz w:val="40"/>
          <w:szCs w:val="40"/>
        </w:rPr>
        <w:lastRenderedPageBreak/>
        <w:t>Background</w:t>
      </w:r>
      <w:bookmarkEnd w:id="5"/>
    </w:p>
    <w:p w:rsidR="008D071E" w:rsidRPr="008D071E" w:rsidRDefault="00A56D04" w:rsidP="008D071E">
      <w:pPr>
        <w:rPr>
          <w:rFonts w:ascii="Verdana" w:hAnsi="Verdana" w:cs="OpenSansRegular"/>
          <w:sz w:val="20"/>
          <w:szCs w:val="20"/>
        </w:rPr>
      </w:pPr>
      <w:r>
        <w:rPr>
          <w:rFonts w:ascii="Verdana" w:hAnsi="Verdana" w:cs="OpenSansRegular"/>
          <w:sz w:val="20"/>
          <w:szCs w:val="20"/>
        </w:rPr>
        <w:t>The round</w:t>
      </w:r>
      <w:r w:rsidR="008D071E" w:rsidRPr="008D071E">
        <w:rPr>
          <w:rFonts w:ascii="Verdana" w:hAnsi="Verdana" w:cs="OpenSansRegular"/>
          <w:sz w:val="20"/>
          <w:szCs w:val="20"/>
        </w:rPr>
        <w:t>table was convened by the Australian Government Department of Health on behalf of the Food Regulation Standing Committee (FRSC)</w:t>
      </w:r>
      <w:r>
        <w:rPr>
          <w:rFonts w:ascii="Verdana" w:hAnsi="Verdana" w:cs="OpenSansRegular"/>
          <w:sz w:val="20"/>
          <w:szCs w:val="20"/>
        </w:rPr>
        <w:t xml:space="preserve"> after th</w:t>
      </w:r>
      <w:r w:rsidR="008D071E" w:rsidRPr="008D071E">
        <w:rPr>
          <w:rFonts w:ascii="Verdana" w:hAnsi="Verdana" w:cs="OpenSansRegular"/>
          <w:sz w:val="20"/>
          <w:szCs w:val="20"/>
        </w:rPr>
        <w:t xml:space="preserve">e </w:t>
      </w:r>
      <w:r w:rsidR="00903D59">
        <w:rPr>
          <w:rFonts w:ascii="Verdana" w:hAnsi="Verdana" w:cs="OpenSansRegular"/>
          <w:sz w:val="20"/>
          <w:szCs w:val="20"/>
        </w:rPr>
        <w:t xml:space="preserve">Australian Government </w:t>
      </w:r>
      <w:r w:rsidR="008D071E" w:rsidRPr="008D071E">
        <w:rPr>
          <w:rFonts w:ascii="Verdana" w:hAnsi="Verdana" w:cs="OpenSansRegular"/>
          <w:sz w:val="20"/>
          <w:szCs w:val="20"/>
        </w:rPr>
        <w:t xml:space="preserve">Minister </w:t>
      </w:r>
      <w:r>
        <w:rPr>
          <w:rFonts w:ascii="Verdana" w:hAnsi="Verdana" w:cs="OpenSansRegular"/>
          <w:sz w:val="20"/>
          <w:szCs w:val="20"/>
        </w:rPr>
        <w:t>for Health wrote</w:t>
      </w:r>
      <w:r w:rsidR="008D071E" w:rsidRPr="008D071E">
        <w:rPr>
          <w:rFonts w:ascii="Verdana" w:hAnsi="Verdana" w:cs="OpenSansRegular"/>
          <w:sz w:val="20"/>
          <w:szCs w:val="20"/>
        </w:rPr>
        <w:t xml:space="preserve"> to the A</w:t>
      </w:r>
      <w:r>
        <w:rPr>
          <w:rFonts w:ascii="Verdana" w:hAnsi="Verdana" w:cs="OpenSansRegular"/>
          <w:sz w:val="20"/>
          <w:szCs w:val="20"/>
        </w:rPr>
        <w:t>cting</w:t>
      </w:r>
      <w:r w:rsidR="008D071E" w:rsidRPr="008D071E">
        <w:rPr>
          <w:rFonts w:ascii="Verdana" w:hAnsi="Verdana" w:cs="OpenSansRegular"/>
          <w:sz w:val="20"/>
          <w:szCs w:val="20"/>
        </w:rPr>
        <w:t xml:space="preserve"> Chair of FRSC in relation to the death of a young woman in Western Australia. </w:t>
      </w:r>
      <w:r>
        <w:rPr>
          <w:rFonts w:ascii="Verdana" w:hAnsi="Verdana" w:cs="OpenSansRegular"/>
          <w:sz w:val="20"/>
          <w:szCs w:val="20"/>
        </w:rPr>
        <w:t>The</w:t>
      </w:r>
      <w:r w:rsidR="008D071E" w:rsidRPr="008D071E">
        <w:rPr>
          <w:rFonts w:ascii="Verdana" w:hAnsi="Verdana" w:cs="OpenSansRegular"/>
          <w:sz w:val="20"/>
          <w:szCs w:val="20"/>
        </w:rPr>
        <w:t xml:space="preserve"> </w:t>
      </w:r>
      <w:r>
        <w:rPr>
          <w:rFonts w:ascii="Verdana" w:hAnsi="Verdana" w:cs="OpenSansRegular"/>
          <w:sz w:val="20"/>
          <w:szCs w:val="20"/>
        </w:rPr>
        <w:t>young woman’s death was</w:t>
      </w:r>
      <w:r w:rsidR="008D071E" w:rsidRPr="008D071E">
        <w:rPr>
          <w:rFonts w:ascii="Verdana" w:hAnsi="Verdana" w:cs="OpenSansRegular"/>
          <w:sz w:val="20"/>
          <w:szCs w:val="20"/>
        </w:rPr>
        <w:t xml:space="preserve"> attributed to an underlying metabolic disorder</w:t>
      </w:r>
      <w:r>
        <w:rPr>
          <w:rFonts w:ascii="Verdana" w:hAnsi="Verdana" w:cs="OpenSansRegular"/>
          <w:sz w:val="20"/>
          <w:szCs w:val="20"/>
        </w:rPr>
        <w:t xml:space="preserve"> </w:t>
      </w:r>
      <w:r w:rsidR="008D071E" w:rsidRPr="008D071E">
        <w:rPr>
          <w:rFonts w:ascii="Verdana" w:hAnsi="Verdana" w:cs="OpenSansRegular"/>
          <w:sz w:val="20"/>
          <w:szCs w:val="20"/>
        </w:rPr>
        <w:t>- Urea Cycle Disorder</w:t>
      </w:r>
      <w:r w:rsidR="008351C1">
        <w:rPr>
          <w:rFonts w:ascii="Verdana" w:hAnsi="Verdana" w:cs="OpenSansRegular"/>
          <w:sz w:val="20"/>
          <w:szCs w:val="20"/>
        </w:rPr>
        <w:t xml:space="preserve"> </w:t>
      </w:r>
      <w:r w:rsidR="008D071E" w:rsidRPr="008D071E">
        <w:rPr>
          <w:rFonts w:ascii="Verdana" w:hAnsi="Verdana" w:cs="OpenSansRegular"/>
          <w:sz w:val="20"/>
          <w:szCs w:val="20"/>
        </w:rPr>
        <w:t xml:space="preserve">- where her body was unable to metabolise </w:t>
      </w:r>
      <w:r>
        <w:rPr>
          <w:rFonts w:ascii="Verdana" w:hAnsi="Verdana" w:cs="OpenSansRegular"/>
          <w:sz w:val="20"/>
          <w:szCs w:val="20"/>
        </w:rPr>
        <w:t>her</w:t>
      </w:r>
      <w:r w:rsidR="008D071E" w:rsidRPr="008D071E">
        <w:rPr>
          <w:rFonts w:ascii="Verdana" w:hAnsi="Verdana" w:cs="OpenSansRegular"/>
          <w:sz w:val="20"/>
          <w:szCs w:val="20"/>
        </w:rPr>
        <w:t xml:space="preserve"> high protein diet</w:t>
      </w:r>
      <w:r w:rsidR="0060536B">
        <w:rPr>
          <w:rFonts w:ascii="Verdana" w:hAnsi="Verdana" w:cs="OpenSansRegular"/>
          <w:sz w:val="20"/>
          <w:szCs w:val="20"/>
        </w:rPr>
        <w:t xml:space="preserve"> (</w:t>
      </w:r>
      <w:r w:rsidR="008D071E" w:rsidRPr="008D071E">
        <w:rPr>
          <w:rFonts w:ascii="Verdana" w:hAnsi="Verdana" w:cs="OpenSansRegular"/>
          <w:sz w:val="20"/>
          <w:szCs w:val="20"/>
        </w:rPr>
        <w:t>includ</w:t>
      </w:r>
      <w:r w:rsidR="0060536B">
        <w:rPr>
          <w:rFonts w:ascii="Verdana" w:hAnsi="Verdana" w:cs="OpenSansRegular"/>
          <w:sz w:val="20"/>
          <w:szCs w:val="20"/>
        </w:rPr>
        <w:t>ing</w:t>
      </w:r>
      <w:r w:rsidR="008D071E" w:rsidRPr="008D071E">
        <w:rPr>
          <w:rFonts w:ascii="Verdana" w:hAnsi="Verdana" w:cs="OpenSansRegular"/>
          <w:sz w:val="20"/>
          <w:szCs w:val="20"/>
        </w:rPr>
        <w:t xml:space="preserve"> protein rich foods and various sports supplement protein powders</w:t>
      </w:r>
      <w:r w:rsidR="0060536B">
        <w:rPr>
          <w:rFonts w:ascii="Verdana" w:hAnsi="Verdana" w:cs="OpenSansRegular"/>
          <w:sz w:val="20"/>
          <w:szCs w:val="20"/>
        </w:rPr>
        <w:t>)</w:t>
      </w:r>
      <w:r w:rsidR="008D071E" w:rsidRPr="008D071E">
        <w:rPr>
          <w:rFonts w:ascii="Verdana" w:hAnsi="Verdana" w:cs="OpenSansRegular"/>
          <w:sz w:val="20"/>
          <w:szCs w:val="20"/>
        </w:rPr>
        <w:t>.</w:t>
      </w:r>
    </w:p>
    <w:p w:rsidR="00122A22" w:rsidRPr="00985111" w:rsidRDefault="00A56D04" w:rsidP="00985111">
      <w:pPr>
        <w:rPr>
          <w:rFonts w:ascii="Verdana" w:hAnsi="Verdana" w:cs="OpenSansRegular"/>
          <w:sz w:val="20"/>
          <w:szCs w:val="20"/>
        </w:rPr>
      </w:pPr>
      <w:r>
        <w:rPr>
          <w:rFonts w:ascii="Verdana" w:hAnsi="Verdana" w:cs="OpenSansRegular"/>
          <w:sz w:val="20"/>
          <w:szCs w:val="20"/>
        </w:rPr>
        <w:t>The Minister asked</w:t>
      </w:r>
      <w:r w:rsidR="008D071E" w:rsidRPr="008D071E">
        <w:rPr>
          <w:rFonts w:ascii="Verdana" w:hAnsi="Verdana" w:cs="OpenSansRegular"/>
          <w:sz w:val="20"/>
          <w:szCs w:val="20"/>
        </w:rPr>
        <w:t xml:space="preserve"> FRSC</w:t>
      </w:r>
      <w:r>
        <w:rPr>
          <w:rFonts w:ascii="Verdana" w:hAnsi="Verdana" w:cs="OpenSansRegular"/>
          <w:sz w:val="20"/>
          <w:szCs w:val="20"/>
        </w:rPr>
        <w:t xml:space="preserve"> to</w:t>
      </w:r>
      <w:r w:rsidR="008D071E" w:rsidRPr="008D071E">
        <w:rPr>
          <w:rFonts w:ascii="Verdana" w:hAnsi="Verdana" w:cs="OpenSansRegular"/>
          <w:sz w:val="20"/>
          <w:szCs w:val="20"/>
        </w:rPr>
        <w:t xml:space="preserve"> convene a </w:t>
      </w:r>
      <w:r>
        <w:rPr>
          <w:rFonts w:ascii="Verdana" w:hAnsi="Verdana" w:cs="OpenSansRegular"/>
          <w:sz w:val="20"/>
          <w:szCs w:val="20"/>
        </w:rPr>
        <w:t>roundtable</w:t>
      </w:r>
      <w:r w:rsidR="008D071E" w:rsidRPr="008D071E">
        <w:rPr>
          <w:rFonts w:ascii="Verdana" w:hAnsi="Verdana" w:cs="OpenSansRegular"/>
          <w:sz w:val="20"/>
          <w:szCs w:val="20"/>
        </w:rPr>
        <w:t xml:space="preserve"> to investigate whether there are opportunities at the commonwealth and/or state and territory levels to enhance the safety of consumers who choose to use sports supplements.</w:t>
      </w:r>
    </w:p>
    <w:p w:rsidR="007C55DE" w:rsidRPr="00122A22" w:rsidRDefault="008D071E" w:rsidP="00BC0D3D">
      <w:pPr>
        <w:pStyle w:val="Heading1"/>
        <w:keepLines w:val="0"/>
        <w:spacing w:before="0" w:after="120" w:line="240" w:lineRule="auto"/>
        <w:rPr>
          <w:rFonts w:ascii="Verdana" w:eastAsia="Times New Roman" w:hAnsi="Verdana" w:cs="OpenSansRegular"/>
          <w:bCs/>
          <w:color w:val="000000" w:themeColor="text1"/>
          <w:kern w:val="32"/>
          <w:sz w:val="40"/>
          <w:szCs w:val="40"/>
        </w:rPr>
      </w:pPr>
      <w:bookmarkStart w:id="6" w:name="_Toc521503521"/>
      <w:r w:rsidRPr="00122A22">
        <w:rPr>
          <w:rFonts w:ascii="Verdana" w:eastAsia="Times New Roman" w:hAnsi="Verdana" w:cs="OpenSansRegular"/>
          <w:bCs/>
          <w:color w:val="000000" w:themeColor="text1"/>
          <w:kern w:val="32"/>
          <w:sz w:val="40"/>
          <w:szCs w:val="40"/>
        </w:rPr>
        <w:t>Attendees</w:t>
      </w:r>
      <w:bookmarkEnd w:id="6"/>
    </w:p>
    <w:p w:rsidR="00122A22" w:rsidRPr="00985111" w:rsidRDefault="007C55DE" w:rsidP="00985111">
      <w:pPr>
        <w:spacing w:after="0"/>
        <w:rPr>
          <w:rFonts w:ascii="Verdana" w:hAnsi="Verdana" w:cs="OpenSansRegular"/>
          <w:sz w:val="20"/>
          <w:szCs w:val="20"/>
        </w:rPr>
      </w:pPr>
      <w:r w:rsidRPr="00ED06BD">
        <w:rPr>
          <w:rFonts w:ascii="Verdana" w:hAnsi="Verdana" w:cs="OpenSansRegular"/>
          <w:sz w:val="20"/>
          <w:szCs w:val="20"/>
        </w:rPr>
        <w:t xml:space="preserve">The </w:t>
      </w:r>
      <w:r w:rsidR="003B35EC">
        <w:rPr>
          <w:rFonts w:ascii="Verdana" w:hAnsi="Verdana" w:cs="OpenSansRegular"/>
          <w:sz w:val="20"/>
          <w:szCs w:val="20"/>
        </w:rPr>
        <w:t xml:space="preserve">roundtable was attended by representatives from Australian Government agencies, state and territory governments, </w:t>
      </w:r>
      <w:proofErr w:type="gramStart"/>
      <w:r w:rsidR="003B35EC">
        <w:rPr>
          <w:rFonts w:ascii="Verdana" w:hAnsi="Verdana" w:cs="OpenSansRegular"/>
          <w:sz w:val="20"/>
          <w:szCs w:val="20"/>
        </w:rPr>
        <w:t>public</w:t>
      </w:r>
      <w:proofErr w:type="gramEnd"/>
      <w:r w:rsidR="003B35EC">
        <w:rPr>
          <w:rFonts w:ascii="Verdana" w:hAnsi="Verdana" w:cs="OpenSansRegular"/>
          <w:sz w:val="20"/>
          <w:szCs w:val="20"/>
        </w:rPr>
        <w:t xml:space="preserve"> health organisations and from in</w:t>
      </w:r>
      <w:r w:rsidR="00122A22">
        <w:rPr>
          <w:rFonts w:ascii="Verdana" w:hAnsi="Verdana" w:cs="OpenSansRegular"/>
          <w:sz w:val="20"/>
          <w:szCs w:val="20"/>
        </w:rPr>
        <w:t>dustry.</w:t>
      </w:r>
    </w:p>
    <w:tbl>
      <w:tblPr>
        <w:tblStyle w:val="TableGrid2"/>
        <w:tblpPr w:leftFromText="180" w:rightFromText="180" w:vertAnchor="text" w:horzAnchor="margin" w:tblpXSpec="center" w:tblpY="259"/>
        <w:tblW w:w="9243" w:type="dxa"/>
        <w:tblLook w:val="04A0" w:firstRow="1" w:lastRow="0" w:firstColumn="1" w:lastColumn="0" w:noHBand="0" w:noVBand="1"/>
        <w:tblDescription w:val="attendees."/>
      </w:tblPr>
      <w:tblGrid>
        <w:gridCol w:w="3261"/>
        <w:gridCol w:w="5982"/>
      </w:tblGrid>
      <w:tr w:rsidR="00985111" w:rsidRPr="00985111" w:rsidTr="006F03F1">
        <w:trPr>
          <w:tblHeader/>
        </w:trPr>
        <w:tc>
          <w:tcPr>
            <w:tcW w:w="3261" w:type="dxa"/>
            <w:shd w:val="clear" w:color="auto" w:fill="BFBFBF"/>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Name</w:t>
            </w:r>
          </w:p>
        </w:tc>
        <w:tc>
          <w:tcPr>
            <w:tcW w:w="5982" w:type="dxa"/>
            <w:shd w:val="clear" w:color="auto" w:fill="BFBFBF"/>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Organisation</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Gary Rake</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Facilitator, Deloitte</w:t>
            </w:r>
          </w:p>
        </w:tc>
      </w:tr>
      <w:tr w:rsidR="00985111" w:rsidRPr="00985111" w:rsidTr="00BC0D3D">
        <w:tc>
          <w:tcPr>
            <w:tcW w:w="3261" w:type="dxa"/>
            <w:vAlign w:val="center"/>
          </w:tcPr>
          <w:p w:rsidR="00A56D04" w:rsidRDefault="00985111" w:rsidP="00A56D04">
            <w:pPr>
              <w:rPr>
                <w:rFonts w:ascii="Verdana" w:hAnsi="Verdana" w:cs="Arial"/>
                <w:sz w:val="18"/>
                <w:szCs w:val="18"/>
              </w:rPr>
            </w:pPr>
            <w:r w:rsidRPr="00985111">
              <w:rPr>
                <w:rFonts w:ascii="Verdana" w:hAnsi="Verdana" w:cs="Arial"/>
                <w:sz w:val="18"/>
                <w:szCs w:val="18"/>
              </w:rPr>
              <w:t xml:space="preserve">Lyndall </w:t>
            </w:r>
            <w:proofErr w:type="spellStart"/>
            <w:r w:rsidRPr="00985111">
              <w:rPr>
                <w:rFonts w:ascii="Verdana" w:hAnsi="Verdana" w:cs="Arial"/>
                <w:sz w:val="18"/>
                <w:szCs w:val="18"/>
              </w:rPr>
              <w:t>Soper</w:t>
            </w:r>
            <w:proofErr w:type="spellEnd"/>
          </w:p>
          <w:p w:rsidR="00A56D04" w:rsidRDefault="00985111" w:rsidP="00A56D04">
            <w:pPr>
              <w:rPr>
                <w:rFonts w:ascii="Verdana" w:hAnsi="Verdana" w:cs="Arial"/>
                <w:sz w:val="18"/>
                <w:szCs w:val="18"/>
              </w:rPr>
            </w:pPr>
            <w:r w:rsidRPr="00985111">
              <w:rPr>
                <w:rFonts w:ascii="Verdana" w:hAnsi="Verdana" w:cs="Arial"/>
                <w:sz w:val="18"/>
                <w:szCs w:val="18"/>
              </w:rPr>
              <w:t>Christel Leemhuis</w:t>
            </w:r>
          </w:p>
          <w:p w:rsidR="00A56D04" w:rsidRDefault="00985111" w:rsidP="00A56D04">
            <w:pPr>
              <w:rPr>
                <w:rFonts w:ascii="Verdana" w:hAnsi="Verdana" w:cs="Arial"/>
                <w:sz w:val="18"/>
                <w:szCs w:val="18"/>
              </w:rPr>
            </w:pPr>
            <w:r w:rsidRPr="00985111">
              <w:rPr>
                <w:rFonts w:ascii="Verdana" w:hAnsi="Verdana" w:cs="Arial"/>
                <w:sz w:val="18"/>
                <w:szCs w:val="18"/>
              </w:rPr>
              <w:t>Holly Jones</w:t>
            </w:r>
          </w:p>
          <w:p w:rsidR="00A56D04" w:rsidRDefault="00985111" w:rsidP="00A56D04">
            <w:pPr>
              <w:rPr>
                <w:rFonts w:ascii="Verdana" w:hAnsi="Verdana" w:cs="Arial"/>
                <w:sz w:val="18"/>
                <w:szCs w:val="18"/>
              </w:rPr>
            </w:pPr>
            <w:r w:rsidRPr="00985111">
              <w:rPr>
                <w:rFonts w:ascii="Verdana" w:hAnsi="Verdana" w:cs="Arial"/>
                <w:sz w:val="18"/>
                <w:szCs w:val="18"/>
              </w:rPr>
              <w:t>Belinda Turk</w:t>
            </w:r>
          </w:p>
          <w:p w:rsidR="00985111" w:rsidRPr="00985111" w:rsidRDefault="00985111" w:rsidP="00A56D04">
            <w:pPr>
              <w:rPr>
                <w:rFonts w:ascii="Verdana" w:hAnsi="Verdana" w:cs="Arial"/>
                <w:sz w:val="18"/>
                <w:szCs w:val="18"/>
              </w:rPr>
            </w:pPr>
            <w:r w:rsidRPr="00985111">
              <w:rPr>
                <w:rFonts w:ascii="Verdana" w:hAnsi="Verdana" w:cs="Arial"/>
                <w:sz w:val="18"/>
                <w:szCs w:val="18"/>
              </w:rPr>
              <w:t>Andrew Godkin</w:t>
            </w:r>
          </w:p>
          <w:p w:rsidR="00985111" w:rsidRDefault="00985111" w:rsidP="00A56D04">
            <w:pPr>
              <w:rPr>
                <w:rFonts w:ascii="Verdana" w:hAnsi="Verdana" w:cs="Arial"/>
                <w:sz w:val="18"/>
                <w:szCs w:val="18"/>
              </w:rPr>
            </w:pPr>
            <w:r w:rsidRPr="00985111">
              <w:rPr>
                <w:rFonts w:ascii="Verdana" w:hAnsi="Verdana" w:cs="Arial"/>
                <w:sz w:val="18"/>
                <w:szCs w:val="18"/>
              </w:rPr>
              <w:t xml:space="preserve">Dr Lucas de </w:t>
            </w:r>
            <w:proofErr w:type="spellStart"/>
            <w:r w:rsidRPr="00985111">
              <w:rPr>
                <w:rFonts w:ascii="Verdana" w:hAnsi="Verdana" w:cs="Arial"/>
                <w:sz w:val="18"/>
                <w:szCs w:val="18"/>
              </w:rPr>
              <w:t>Toca</w:t>
            </w:r>
            <w:proofErr w:type="spellEnd"/>
          </w:p>
          <w:p w:rsidR="00D23F19" w:rsidRPr="00985111" w:rsidRDefault="00D23F19" w:rsidP="00A56D04">
            <w:pPr>
              <w:rPr>
                <w:rFonts w:ascii="Verdana" w:hAnsi="Verdana" w:cs="Arial"/>
                <w:sz w:val="18"/>
                <w:szCs w:val="18"/>
              </w:rPr>
            </w:pPr>
            <w:r>
              <w:rPr>
                <w:rFonts w:ascii="Verdana" w:hAnsi="Verdana" w:cs="Arial"/>
                <w:sz w:val="18"/>
                <w:szCs w:val="18"/>
              </w:rPr>
              <w:t>Dr Lisa Studdert (afternoon only)</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 xml:space="preserve">Australian Government Department of Health </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Mark Phythian</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Department of Agriculture and Water Resources</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Sarah Gifford</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Department of Industry, Innovation and Science</w:t>
            </w:r>
          </w:p>
        </w:tc>
      </w:tr>
      <w:tr w:rsidR="00985111" w:rsidRPr="00985111" w:rsidTr="00BC0D3D">
        <w:tc>
          <w:tcPr>
            <w:tcW w:w="3261" w:type="dxa"/>
            <w:vAlign w:val="center"/>
          </w:tcPr>
          <w:p w:rsidR="00985111" w:rsidRDefault="00D23F19" w:rsidP="00A56D04">
            <w:pPr>
              <w:rPr>
                <w:rFonts w:ascii="Verdana" w:hAnsi="Verdana" w:cs="Arial"/>
                <w:sz w:val="18"/>
                <w:szCs w:val="18"/>
              </w:rPr>
            </w:pPr>
            <w:r>
              <w:rPr>
                <w:rFonts w:ascii="Verdana" w:hAnsi="Verdana" w:cs="Arial"/>
                <w:sz w:val="18"/>
                <w:szCs w:val="18"/>
              </w:rPr>
              <w:t xml:space="preserve">Dr </w:t>
            </w:r>
            <w:r w:rsidR="00985111" w:rsidRPr="00985111">
              <w:rPr>
                <w:rFonts w:ascii="Verdana" w:hAnsi="Verdana" w:cs="Arial"/>
                <w:sz w:val="18"/>
                <w:szCs w:val="18"/>
              </w:rPr>
              <w:t>David Cusack</w:t>
            </w:r>
          </w:p>
          <w:p w:rsidR="008351C1" w:rsidRPr="00985111" w:rsidRDefault="008351C1" w:rsidP="00A56D04">
            <w:pPr>
              <w:rPr>
                <w:rFonts w:ascii="Verdana" w:hAnsi="Verdana" w:cs="Arial"/>
                <w:sz w:val="18"/>
                <w:szCs w:val="18"/>
              </w:rPr>
            </w:pPr>
            <w:r>
              <w:rPr>
                <w:rFonts w:ascii="Verdana" w:hAnsi="Verdana" w:cs="Arial"/>
                <w:sz w:val="18"/>
                <w:szCs w:val="18"/>
              </w:rPr>
              <w:t>Ian Beer</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NSW Department of Primary Industries</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Sophie Dwyer</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Queensland Health</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Stan Goodchild</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Health WA</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Conrad Barr</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ACT Health</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Janelle Kwon</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Department of Health and Human Services Victoria</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Dr Fay Jenkins</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SA Health</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Karen Lau</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New Zealand Ministry for Primary Industries</w:t>
            </w:r>
          </w:p>
        </w:tc>
      </w:tr>
      <w:tr w:rsidR="00985111" w:rsidRPr="00985111" w:rsidTr="00BC0D3D">
        <w:tc>
          <w:tcPr>
            <w:tcW w:w="3261" w:type="dxa"/>
            <w:vAlign w:val="center"/>
          </w:tcPr>
          <w:p w:rsidR="00985111" w:rsidRPr="00985111" w:rsidRDefault="00A9226B" w:rsidP="00A56D04">
            <w:pPr>
              <w:rPr>
                <w:rFonts w:ascii="Verdana" w:hAnsi="Verdana" w:cs="Arial"/>
                <w:sz w:val="18"/>
                <w:szCs w:val="18"/>
              </w:rPr>
            </w:pPr>
            <w:r>
              <w:rPr>
                <w:rFonts w:ascii="Verdana" w:hAnsi="Verdana" w:cs="Arial"/>
                <w:sz w:val="18"/>
                <w:szCs w:val="18"/>
              </w:rPr>
              <w:t xml:space="preserve">Dr </w:t>
            </w:r>
            <w:r w:rsidR="00985111" w:rsidRPr="00985111">
              <w:rPr>
                <w:rFonts w:ascii="Verdana" w:hAnsi="Verdana" w:cs="Arial"/>
                <w:sz w:val="18"/>
                <w:szCs w:val="18"/>
              </w:rPr>
              <w:t>Eva Bennet</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Implementation Subcommittee for Food Regulation Chair</w:t>
            </w:r>
          </w:p>
        </w:tc>
      </w:tr>
      <w:tr w:rsidR="00985111" w:rsidRPr="00985111" w:rsidTr="00BC0D3D">
        <w:tc>
          <w:tcPr>
            <w:tcW w:w="3261" w:type="dxa"/>
            <w:vAlign w:val="center"/>
          </w:tcPr>
          <w:p w:rsidR="00A56D04" w:rsidRDefault="00A56D04" w:rsidP="00A56D04">
            <w:pPr>
              <w:rPr>
                <w:rFonts w:ascii="Verdana" w:hAnsi="Verdana" w:cs="Arial"/>
                <w:sz w:val="18"/>
                <w:szCs w:val="18"/>
              </w:rPr>
            </w:pPr>
            <w:r>
              <w:rPr>
                <w:rFonts w:ascii="Verdana" w:hAnsi="Verdana" w:cs="Arial"/>
                <w:sz w:val="18"/>
                <w:szCs w:val="18"/>
              </w:rPr>
              <w:t>Mark Booth</w:t>
            </w:r>
          </w:p>
          <w:p w:rsidR="00A56D04" w:rsidRDefault="00985111" w:rsidP="00A56D04">
            <w:pPr>
              <w:rPr>
                <w:rFonts w:ascii="Verdana" w:hAnsi="Verdana" w:cs="Arial"/>
                <w:sz w:val="18"/>
                <w:szCs w:val="18"/>
              </w:rPr>
            </w:pPr>
            <w:r w:rsidRPr="00985111">
              <w:rPr>
                <w:rFonts w:ascii="Verdana" w:hAnsi="Verdana" w:cs="Arial"/>
                <w:sz w:val="18"/>
                <w:szCs w:val="18"/>
              </w:rPr>
              <w:t>Janine Lewis</w:t>
            </w:r>
          </w:p>
          <w:p w:rsidR="00985111" w:rsidRPr="00985111" w:rsidRDefault="00985111" w:rsidP="00A56D04">
            <w:pPr>
              <w:rPr>
                <w:rFonts w:ascii="Verdana" w:hAnsi="Verdana" w:cs="Arial"/>
                <w:sz w:val="18"/>
                <w:szCs w:val="18"/>
              </w:rPr>
            </w:pPr>
            <w:r w:rsidRPr="00985111">
              <w:rPr>
                <w:rFonts w:ascii="Verdana" w:hAnsi="Verdana" w:cs="Arial"/>
                <w:sz w:val="18"/>
                <w:szCs w:val="18"/>
              </w:rPr>
              <w:t>Peter May</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 xml:space="preserve">Food Standards Australia New Zealand </w:t>
            </w:r>
          </w:p>
        </w:tc>
      </w:tr>
      <w:tr w:rsidR="00985111" w:rsidRPr="00985111" w:rsidTr="00BC0D3D">
        <w:tc>
          <w:tcPr>
            <w:tcW w:w="3261" w:type="dxa"/>
            <w:vAlign w:val="center"/>
          </w:tcPr>
          <w:p w:rsidR="00A56D04" w:rsidRDefault="00985111" w:rsidP="00A56D04">
            <w:pPr>
              <w:rPr>
                <w:rFonts w:ascii="Verdana" w:hAnsi="Verdana" w:cs="Arial"/>
                <w:sz w:val="18"/>
                <w:szCs w:val="18"/>
              </w:rPr>
            </w:pPr>
            <w:r w:rsidRPr="00985111">
              <w:rPr>
                <w:rFonts w:ascii="Verdana" w:hAnsi="Verdana" w:cs="Arial"/>
                <w:sz w:val="18"/>
                <w:szCs w:val="18"/>
              </w:rPr>
              <w:t>Dr Adam Cook</w:t>
            </w:r>
          </w:p>
          <w:p w:rsidR="00985111" w:rsidRPr="00985111" w:rsidRDefault="00985111" w:rsidP="00A56D04">
            <w:pPr>
              <w:rPr>
                <w:rFonts w:ascii="Verdana" w:hAnsi="Verdana" w:cs="Arial"/>
                <w:sz w:val="18"/>
                <w:szCs w:val="18"/>
              </w:rPr>
            </w:pPr>
            <w:r w:rsidRPr="00985111">
              <w:rPr>
                <w:rFonts w:ascii="Verdana" w:hAnsi="Verdana" w:cs="Arial"/>
                <w:sz w:val="18"/>
                <w:szCs w:val="18"/>
              </w:rPr>
              <w:t>Cheryl McRae</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Therapeutic Goods Administration</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Louise Healy</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Metabolic Dietary Disorders Association</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 xml:space="preserve">Dr </w:t>
            </w:r>
            <w:proofErr w:type="spellStart"/>
            <w:r w:rsidRPr="00985111">
              <w:rPr>
                <w:rFonts w:ascii="Verdana" w:hAnsi="Verdana" w:cs="Arial"/>
                <w:sz w:val="18"/>
                <w:szCs w:val="18"/>
              </w:rPr>
              <w:t>Kaustuv</w:t>
            </w:r>
            <w:proofErr w:type="spellEnd"/>
            <w:r w:rsidRPr="00985111">
              <w:rPr>
                <w:rFonts w:ascii="Verdana" w:hAnsi="Verdana" w:cs="Arial"/>
                <w:sz w:val="18"/>
                <w:szCs w:val="18"/>
              </w:rPr>
              <w:t xml:space="preserve"> Bhattacharya</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Representing the Australasian Society of Inborn of Metabolism</w:t>
            </w:r>
          </w:p>
        </w:tc>
      </w:tr>
      <w:tr w:rsidR="00985111" w:rsidRPr="00985111" w:rsidTr="00BC0D3D">
        <w:tc>
          <w:tcPr>
            <w:tcW w:w="3261" w:type="dxa"/>
            <w:vAlign w:val="center"/>
          </w:tcPr>
          <w:p w:rsidR="00985111" w:rsidRPr="00985111" w:rsidRDefault="008351C1" w:rsidP="00A56D04">
            <w:pPr>
              <w:rPr>
                <w:rFonts w:ascii="Verdana" w:hAnsi="Verdana" w:cs="Arial"/>
                <w:sz w:val="18"/>
                <w:szCs w:val="18"/>
              </w:rPr>
            </w:pPr>
            <w:r>
              <w:rPr>
                <w:rFonts w:ascii="Verdana" w:hAnsi="Verdana" w:cs="Arial"/>
                <w:sz w:val="18"/>
                <w:szCs w:val="18"/>
              </w:rPr>
              <w:t xml:space="preserve">Professor </w:t>
            </w:r>
            <w:r w:rsidR="00A56D04">
              <w:rPr>
                <w:rFonts w:ascii="Verdana" w:hAnsi="Verdana" w:cs="Arial"/>
                <w:sz w:val="18"/>
                <w:szCs w:val="18"/>
              </w:rPr>
              <w:t>Louise Bourke</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Australian Institute of Sport</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Chloe McLeod</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Sports Dietitians Association</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Amelia Webster</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Nutrition Australia (Qld)</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Dr Adam Castricum</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Australian College of Sport and Exercise Physicians</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Dr Jon Wardle</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Representing Public Health Association of Australia)</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Matt Rees</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Australian Sports Nutrition</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Stephen Eddy</w:t>
            </w:r>
          </w:p>
        </w:tc>
        <w:tc>
          <w:tcPr>
            <w:tcW w:w="5982"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ATP Science</w:t>
            </w:r>
          </w:p>
        </w:tc>
      </w:tr>
      <w:tr w:rsidR="00985111" w:rsidRPr="00985111" w:rsidTr="00BC0D3D">
        <w:tc>
          <w:tcPr>
            <w:tcW w:w="3261" w:type="dxa"/>
            <w:vAlign w:val="center"/>
          </w:tcPr>
          <w:p w:rsidR="00985111" w:rsidRPr="00985111" w:rsidRDefault="00985111" w:rsidP="00A56D04">
            <w:pPr>
              <w:rPr>
                <w:rFonts w:ascii="Verdana" w:hAnsi="Verdana" w:cs="Arial"/>
                <w:sz w:val="18"/>
                <w:szCs w:val="18"/>
              </w:rPr>
            </w:pPr>
            <w:r w:rsidRPr="00985111">
              <w:rPr>
                <w:rFonts w:ascii="Verdana" w:hAnsi="Verdana" w:cs="Arial"/>
                <w:sz w:val="18"/>
                <w:szCs w:val="18"/>
              </w:rPr>
              <w:t>Harriet Walker</w:t>
            </w:r>
          </w:p>
        </w:tc>
        <w:tc>
          <w:tcPr>
            <w:tcW w:w="5982" w:type="dxa"/>
            <w:vAlign w:val="center"/>
          </w:tcPr>
          <w:p w:rsidR="00985111" w:rsidRPr="00985111" w:rsidRDefault="00985111" w:rsidP="00A56D04">
            <w:pPr>
              <w:rPr>
                <w:rFonts w:ascii="Verdana" w:hAnsi="Verdana" w:cs="Arial"/>
                <w:sz w:val="18"/>
                <w:szCs w:val="18"/>
              </w:rPr>
            </w:pPr>
            <w:proofErr w:type="spellStart"/>
            <w:r w:rsidRPr="00985111">
              <w:rPr>
                <w:rFonts w:ascii="Verdana" w:hAnsi="Verdana" w:cs="Arial"/>
                <w:sz w:val="18"/>
                <w:szCs w:val="18"/>
              </w:rPr>
              <w:t>BodyScience</w:t>
            </w:r>
            <w:proofErr w:type="spellEnd"/>
          </w:p>
        </w:tc>
      </w:tr>
      <w:tr w:rsidR="00985111" w:rsidRPr="00985111" w:rsidTr="00BC0D3D">
        <w:tc>
          <w:tcPr>
            <w:tcW w:w="3261" w:type="dxa"/>
            <w:vAlign w:val="center"/>
          </w:tcPr>
          <w:p w:rsidR="00A56D04" w:rsidRDefault="00985111" w:rsidP="00A56D04">
            <w:pPr>
              <w:rPr>
                <w:rFonts w:ascii="Verdana" w:hAnsi="Verdana" w:cs="Arial"/>
                <w:sz w:val="18"/>
                <w:szCs w:val="18"/>
              </w:rPr>
            </w:pPr>
            <w:r w:rsidRPr="00985111">
              <w:rPr>
                <w:rFonts w:ascii="Verdana" w:hAnsi="Verdana" w:cs="Arial"/>
                <w:sz w:val="18"/>
                <w:szCs w:val="18"/>
              </w:rPr>
              <w:t>Jess Crowley</w:t>
            </w:r>
          </w:p>
          <w:p w:rsidR="00985111" w:rsidRPr="00985111" w:rsidRDefault="00985111" w:rsidP="00A56D04">
            <w:pPr>
              <w:rPr>
                <w:rFonts w:ascii="Verdana" w:hAnsi="Verdana" w:cs="Arial"/>
                <w:sz w:val="18"/>
                <w:szCs w:val="18"/>
              </w:rPr>
            </w:pPr>
            <w:r w:rsidRPr="00985111">
              <w:rPr>
                <w:rFonts w:ascii="Verdana" w:hAnsi="Verdana" w:cs="Arial"/>
                <w:sz w:val="18"/>
                <w:szCs w:val="18"/>
              </w:rPr>
              <w:t>Ben Crowley</w:t>
            </w:r>
          </w:p>
        </w:tc>
        <w:tc>
          <w:tcPr>
            <w:tcW w:w="5982" w:type="dxa"/>
            <w:vAlign w:val="center"/>
          </w:tcPr>
          <w:p w:rsidR="00985111" w:rsidRPr="00985111" w:rsidRDefault="00985111" w:rsidP="00A56D04">
            <w:pPr>
              <w:rPr>
                <w:rFonts w:ascii="Verdana" w:hAnsi="Verdana" w:cs="Arial"/>
                <w:sz w:val="18"/>
                <w:szCs w:val="18"/>
              </w:rPr>
            </w:pPr>
            <w:proofErr w:type="spellStart"/>
            <w:r w:rsidRPr="00985111">
              <w:rPr>
                <w:rFonts w:ascii="Verdana" w:hAnsi="Verdana" w:cs="Arial"/>
                <w:sz w:val="18"/>
                <w:szCs w:val="18"/>
              </w:rPr>
              <w:t>Bioflex</w:t>
            </w:r>
            <w:proofErr w:type="spellEnd"/>
            <w:r w:rsidRPr="00985111">
              <w:rPr>
                <w:rFonts w:ascii="Verdana" w:hAnsi="Verdana" w:cs="Arial"/>
                <w:sz w:val="18"/>
                <w:szCs w:val="18"/>
              </w:rPr>
              <w:t xml:space="preserve"> Nutrition (Bulk Nutrients)</w:t>
            </w:r>
          </w:p>
        </w:tc>
      </w:tr>
    </w:tbl>
    <w:p w:rsidR="007C55DE" w:rsidRPr="00AF4A89" w:rsidRDefault="007C55DE" w:rsidP="00AF4A89">
      <w:pPr>
        <w:spacing w:after="0"/>
        <w:rPr>
          <w:rFonts w:ascii="Verdana" w:hAnsi="Verdana" w:cs="OpenSansRegular"/>
          <w:sz w:val="18"/>
          <w:szCs w:val="18"/>
        </w:rPr>
        <w:sectPr w:rsidR="007C55DE" w:rsidRPr="00AF4A89" w:rsidSect="00346686">
          <w:headerReference w:type="even" r:id="rId17"/>
          <w:headerReference w:type="default" r:id="rId18"/>
          <w:headerReference w:type="first" r:id="rId19"/>
          <w:pgSz w:w="11906" w:h="16838"/>
          <w:pgMar w:top="1440" w:right="1440" w:bottom="1440" w:left="1440" w:header="708" w:footer="708" w:gutter="0"/>
          <w:cols w:space="708"/>
          <w:docGrid w:linePitch="360"/>
        </w:sectPr>
      </w:pPr>
    </w:p>
    <w:p w:rsidR="00DA5BBF" w:rsidRDefault="008D071E" w:rsidP="00346686">
      <w:pPr>
        <w:pStyle w:val="Heading1"/>
        <w:keepLines w:val="0"/>
        <w:spacing w:before="0" w:after="240" w:line="240" w:lineRule="auto"/>
        <w:rPr>
          <w:rFonts w:ascii="Verdana" w:eastAsia="Times New Roman" w:hAnsi="Verdana" w:cs="OpenSansRegular"/>
          <w:bCs/>
          <w:color w:val="000000" w:themeColor="text1"/>
          <w:kern w:val="32"/>
          <w:sz w:val="40"/>
          <w:szCs w:val="40"/>
        </w:rPr>
      </w:pPr>
      <w:bookmarkStart w:id="7" w:name="_Toc521503523"/>
      <w:bookmarkEnd w:id="4"/>
      <w:r>
        <w:rPr>
          <w:rFonts w:ascii="Verdana" w:eastAsia="Times New Roman" w:hAnsi="Verdana" w:cs="OpenSansRegular"/>
          <w:bCs/>
          <w:color w:val="000000" w:themeColor="text1"/>
          <w:kern w:val="32"/>
          <w:sz w:val="40"/>
          <w:szCs w:val="40"/>
        </w:rPr>
        <w:lastRenderedPageBreak/>
        <w:t>Presentations</w:t>
      </w:r>
      <w:bookmarkEnd w:id="7"/>
    </w:p>
    <w:p w:rsidR="006E0C95" w:rsidRPr="00ED06BD" w:rsidRDefault="006E0C95" w:rsidP="006E0C95">
      <w:pPr>
        <w:rPr>
          <w:rFonts w:ascii="Verdana" w:hAnsi="Verdana" w:cs="OpenSansRegular"/>
          <w:sz w:val="20"/>
          <w:szCs w:val="20"/>
        </w:rPr>
      </w:pPr>
      <w:r w:rsidRPr="00ED06BD">
        <w:rPr>
          <w:rFonts w:ascii="Verdana" w:hAnsi="Verdana" w:cs="OpenSansRegular"/>
          <w:sz w:val="20"/>
          <w:szCs w:val="20"/>
        </w:rPr>
        <w:t xml:space="preserve">The </w:t>
      </w:r>
      <w:r w:rsidR="00E3136D">
        <w:rPr>
          <w:rFonts w:ascii="Verdana" w:hAnsi="Verdana" w:cs="OpenSansRegular"/>
          <w:sz w:val="20"/>
          <w:szCs w:val="20"/>
        </w:rPr>
        <w:t>roundtable commenced with presentations from key organisations to help participants understand the current regulatory environment and some of the emerging issues.</w:t>
      </w:r>
      <w:r w:rsidRPr="00ED06BD">
        <w:rPr>
          <w:rFonts w:ascii="Verdana" w:hAnsi="Verdana" w:cs="OpenSansRegular"/>
          <w:sz w:val="20"/>
          <w:szCs w:val="20"/>
        </w:rPr>
        <w:t xml:space="preserve"> </w:t>
      </w:r>
    </w:p>
    <w:p w:rsidR="00E3136D" w:rsidRDefault="00E3136D" w:rsidP="006E0C95">
      <w:pPr>
        <w:pStyle w:val="Bodycopy"/>
        <w:rPr>
          <w:rFonts w:ascii="Verdana" w:eastAsia="Times" w:hAnsi="Verdana" w:cs="OpenSansRegular"/>
          <w:b/>
          <w:noProof/>
          <w:color w:val="62B5E5"/>
          <w:sz w:val="22"/>
          <w:szCs w:val="22"/>
          <w:lang w:val="en-US"/>
        </w:rPr>
      </w:pPr>
      <w:r w:rsidRPr="00E3136D">
        <w:rPr>
          <w:rFonts w:ascii="Verdana" w:eastAsia="Times" w:hAnsi="Verdana" w:cs="OpenSansRegular"/>
          <w:b/>
          <w:noProof/>
          <w:color w:val="62B5E5"/>
          <w:sz w:val="22"/>
          <w:szCs w:val="22"/>
          <w:lang w:val="en-US"/>
        </w:rPr>
        <w:t>Lyndall Soper, First Assistant Secretary, Population Health and Sport Division, Australian Government Department of Health</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 xml:space="preserve">Ms </w:t>
      </w:r>
      <w:proofErr w:type="spellStart"/>
      <w:r w:rsidRPr="00E3136D">
        <w:rPr>
          <w:rFonts w:ascii="Verdana" w:hAnsi="Verdana" w:cs="OpenSansRegular"/>
          <w:sz w:val="20"/>
          <w:szCs w:val="20"/>
        </w:rPr>
        <w:t>Soper</w:t>
      </w:r>
      <w:proofErr w:type="spellEnd"/>
      <w:r w:rsidRPr="00E3136D">
        <w:rPr>
          <w:rFonts w:ascii="Verdana" w:hAnsi="Verdana" w:cs="OpenSansRegular"/>
          <w:sz w:val="20"/>
          <w:szCs w:val="20"/>
        </w:rPr>
        <w:t xml:space="preserve"> welcomed the attendees on behalf of Dr Studdert who would be arriving later in the day.</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 xml:space="preserve">Ms </w:t>
      </w:r>
      <w:proofErr w:type="spellStart"/>
      <w:r w:rsidRPr="00E3136D">
        <w:rPr>
          <w:rFonts w:ascii="Verdana" w:hAnsi="Verdana" w:cs="OpenSansRegular"/>
          <w:sz w:val="20"/>
          <w:szCs w:val="20"/>
        </w:rPr>
        <w:t>Soper</w:t>
      </w:r>
      <w:proofErr w:type="spellEnd"/>
      <w:r w:rsidRPr="00E3136D">
        <w:rPr>
          <w:rFonts w:ascii="Verdana" w:hAnsi="Verdana" w:cs="OpenSansRegular"/>
          <w:sz w:val="20"/>
          <w:szCs w:val="20"/>
        </w:rPr>
        <w:t xml:space="preserve"> noted the diverse range of attendees and the valuable opportunity to draw on the expertise in the room.</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The aim of the meeting is to have a robust discussion, taking into account all points of view and to gain insight into how the regulatory system is operating and identify opportunities to improve the safety of sports supplements.</w:t>
      </w:r>
    </w:p>
    <w:p w:rsid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An Action Plan will be developed from discussions and</w:t>
      </w:r>
      <w:r w:rsidR="0060536B">
        <w:rPr>
          <w:rFonts w:ascii="Verdana" w:hAnsi="Verdana" w:cs="OpenSansRegular"/>
          <w:sz w:val="20"/>
          <w:szCs w:val="20"/>
        </w:rPr>
        <w:t xml:space="preserve"> a</w:t>
      </w:r>
      <w:r w:rsidRPr="00E3136D">
        <w:rPr>
          <w:rFonts w:ascii="Verdana" w:hAnsi="Verdana" w:cs="OpenSansRegular"/>
          <w:sz w:val="20"/>
          <w:szCs w:val="20"/>
        </w:rPr>
        <w:t xml:space="preserve"> report</w:t>
      </w:r>
      <w:r w:rsidR="0060536B">
        <w:rPr>
          <w:rFonts w:ascii="Verdana" w:hAnsi="Verdana" w:cs="OpenSansRegular"/>
          <w:sz w:val="20"/>
          <w:szCs w:val="20"/>
        </w:rPr>
        <w:t xml:space="preserve"> provided to the </w:t>
      </w:r>
      <w:r w:rsidRPr="00E3136D">
        <w:rPr>
          <w:rFonts w:ascii="Verdana" w:hAnsi="Verdana" w:cs="OpenSansRegular"/>
          <w:sz w:val="20"/>
          <w:szCs w:val="20"/>
        </w:rPr>
        <w:t>Minister, through the appropriate channels.</w:t>
      </w:r>
    </w:p>
    <w:p w:rsidR="00E3136D" w:rsidRDefault="00E3136D" w:rsidP="00E3136D">
      <w:pPr>
        <w:pStyle w:val="Bodycopy"/>
        <w:ind w:left="720"/>
        <w:rPr>
          <w:rFonts w:ascii="Verdana" w:hAnsi="Verdana" w:cs="OpenSansRegular"/>
          <w:sz w:val="20"/>
          <w:szCs w:val="20"/>
        </w:rPr>
      </w:pPr>
    </w:p>
    <w:p w:rsidR="00E3136D" w:rsidRDefault="00E3136D" w:rsidP="00E3136D">
      <w:pPr>
        <w:pStyle w:val="Bodycopy"/>
        <w:rPr>
          <w:rFonts w:ascii="Verdana" w:eastAsia="Times" w:hAnsi="Verdana" w:cs="OpenSansRegular"/>
          <w:b/>
          <w:noProof/>
          <w:color w:val="62B5E5"/>
          <w:sz w:val="22"/>
          <w:szCs w:val="22"/>
          <w:lang w:val="en-US"/>
        </w:rPr>
      </w:pPr>
      <w:bookmarkStart w:id="8" w:name="_Toc517430208"/>
      <w:r w:rsidRPr="00E3136D">
        <w:rPr>
          <w:rFonts w:ascii="Verdana" w:eastAsia="Times" w:hAnsi="Verdana" w:cs="OpenSansRegular"/>
          <w:b/>
          <w:noProof/>
          <w:color w:val="62B5E5"/>
          <w:sz w:val="22"/>
          <w:szCs w:val="22"/>
          <w:lang w:val="en-US"/>
        </w:rPr>
        <w:t>Mark Booth, Chief Executive Officer and Janine Lewis, Principal Nutritionist</w:t>
      </w:r>
      <w:r w:rsidR="008351C1">
        <w:rPr>
          <w:rFonts w:ascii="Verdana" w:eastAsia="Times" w:hAnsi="Verdana" w:cs="OpenSansRegular"/>
          <w:b/>
          <w:noProof/>
          <w:color w:val="62B5E5"/>
          <w:sz w:val="22"/>
          <w:szCs w:val="22"/>
          <w:lang w:val="en-US"/>
        </w:rPr>
        <w:t>,</w:t>
      </w:r>
      <w:r w:rsidRPr="00E3136D">
        <w:rPr>
          <w:rFonts w:ascii="Verdana" w:eastAsia="Times" w:hAnsi="Verdana" w:cs="OpenSansRegular"/>
          <w:b/>
          <w:noProof/>
          <w:color w:val="62B5E5"/>
          <w:sz w:val="22"/>
          <w:szCs w:val="22"/>
          <w:lang w:val="en-US"/>
        </w:rPr>
        <w:t xml:space="preserve"> Food Standards Australia New Zealand (FSANZ)</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Food safety is a priority for the food regulatory system. Food standards are developed for the general population and are not designed to fully protect all consumers at all times. They cannot seek to manage rare adverse effects in the population and focus on risk management, not risk elimination.</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 xml:space="preserve">Food for sale must be safe and suitable. Food is considered to be ‘unsafe’ is it contains a biological or chemical agent likely to cause physical harm including if it was consumed by the person according to its reasonable intended use.  Food is not considered </w:t>
      </w:r>
      <w:r w:rsidR="0060536B" w:rsidRPr="00E3136D">
        <w:rPr>
          <w:rFonts w:ascii="Verdana" w:hAnsi="Verdana" w:cs="OpenSansRegular"/>
          <w:sz w:val="20"/>
          <w:szCs w:val="20"/>
        </w:rPr>
        <w:t>unsafe</w:t>
      </w:r>
      <w:r w:rsidRPr="00E3136D">
        <w:rPr>
          <w:rFonts w:ascii="Verdana" w:hAnsi="Verdana" w:cs="OpenSansRegular"/>
          <w:sz w:val="20"/>
          <w:szCs w:val="20"/>
        </w:rPr>
        <w:t xml:space="preserve"> because its inherent nutrition or chemical properties cause adverse reactions only in persons with allergies or sensitivities. Urea Cycle Disorders are considered to be similar to allergies or sensitivities in this instance.</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Standard 2.9.4 – Formulated Supplementary Sports Foods (FSSF) of the Australia New Zealand Food Standards Code (the Code) was established in 1998 and has not been substantially changed since. It reflected the market at the time and did not anticipate such common use of FSSF in the general population.</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When Australia and New Zealand created a joint food system Standard 2.9.4 was the only Standard that was not reviewed.</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Definitions under the Standard state that a formulated supplementary sports food means a product that is specifically formulated to assist sports people in achieving specific nutrition or performance goals. The definition includes sports drinks, but excludes electrolyte drinks.</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Definitions under the Standard may be outdated and some newer products do not fit neatly into these. This exacerbates the grey area between foods and medicines, known as the Food-Medicine Interface.</w:t>
      </w:r>
    </w:p>
    <w:p w:rsidR="00E3136D" w:rsidRP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t xml:space="preserve">Under Standard 2.9.4, a warning statement is required on FSSF: Not suitable for children under 15 years of age or pregnant women: Should only be used under medical or dietetic supervision. </w:t>
      </w:r>
      <w:r w:rsidR="0060536B" w:rsidRPr="00E3136D">
        <w:rPr>
          <w:rFonts w:ascii="Verdana" w:hAnsi="Verdana" w:cs="OpenSansRegular"/>
          <w:sz w:val="20"/>
          <w:szCs w:val="20"/>
        </w:rPr>
        <w:t>However,</w:t>
      </w:r>
      <w:r w:rsidRPr="00E3136D">
        <w:rPr>
          <w:rFonts w:ascii="Verdana" w:hAnsi="Verdana" w:cs="OpenSansRegular"/>
          <w:sz w:val="20"/>
          <w:szCs w:val="20"/>
        </w:rPr>
        <w:t xml:space="preserve"> this sometimes can be misinterpreted and could be made clearer.</w:t>
      </w:r>
    </w:p>
    <w:p w:rsidR="00E3136D" w:rsidRPr="00E3136D" w:rsidRDefault="00431A72" w:rsidP="00431A72">
      <w:pPr>
        <w:pStyle w:val="Bodycopy"/>
        <w:numPr>
          <w:ilvl w:val="0"/>
          <w:numId w:val="13"/>
        </w:numPr>
        <w:rPr>
          <w:rFonts w:ascii="Verdana" w:hAnsi="Verdana" w:cs="OpenSansRegular"/>
          <w:sz w:val="20"/>
          <w:szCs w:val="20"/>
        </w:rPr>
      </w:pPr>
      <w:r w:rsidRPr="00431A72">
        <w:rPr>
          <w:rFonts w:ascii="Verdana" w:hAnsi="Verdana" w:cs="OpenSansRegular"/>
          <w:sz w:val="20"/>
          <w:szCs w:val="20"/>
        </w:rPr>
        <w:t xml:space="preserve">The Standard allows for several label statements about usefulness and appropriate use in 3 categories </w:t>
      </w:r>
      <w:r w:rsidR="008351C1">
        <w:rPr>
          <w:rFonts w:ascii="Verdana" w:hAnsi="Verdana" w:cs="OpenSansRegular"/>
          <w:sz w:val="20"/>
          <w:szCs w:val="20"/>
        </w:rPr>
        <w:t xml:space="preserve">of </w:t>
      </w:r>
      <w:r w:rsidRPr="00431A72">
        <w:rPr>
          <w:rFonts w:ascii="Verdana" w:hAnsi="Verdana" w:cs="OpenSansRegular"/>
          <w:sz w:val="20"/>
          <w:szCs w:val="20"/>
        </w:rPr>
        <w:t>sports foods</w:t>
      </w:r>
      <w:r w:rsidR="00E3136D" w:rsidRPr="00E3136D">
        <w:rPr>
          <w:rFonts w:ascii="Verdana" w:hAnsi="Verdana" w:cs="OpenSansRegular"/>
          <w:sz w:val="20"/>
          <w:szCs w:val="20"/>
        </w:rPr>
        <w:t>.</w:t>
      </w:r>
    </w:p>
    <w:p w:rsidR="00E3136D" w:rsidRDefault="00E3136D" w:rsidP="00E3136D">
      <w:pPr>
        <w:pStyle w:val="Bodycopy"/>
        <w:numPr>
          <w:ilvl w:val="0"/>
          <w:numId w:val="13"/>
        </w:numPr>
        <w:rPr>
          <w:rFonts w:ascii="Verdana" w:hAnsi="Verdana" w:cs="OpenSansRegular"/>
          <w:sz w:val="20"/>
          <w:szCs w:val="20"/>
        </w:rPr>
      </w:pPr>
      <w:r w:rsidRPr="00E3136D">
        <w:rPr>
          <w:rFonts w:ascii="Verdana" w:hAnsi="Verdana" w:cs="OpenSansRegular"/>
          <w:sz w:val="20"/>
          <w:szCs w:val="20"/>
        </w:rPr>
        <w:lastRenderedPageBreak/>
        <w:t>Planning for a review of the Standard began in 2010 and consumer research undertaken in 2010 and 2012, but work has been deferred awaiting further development of P10</w:t>
      </w:r>
      <w:r w:rsidR="00431A72">
        <w:rPr>
          <w:rFonts w:ascii="Verdana" w:hAnsi="Verdana" w:cs="OpenSansRegular"/>
          <w:sz w:val="20"/>
          <w:szCs w:val="20"/>
        </w:rPr>
        <w:t>2</w:t>
      </w:r>
      <w:r w:rsidRPr="00E3136D">
        <w:rPr>
          <w:rFonts w:ascii="Verdana" w:hAnsi="Verdana" w:cs="OpenSansRegular"/>
          <w:sz w:val="20"/>
          <w:szCs w:val="20"/>
        </w:rPr>
        <w:t>4 – Nutritive substances and novel foods</w:t>
      </w:r>
      <w:r w:rsidR="00431A72">
        <w:rPr>
          <w:rFonts w:ascii="Verdana" w:hAnsi="Verdana" w:cs="OpenSansRegular"/>
          <w:sz w:val="20"/>
          <w:szCs w:val="20"/>
        </w:rPr>
        <w:t xml:space="preserve">. The current </w:t>
      </w:r>
      <w:r w:rsidRPr="00E3136D">
        <w:rPr>
          <w:rFonts w:ascii="Verdana" w:hAnsi="Verdana" w:cs="OpenSansRegular"/>
          <w:sz w:val="20"/>
          <w:szCs w:val="20"/>
        </w:rPr>
        <w:t>priority</w:t>
      </w:r>
      <w:r w:rsidR="00431A72">
        <w:rPr>
          <w:rFonts w:ascii="Verdana" w:hAnsi="Verdana" w:cs="OpenSansRegular"/>
          <w:sz w:val="20"/>
          <w:szCs w:val="20"/>
        </w:rPr>
        <w:t xml:space="preserve"> for this review is under consideration.</w:t>
      </w:r>
    </w:p>
    <w:p w:rsidR="00E3136D" w:rsidRDefault="00E3136D" w:rsidP="00E3136D">
      <w:pPr>
        <w:pStyle w:val="Bodycopy"/>
        <w:ind w:left="720"/>
        <w:rPr>
          <w:rFonts w:ascii="Verdana" w:hAnsi="Verdana" w:cs="OpenSansRegular"/>
          <w:sz w:val="20"/>
          <w:szCs w:val="20"/>
        </w:rPr>
      </w:pPr>
    </w:p>
    <w:p w:rsidR="00E3136D" w:rsidRDefault="00C875EB" w:rsidP="00E3136D">
      <w:pPr>
        <w:pStyle w:val="Bodycopy"/>
        <w:rPr>
          <w:rFonts w:ascii="Verdana" w:eastAsia="Times" w:hAnsi="Verdana" w:cs="OpenSansRegular"/>
          <w:b/>
          <w:noProof/>
          <w:color w:val="62B5E5"/>
          <w:sz w:val="22"/>
          <w:szCs w:val="22"/>
          <w:lang w:val="en-US"/>
        </w:rPr>
      </w:pPr>
      <w:r w:rsidRPr="00C875EB">
        <w:rPr>
          <w:rFonts w:ascii="Verdana" w:eastAsia="Times" w:hAnsi="Verdana" w:cs="OpenSansRegular"/>
          <w:b/>
          <w:noProof/>
          <w:color w:val="62B5E5"/>
          <w:sz w:val="22"/>
          <w:szCs w:val="22"/>
          <w:lang w:val="en-US"/>
        </w:rPr>
        <w:t>Dr Adam Cook – A/g Director, Listing Compliance Section, Therapeutic Goods Administration (TGA)</w:t>
      </w:r>
    </w:p>
    <w:p w:rsidR="00C875EB" w:rsidRPr="00C875EB" w:rsidRDefault="00C875EB" w:rsidP="00474F58">
      <w:pPr>
        <w:pStyle w:val="Bodycopy"/>
        <w:numPr>
          <w:ilvl w:val="0"/>
          <w:numId w:val="13"/>
        </w:numPr>
        <w:rPr>
          <w:rFonts w:ascii="Verdana" w:hAnsi="Verdana" w:cs="OpenSansRegular"/>
          <w:sz w:val="20"/>
          <w:szCs w:val="20"/>
        </w:rPr>
      </w:pPr>
      <w:r w:rsidRPr="00C875EB">
        <w:rPr>
          <w:rFonts w:ascii="Verdana" w:hAnsi="Verdana" w:cs="OpenSansRegular"/>
          <w:sz w:val="20"/>
          <w:szCs w:val="20"/>
        </w:rPr>
        <w:t xml:space="preserve">The Therapeutic Goods Act 1989 defines what products are and </w:t>
      </w:r>
      <w:proofErr w:type="gramStart"/>
      <w:r w:rsidRPr="00C875EB">
        <w:rPr>
          <w:rFonts w:ascii="Verdana" w:hAnsi="Verdana" w:cs="OpenSansRegular"/>
          <w:sz w:val="20"/>
          <w:szCs w:val="20"/>
        </w:rPr>
        <w:t>are</w:t>
      </w:r>
      <w:proofErr w:type="gramEnd"/>
      <w:r w:rsidRPr="00C875EB">
        <w:rPr>
          <w:rFonts w:ascii="Verdana" w:hAnsi="Verdana" w:cs="OpenSansRegular"/>
          <w:sz w:val="20"/>
          <w:szCs w:val="20"/>
        </w:rPr>
        <w:t xml:space="preserve"> not therapeutic goods. </w:t>
      </w:r>
      <w:r w:rsidR="00474F58" w:rsidRPr="00474F58">
        <w:rPr>
          <w:rFonts w:ascii="Verdana" w:hAnsi="Verdana" w:cs="OpenSansRegular"/>
          <w:sz w:val="20"/>
          <w:szCs w:val="20"/>
        </w:rPr>
        <w:t>Goods that are foods according to the definition in the Act are not therapeutic goods, and are therefore not regulated by the TGA</w:t>
      </w:r>
      <w:r w:rsidRPr="00C875EB">
        <w:rPr>
          <w:rFonts w:ascii="Verdana" w:hAnsi="Verdana" w:cs="OpenSansRegular"/>
          <w:sz w:val="20"/>
          <w:szCs w:val="20"/>
        </w:rPr>
        <w:t>.</w:t>
      </w:r>
    </w:p>
    <w:p w:rsidR="00C875EB" w:rsidRPr="00C875EB" w:rsidRDefault="00C875EB" w:rsidP="00474F58">
      <w:pPr>
        <w:pStyle w:val="Bodycopy"/>
        <w:numPr>
          <w:ilvl w:val="0"/>
          <w:numId w:val="13"/>
        </w:numPr>
        <w:rPr>
          <w:rFonts w:ascii="Verdana" w:hAnsi="Verdana" w:cs="OpenSansRegular"/>
          <w:sz w:val="20"/>
          <w:szCs w:val="20"/>
        </w:rPr>
      </w:pPr>
      <w:r w:rsidRPr="00C875EB">
        <w:rPr>
          <w:rFonts w:ascii="Verdana" w:hAnsi="Verdana" w:cs="OpenSansRegular"/>
          <w:sz w:val="20"/>
          <w:szCs w:val="20"/>
        </w:rPr>
        <w:t xml:space="preserve">The Food-Medicine Interface Guidance Tool assists in </w:t>
      </w:r>
      <w:r w:rsidR="00474F58" w:rsidRPr="00474F58">
        <w:rPr>
          <w:rFonts w:ascii="Verdana" w:hAnsi="Verdana" w:cs="OpenSansRegular"/>
          <w:sz w:val="20"/>
          <w:szCs w:val="20"/>
        </w:rPr>
        <w:t>determining whether a product is a food</w:t>
      </w:r>
      <w:r w:rsidRPr="00C875EB">
        <w:rPr>
          <w:rFonts w:ascii="Verdana" w:hAnsi="Verdana" w:cs="OpenSansRegular"/>
          <w:sz w:val="20"/>
          <w:szCs w:val="20"/>
        </w:rPr>
        <w:t xml:space="preserve"> or a medicine when there is uncertainty about its regulatory status.</w:t>
      </w:r>
    </w:p>
    <w:p w:rsidR="00C875EB" w:rsidRP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 xml:space="preserve">If a sports supplement </w:t>
      </w:r>
      <w:r w:rsidR="0060536B" w:rsidRPr="00C875EB">
        <w:rPr>
          <w:rFonts w:ascii="Verdana" w:hAnsi="Verdana" w:cs="OpenSansRegular"/>
          <w:sz w:val="20"/>
          <w:szCs w:val="20"/>
        </w:rPr>
        <w:t>were</w:t>
      </w:r>
      <w:r w:rsidRPr="00C875EB">
        <w:rPr>
          <w:rFonts w:ascii="Verdana" w:hAnsi="Verdana" w:cs="OpenSansRegular"/>
          <w:sz w:val="20"/>
          <w:szCs w:val="20"/>
        </w:rPr>
        <w:t xml:space="preserve"> considered </w:t>
      </w:r>
      <w:r w:rsidR="0060536B" w:rsidRPr="00C875EB">
        <w:rPr>
          <w:rFonts w:ascii="Verdana" w:hAnsi="Verdana" w:cs="OpenSansRegular"/>
          <w:sz w:val="20"/>
          <w:szCs w:val="20"/>
        </w:rPr>
        <w:t>a</w:t>
      </w:r>
      <w:r w:rsidRPr="00C875EB">
        <w:rPr>
          <w:rFonts w:ascii="Verdana" w:hAnsi="Verdana" w:cs="OpenSansRegular"/>
          <w:sz w:val="20"/>
          <w:szCs w:val="20"/>
        </w:rPr>
        <w:t xml:space="preserve"> therapeutic </w:t>
      </w:r>
      <w:r w:rsidR="0060536B" w:rsidRPr="00C875EB">
        <w:rPr>
          <w:rFonts w:ascii="Verdana" w:hAnsi="Verdana" w:cs="OpenSansRegular"/>
          <w:sz w:val="20"/>
          <w:szCs w:val="20"/>
        </w:rPr>
        <w:t>good,</w:t>
      </w:r>
      <w:r w:rsidRPr="00C875EB">
        <w:rPr>
          <w:rFonts w:ascii="Verdana" w:hAnsi="Verdana" w:cs="OpenSansRegular"/>
          <w:sz w:val="20"/>
          <w:szCs w:val="20"/>
        </w:rPr>
        <w:t xml:space="preserve"> it would generally fall under the Listed Medicine category of the Australian Register of Therapeutic Goods (ARTG). This is a class considered to have a low level of risk.</w:t>
      </w:r>
    </w:p>
    <w:p w:rsidR="00E3136D"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The safety of sports supplements that are therapeutic goods is assured by pre-market eligibility criteria, post-market monitoring and enforcement and detection and enforcement action for therapeutic goods that are not on the ARTG.</w:t>
      </w:r>
    </w:p>
    <w:p w:rsidR="00C875EB" w:rsidRDefault="00C875EB" w:rsidP="00C875EB">
      <w:pPr>
        <w:pStyle w:val="Bodycopy"/>
        <w:ind w:left="720"/>
        <w:rPr>
          <w:rFonts w:ascii="Verdana" w:hAnsi="Verdana" w:cs="OpenSansRegular"/>
          <w:sz w:val="20"/>
          <w:szCs w:val="20"/>
        </w:rPr>
      </w:pPr>
    </w:p>
    <w:p w:rsidR="00E3136D" w:rsidRDefault="00C875EB" w:rsidP="00E3136D">
      <w:pPr>
        <w:pStyle w:val="Bodycopy"/>
        <w:rPr>
          <w:rFonts w:ascii="Verdana" w:eastAsia="Times" w:hAnsi="Verdana" w:cs="OpenSansRegular"/>
          <w:b/>
          <w:noProof/>
          <w:color w:val="62B5E5"/>
          <w:sz w:val="22"/>
          <w:szCs w:val="22"/>
          <w:lang w:val="en-US"/>
        </w:rPr>
      </w:pPr>
      <w:r w:rsidRPr="00C875EB">
        <w:rPr>
          <w:rFonts w:ascii="Verdana" w:eastAsia="Times" w:hAnsi="Verdana" w:cs="OpenSansRegular"/>
          <w:b/>
          <w:noProof/>
          <w:color w:val="62B5E5"/>
          <w:sz w:val="22"/>
          <w:szCs w:val="22"/>
          <w:lang w:val="en-US"/>
        </w:rPr>
        <w:t>Dr David Cusack, Manager, Food Standards and Programs, NSW Department of Primary Industries Food Authority</w:t>
      </w:r>
    </w:p>
    <w:p w:rsidR="00C875EB" w:rsidRP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Part 2.9 of the Code: Special Purpose Foods has its own policy guidance recognising the specific role of these foods:</w:t>
      </w:r>
    </w:p>
    <w:p w:rsidR="00C875EB" w:rsidRPr="00C875EB" w:rsidRDefault="00C875EB" w:rsidP="00C875EB">
      <w:pPr>
        <w:pStyle w:val="Bodycopy"/>
        <w:numPr>
          <w:ilvl w:val="1"/>
          <w:numId w:val="13"/>
        </w:numPr>
        <w:rPr>
          <w:rFonts w:ascii="Verdana" w:hAnsi="Verdana" w:cs="OpenSansRegular"/>
          <w:sz w:val="20"/>
          <w:szCs w:val="20"/>
        </w:rPr>
      </w:pPr>
      <w:proofErr w:type="gramStart"/>
      <w:r w:rsidRPr="00C875EB">
        <w:rPr>
          <w:rFonts w:ascii="Verdana" w:hAnsi="Verdana" w:cs="OpenSansRegular"/>
          <w:sz w:val="20"/>
          <w:szCs w:val="20"/>
        </w:rPr>
        <w:t>food</w:t>
      </w:r>
      <w:proofErr w:type="gramEnd"/>
      <w:r w:rsidRPr="00C875EB">
        <w:rPr>
          <w:rFonts w:ascii="Verdana" w:hAnsi="Verdana" w:cs="OpenSansRegular"/>
          <w:sz w:val="20"/>
          <w:szCs w:val="20"/>
        </w:rPr>
        <w:t xml:space="preserve"> standards that prescribe specific requirements for foods processed or manufactured for use by physiologically vulnerable individuals and population sub-groups. Requirements within food standards in Part 2.9 are prescribed relative to the particular intended dietary use of the food. </w:t>
      </w:r>
    </w:p>
    <w:p w:rsidR="00C875EB" w:rsidRP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 xml:space="preserve">This is further explained as physiological vulnerability and risk of dietary inadequacy from; </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physical and physiological needs that relate to stage of life (e.g. infancy),</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physical disease or disorder,</w:t>
      </w:r>
    </w:p>
    <w:p w:rsidR="00C875EB" w:rsidRPr="00C875EB" w:rsidRDefault="00C875EB" w:rsidP="00C875EB">
      <w:pPr>
        <w:pStyle w:val="Bodycopy"/>
        <w:numPr>
          <w:ilvl w:val="1"/>
          <w:numId w:val="13"/>
        </w:numPr>
        <w:rPr>
          <w:rFonts w:ascii="Verdana" w:hAnsi="Verdana" w:cs="OpenSansRegular"/>
          <w:sz w:val="20"/>
          <w:szCs w:val="20"/>
        </w:rPr>
      </w:pPr>
      <w:proofErr w:type="gramStart"/>
      <w:r w:rsidRPr="00C875EB">
        <w:rPr>
          <w:rFonts w:ascii="Verdana" w:hAnsi="Verdana" w:cs="OpenSansRegular"/>
          <w:sz w:val="20"/>
          <w:szCs w:val="20"/>
        </w:rPr>
        <w:t>conditions</w:t>
      </w:r>
      <w:proofErr w:type="gramEnd"/>
      <w:r w:rsidRPr="00C875EB">
        <w:rPr>
          <w:rFonts w:ascii="Verdana" w:hAnsi="Verdana" w:cs="OpenSansRegular"/>
          <w:sz w:val="20"/>
          <w:szCs w:val="20"/>
        </w:rPr>
        <w:t xml:space="preserve"> that require altered energy intake (such as elite sport).</w:t>
      </w:r>
    </w:p>
    <w:p w:rsid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Sports supplements have more prescription on composition, labels and claims than general foods.</w:t>
      </w:r>
    </w:p>
    <w:p w:rsidR="00431A72" w:rsidRPr="00C875EB" w:rsidRDefault="00431A72" w:rsidP="00431A72">
      <w:pPr>
        <w:pStyle w:val="Bodycopy"/>
        <w:numPr>
          <w:ilvl w:val="1"/>
          <w:numId w:val="13"/>
        </w:numPr>
        <w:rPr>
          <w:rFonts w:ascii="Verdana" w:hAnsi="Verdana" w:cs="OpenSansRegular"/>
          <w:sz w:val="20"/>
          <w:szCs w:val="20"/>
        </w:rPr>
      </w:pPr>
      <w:proofErr w:type="gramStart"/>
      <w:r w:rsidRPr="00431A72">
        <w:rPr>
          <w:rFonts w:ascii="Verdana" w:hAnsi="Verdana" w:cs="OpenSansRegular"/>
          <w:sz w:val="20"/>
          <w:szCs w:val="20"/>
        </w:rPr>
        <w:t>standard</w:t>
      </w:r>
      <w:proofErr w:type="gramEnd"/>
      <w:r w:rsidRPr="00431A72">
        <w:rPr>
          <w:rFonts w:ascii="Verdana" w:hAnsi="Verdana" w:cs="OpenSansRegular"/>
          <w:sz w:val="20"/>
          <w:szCs w:val="20"/>
        </w:rPr>
        <w:t xml:space="preserve"> 2.9.4 has not been reviewed since it is was written (1990's) and the market has changed significantly since that time. Internet sales more prevalent, imports are important source of product and 'pre-workout' products have emerged as an important sector in the market. These products are now far more easily available to a broader range of consumers than was the case when the standard was first developed.</w:t>
      </w:r>
    </w:p>
    <w:p w:rsidR="00C875EB" w:rsidRP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Previous sports foods compliance action undertaken in NSW.</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Several consumer complaints were received in 2011, which led to a large compliance operation in 2012-13.</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In 2012, DMAA was added to the Standard for the Uniform Scheduling of Medicines and Poisons (SUSMP).</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The compliance action focussed on:</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lastRenderedPageBreak/>
        <w:t>composition, use of prohibited or restricted materials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Use of synthetic derivatives of prohibited substances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Non-compliance with labelling requirements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Exceeding defined limits in the Code for permitted substances.</w:t>
      </w:r>
    </w:p>
    <w:p w:rsidR="00C875EB" w:rsidRPr="00C875EB" w:rsidRDefault="00C875EB" w:rsidP="00C875EB">
      <w:pPr>
        <w:pStyle w:val="Bodycopy"/>
        <w:numPr>
          <w:ilvl w:val="1"/>
          <w:numId w:val="13"/>
        </w:numPr>
        <w:rPr>
          <w:rFonts w:ascii="Verdana" w:hAnsi="Verdana" w:cs="OpenSansRegular"/>
          <w:sz w:val="20"/>
          <w:szCs w:val="20"/>
        </w:rPr>
      </w:pPr>
      <w:r w:rsidRPr="00C875EB">
        <w:rPr>
          <w:rFonts w:ascii="Verdana" w:hAnsi="Verdana" w:cs="OpenSansRegular"/>
          <w:sz w:val="20"/>
          <w:szCs w:val="20"/>
        </w:rPr>
        <w:t>Key findings: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Pre-workout supplements were found to be more likely to contain stimulants, mood enhancing ingredients and harmful substances.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Seizures of products containing prohibited ingredients – e.g. DMAA</w:t>
      </w:r>
      <w:r w:rsidR="00431A72">
        <w:rPr>
          <w:rFonts w:ascii="Verdana" w:hAnsi="Verdana" w:cs="OpenSansRegular"/>
          <w:sz w:val="20"/>
          <w:szCs w:val="20"/>
        </w:rPr>
        <w:t>, NADB</w:t>
      </w:r>
      <w:r w:rsidRPr="00C875EB">
        <w:rPr>
          <w:rFonts w:ascii="Verdana" w:hAnsi="Verdana" w:cs="OpenSansRegular"/>
          <w:sz w:val="20"/>
          <w:szCs w:val="20"/>
        </w:rPr>
        <w:t>.</w:t>
      </w:r>
    </w:p>
    <w:p w:rsid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Seizure of products exceeding permitted limits in the Code – e.g. amino acids.</w:t>
      </w:r>
    </w:p>
    <w:p w:rsidR="00431A72" w:rsidRPr="00C875EB" w:rsidRDefault="00431A72" w:rsidP="00431A72">
      <w:pPr>
        <w:pStyle w:val="Bodycopy"/>
        <w:numPr>
          <w:ilvl w:val="2"/>
          <w:numId w:val="13"/>
        </w:numPr>
        <w:rPr>
          <w:rFonts w:ascii="Verdana" w:hAnsi="Verdana" w:cs="OpenSansRegular"/>
          <w:sz w:val="20"/>
          <w:szCs w:val="20"/>
        </w:rPr>
      </w:pPr>
      <w:r>
        <w:rPr>
          <w:rFonts w:ascii="Verdana" w:hAnsi="Verdana" w:cs="OpenSansRegular"/>
          <w:sz w:val="20"/>
          <w:szCs w:val="20"/>
        </w:rPr>
        <w:t>L</w:t>
      </w:r>
      <w:r w:rsidRPr="00431A72">
        <w:rPr>
          <w:rFonts w:ascii="Verdana" w:hAnsi="Verdana" w:cs="OpenSansRegular"/>
          <w:sz w:val="20"/>
          <w:szCs w:val="20"/>
        </w:rPr>
        <w:t>isting non-approved novel foods and nutritive substances as ingredients.</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Non-compliance with allergen and Nutrition Information Panel labelling.</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Very high levels of caffeine.</w:t>
      </w:r>
    </w:p>
    <w:p w:rsidR="00C875EB" w:rsidRPr="00C875EB" w:rsidRDefault="00C875EB" w:rsidP="00C875EB">
      <w:pPr>
        <w:pStyle w:val="Bodycopy"/>
        <w:numPr>
          <w:ilvl w:val="2"/>
          <w:numId w:val="13"/>
        </w:numPr>
        <w:rPr>
          <w:rFonts w:ascii="Verdana" w:hAnsi="Verdana" w:cs="OpenSansRegular"/>
          <w:sz w:val="20"/>
          <w:szCs w:val="20"/>
        </w:rPr>
      </w:pPr>
      <w:r w:rsidRPr="00C875EB">
        <w:rPr>
          <w:rFonts w:ascii="Verdana" w:hAnsi="Verdana" w:cs="OpenSansRegular"/>
          <w:sz w:val="20"/>
          <w:szCs w:val="20"/>
        </w:rPr>
        <w:t>An education sheet was developed and an increase in compliance was found during re-visits.</w:t>
      </w:r>
    </w:p>
    <w:p w:rsidR="00591CD4" w:rsidRPr="00591CD4" w:rsidRDefault="00591CD4" w:rsidP="00591CD4">
      <w:pPr>
        <w:pStyle w:val="Bodycopy"/>
        <w:numPr>
          <w:ilvl w:val="0"/>
          <w:numId w:val="13"/>
        </w:numPr>
        <w:rPr>
          <w:rFonts w:ascii="Verdana" w:hAnsi="Verdana" w:cs="OpenSansRegular"/>
          <w:sz w:val="20"/>
          <w:szCs w:val="20"/>
        </w:rPr>
      </w:pPr>
      <w:r w:rsidRPr="00591CD4">
        <w:rPr>
          <w:rFonts w:ascii="Verdana" w:hAnsi="Verdana" w:cs="OpenSansRegular"/>
          <w:sz w:val="20"/>
          <w:szCs w:val="20"/>
        </w:rPr>
        <w:t xml:space="preserve">Products containing DMAA were seized as its use has been associated with various adverse health effects such as high blood pressure, headaches, vomiting and </w:t>
      </w:r>
      <w:proofErr w:type="spellStart"/>
      <w:r w:rsidRPr="00591CD4">
        <w:rPr>
          <w:rFonts w:ascii="Verdana" w:hAnsi="Verdana" w:cs="OpenSansRegular"/>
          <w:sz w:val="20"/>
          <w:szCs w:val="20"/>
        </w:rPr>
        <w:t>cerbral</w:t>
      </w:r>
      <w:proofErr w:type="spellEnd"/>
      <w:r w:rsidRPr="00591CD4">
        <w:rPr>
          <w:rFonts w:ascii="Verdana" w:hAnsi="Verdana" w:cs="OpenSansRegular"/>
          <w:sz w:val="20"/>
          <w:szCs w:val="20"/>
        </w:rPr>
        <w:t xml:space="preserve"> haemorrhage and stroke.</w:t>
      </w:r>
    </w:p>
    <w:p w:rsidR="00591CD4" w:rsidRDefault="00591CD4" w:rsidP="00591CD4">
      <w:pPr>
        <w:pStyle w:val="Bodycopy"/>
        <w:numPr>
          <w:ilvl w:val="0"/>
          <w:numId w:val="13"/>
        </w:numPr>
        <w:rPr>
          <w:rFonts w:ascii="Verdana" w:hAnsi="Verdana" w:cs="OpenSansRegular"/>
          <w:sz w:val="20"/>
          <w:szCs w:val="20"/>
        </w:rPr>
      </w:pPr>
      <w:r w:rsidRPr="00591CD4">
        <w:rPr>
          <w:rFonts w:ascii="Verdana" w:hAnsi="Verdana" w:cs="OpenSansRegular"/>
          <w:sz w:val="20"/>
          <w:szCs w:val="20"/>
        </w:rPr>
        <w:t xml:space="preserve">Products containing NADB were seized as it has very similar structural chemistry to methamphetamine. </w:t>
      </w:r>
    </w:p>
    <w:p w:rsidR="00C875EB" w:rsidRPr="00C875EB" w:rsidRDefault="00C875EB" w:rsidP="00591CD4">
      <w:pPr>
        <w:pStyle w:val="Bodycopy"/>
        <w:numPr>
          <w:ilvl w:val="0"/>
          <w:numId w:val="13"/>
        </w:numPr>
        <w:rPr>
          <w:rFonts w:ascii="Verdana" w:hAnsi="Verdana" w:cs="OpenSansRegular"/>
          <w:sz w:val="20"/>
          <w:szCs w:val="20"/>
        </w:rPr>
      </w:pPr>
      <w:r w:rsidRPr="00C875EB">
        <w:rPr>
          <w:rFonts w:ascii="Verdana" w:hAnsi="Verdana" w:cs="OpenSansRegular"/>
          <w:sz w:val="20"/>
          <w:szCs w:val="20"/>
        </w:rPr>
        <w:t>The market has significant quantities of imported products, with online sales making a large percentage of the market. Challenges in compliance in relation to FSSF come largely through online sales.</w:t>
      </w:r>
      <w:r w:rsidR="00591CD4">
        <w:rPr>
          <w:rFonts w:ascii="Verdana" w:hAnsi="Verdana" w:cs="OpenSansRegular"/>
          <w:sz w:val="20"/>
          <w:szCs w:val="20"/>
        </w:rPr>
        <w:t xml:space="preserve"> </w:t>
      </w:r>
      <w:r w:rsidR="00591CD4" w:rsidRPr="00591CD4">
        <w:rPr>
          <w:rFonts w:ascii="Verdana" w:hAnsi="Verdana" w:cs="OpenSansRegular"/>
          <w:sz w:val="20"/>
          <w:szCs w:val="20"/>
        </w:rPr>
        <w:t>Some supply of product is also through the NZ supplemented food standard.</w:t>
      </w:r>
    </w:p>
    <w:p w:rsidR="00C875EB" w:rsidRPr="00C875EB"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The FSSF market is a demand driven market, with some consumers actively motivated to seek an edge or advantage. Consumers within this market are considered unlikely to respond to traditional risk messaging of ‘</w:t>
      </w:r>
      <w:proofErr w:type="gramStart"/>
      <w:r w:rsidRPr="00C875EB">
        <w:rPr>
          <w:rFonts w:ascii="Verdana" w:hAnsi="Verdana" w:cs="OpenSansRegular"/>
          <w:sz w:val="20"/>
          <w:szCs w:val="20"/>
        </w:rPr>
        <w:t>buyer beware</w:t>
      </w:r>
      <w:proofErr w:type="gramEnd"/>
      <w:r w:rsidRPr="00C875EB">
        <w:rPr>
          <w:rFonts w:ascii="Verdana" w:hAnsi="Verdana" w:cs="OpenSansRegular"/>
          <w:sz w:val="20"/>
          <w:szCs w:val="20"/>
        </w:rPr>
        <w:t>’.</w:t>
      </w:r>
    </w:p>
    <w:p w:rsidR="00E3136D" w:rsidRDefault="00C875EB" w:rsidP="00C875EB">
      <w:pPr>
        <w:pStyle w:val="Bodycopy"/>
        <w:numPr>
          <w:ilvl w:val="0"/>
          <w:numId w:val="13"/>
        </w:numPr>
        <w:rPr>
          <w:rFonts w:ascii="Verdana" w:hAnsi="Verdana" w:cs="OpenSansRegular"/>
          <w:sz w:val="20"/>
          <w:szCs w:val="20"/>
        </w:rPr>
      </w:pPr>
      <w:r w:rsidRPr="00C875EB">
        <w:rPr>
          <w:rFonts w:ascii="Verdana" w:hAnsi="Verdana" w:cs="OpenSansRegular"/>
          <w:sz w:val="20"/>
          <w:szCs w:val="20"/>
        </w:rPr>
        <w:t>Cooperation between Commonwealth agencies, addressing risk products at the border and gathering intelligence may be able to help compliance and enforcement issues into the future.</w:t>
      </w:r>
    </w:p>
    <w:p w:rsidR="00591CD4" w:rsidRPr="00591CD4" w:rsidRDefault="00591CD4" w:rsidP="00591CD4">
      <w:pPr>
        <w:pStyle w:val="Bodycopy"/>
        <w:numPr>
          <w:ilvl w:val="0"/>
          <w:numId w:val="13"/>
        </w:numPr>
        <w:rPr>
          <w:rFonts w:ascii="Verdana" w:hAnsi="Verdana" w:cs="OpenSansRegular"/>
          <w:sz w:val="20"/>
          <w:szCs w:val="20"/>
        </w:rPr>
      </w:pPr>
      <w:r>
        <w:rPr>
          <w:rFonts w:ascii="Verdana" w:hAnsi="Verdana" w:cs="OpenSansRegular"/>
          <w:sz w:val="20"/>
          <w:szCs w:val="20"/>
        </w:rPr>
        <w:t>T</w:t>
      </w:r>
      <w:r w:rsidRPr="00591CD4">
        <w:rPr>
          <w:rFonts w:ascii="Verdana" w:hAnsi="Verdana" w:cs="OpenSansRegular"/>
          <w:sz w:val="20"/>
          <w:szCs w:val="20"/>
        </w:rPr>
        <w:t xml:space="preserve">he recent TGA ban on DMHA and DMBA and any similar analogues has led to some products manufactured overseas including </w:t>
      </w:r>
      <w:proofErr w:type="spellStart"/>
      <w:r w:rsidRPr="00591CD4">
        <w:rPr>
          <w:rFonts w:ascii="Verdana" w:hAnsi="Verdana" w:cs="OpenSansRegular"/>
          <w:sz w:val="20"/>
          <w:szCs w:val="20"/>
        </w:rPr>
        <w:t>synthentic</w:t>
      </w:r>
      <w:proofErr w:type="spellEnd"/>
      <w:r w:rsidRPr="00591CD4">
        <w:rPr>
          <w:rFonts w:ascii="Verdana" w:hAnsi="Verdana" w:cs="OpenSansRegular"/>
          <w:sz w:val="20"/>
          <w:szCs w:val="20"/>
        </w:rPr>
        <w:t xml:space="preserve"> caffeine derivatives e.g. </w:t>
      </w:r>
      <w:proofErr w:type="spellStart"/>
      <w:r w:rsidRPr="00591CD4">
        <w:rPr>
          <w:rFonts w:ascii="Verdana" w:hAnsi="Verdana" w:cs="OpenSansRegular"/>
          <w:sz w:val="20"/>
          <w:szCs w:val="20"/>
        </w:rPr>
        <w:t>teacrine</w:t>
      </w:r>
      <w:proofErr w:type="spellEnd"/>
      <w:r w:rsidRPr="00591CD4">
        <w:rPr>
          <w:rFonts w:ascii="Verdana" w:hAnsi="Verdana" w:cs="OpenSansRegular"/>
          <w:sz w:val="20"/>
          <w:szCs w:val="20"/>
        </w:rPr>
        <w:t xml:space="preserve"> and </w:t>
      </w:r>
      <w:proofErr w:type="spellStart"/>
      <w:r w:rsidRPr="00591CD4">
        <w:rPr>
          <w:rFonts w:ascii="Verdana" w:hAnsi="Verdana" w:cs="OpenSansRegular"/>
          <w:sz w:val="20"/>
          <w:szCs w:val="20"/>
        </w:rPr>
        <w:t>dynamine</w:t>
      </w:r>
      <w:proofErr w:type="spellEnd"/>
      <w:r w:rsidRPr="00591CD4">
        <w:rPr>
          <w:rFonts w:ascii="Verdana" w:hAnsi="Verdana" w:cs="OpenSansRegular"/>
          <w:sz w:val="20"/>
          <w:szCs w:val="20"/>
        </w:rPr>
        <w:t>. There is a lack of safety assessment information about these compounds.</w:t>
      </w:r>
    </w:p>
    <w:p w:rsidR="00591CD4" w:rsidRDefault="002E40AE" w:rsidP="002E40AE">
      <w:pPr>
        <w:pStyle w:val="Bodycopy"/>
        <w:numPr>
          <w:ilvl w:val="0"/>
          <w:numId w:val="13"/>
        </w:numPr>
        <w:rPr>
          <w:rFonts w:ascii="Verdana" w:hAnsi="Verdana" w:cs="OpenSansRegular"/>
          <w:sz w:val="20"/>
          <w:szCs w:val="20"/>
        </w:rPr>
      </w:pPr>
      <w:proofErr w:type="gramStart"/>
      <w:r w:rsidRPr="002E40AE">
        <w:rPr>
          <w:rFonts w:ascii="Verdana" w:hAnsi="Verdana" w:cs="OpenSansRegular"/>
          <w:sz w:val="20"/>
          <w:szCs w:val="20"/>
        </w:rPr>
        <w:t>the</w:t>
      </w:r>
      <w:proofErr w:type="gramEnd"/>
      <w:r w:rsidRPr="002E40AE">
        <w:rPr>
          <w:rFonts w:ascii="Verdana" w:hAnsi="Verdana" w:cs="OpenSansRegular"/>
          <w:sz w:val="20"/>
          <w:szCs w:val="20"/>
        </w:rPr>
        <w:t xml:space="preserve"> amount of caffeine in these products should be reviewed. Some products contain 400mg of caffeine per serve. This is the daily limit suggested by EFSA in its 2015 scientific opinion on caffeine to not give rise to safety concerns</w:t>
      </w:r>
      <w:r>
        <w:rPr>
          <w:rFonts w:ascii="Verdana" w:hAnsi="Verdana" w:cs="OpenSansRegular"/>
          <w:sz w:val="20"/>
          <w:szCs w:val="20"/>
        </w:rPr>
        <w:t>.</w:t>
      </w:r>
    </w:p>
    <w:p w:rsidR="00C875EB" w:rsidRDefault="00C875EB" w:rsidP="00C875EB">
      <w:pPr>
        <w:pStyle w:val="Bodycopy"/>
        <w:ind w:left="720"/>
        <w:rPr>
          <w:rFonts w:ascii="Verdana" w:hAnsi="Verdana" w:cs="OpenSansRegular"/>
          <w:sz w:val="20"/>
          <w:szCs w:val="20"/>
        </w:rPr>
      </w:pPr>
    </w:p>
    <w:p w:rsidR="00E3136D" w:rsidRDefault="00533268" w:rsidP="00E3136D">
      <w:pPr>
        <w:pStyle w:val="Bodycopy"/>
        <w:rPr>
          <w:rFonts w:ascii="Verdana" w:eastAsia="Times" w:hAnsi="Verdana" w:cs="OpenSansRegular"/>
          <w:b/>
          <w:noProof/>
          <w:color w:val="62B5E5"/>
          <w:sz w:val="22"/>
          <w:szCs w:val="22"/>
          <w:lang w:val="en-US"/>
        </w:rPr>
      </w:pPr>
      <w:r w:rsidRPr="00533268">
        <w:rPr>
          <w:rFonts w:ascii="Verdana" w:eastAsia="Times" w:hAnsi="Verdana" w:cs="OpenSansRegular"/>
          <w:b/>
          <w:noProof/>
          <w:color w:val="62B5E5"/>
          <w:sz w:val="22"/>
          <w:szCs w:val="22"/>
          <w:lang w:val="en-US"/>
        </w:rPr>
        <w:t>Mark P</w:t>
      </w:r>
      <w:r w:rsidR="003A066B">
        <w:rPr>
          <w:rFonts w:ascii="Verdana" w:eastAsia="Times" w:hAnsi="Verdana" w:cs="OpenSansRegular"/>
          <w:b/>
          <w:noProof/>
          <w:color w:val="62B5E5"/>
          <w:sz w:val="22"/>
          <w:szCs w:val="22"/>
          <w:lang w:val="en-US"/>
        </w:rPr>
        <w:t>h</w:t>
      </w:r>
      <w:r w:rsidRPr="00533268">
        <w:rPr>
          <w:rFonts w:ascii="Verdana" w:eastAsia="Times" w:hAnsi="Verdana" w:cs="OpenSansRegular"/>
          <w:b/>
          <w:noProof/>
          <w:color w:val="62B5E5"/>
          <w:sz w:val="22"/>
          <w:szCs w:val="22"/>
          <w:lang w:val="en-US"/>
        </w:rPr>
        <w:t>ythian, Director, Imported Food Section, Department of Agriculture and Water Resources (DAWR)</w:t>
      </w:r>
    </w:p>
    <w:p w:rsidR="00474F58" w:rsidRPr="00474F5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DAWR administers the Imported Food Control Act 1992 in relation to FSSF and conducts inspections of imported food at the border. Other agencies such as Australian Border Force may also screen foods for other purposes.</w:t>
      </w:r>
    </w:p>
    <w:p w:rsidR="00474F58" w:rsidRPr="00474F5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lastRenderedPageBreak/>
        <w:t>Products sent through mail (including small parcels), or that are in consignments of under 10kg are considered for private use and are not subject to the above Act.</w:t>
      </w:r>
    </w:p>
    <w:p w:rsidR="00533268" w:rsidRPr="0053326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The Trans-Tasman Mutual Recognition Arrangement (TTMRA) is an agreement between the Australian and New Zealand governments. This agreement recognises that if food produced or imported into one country meets that country’s food standards, it may be legally sold in the other country. The Imported Food Control Act exempts food imported from New Zealand where the food is covered by the terms of the TTMRA, so there is no border inspection. This applies to FSSF and dietary supplements imported from New Zealand</w:t>
      </w:r>
    </w:p>
    <w:p w:rsidR="00474F58" w:rsidRPr="00474F5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Testing at the border is undertaken through a risk based approach. FSANZ provides food safety assessments that identify the level of risk that food products pose, with the department then classifying foods in accordance with the risk advice which determines the frequency of inspection and testing.</w:t>
      </w:r>
    </w:p>
    <w:p w:rsidR="00533268" w:rsidRPr="0053326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Note that FSANZ risk assessments are based on the inherent properties of the food (e.g. potential for toxins or microbiological risk), not t</w:t>
      </w:r>
      <w:r>
        <w:rPr>
          <w:rFonts w:ascii="Verdana" w:hAnsi="Verdana" w:cs="OpenSansRegular"/>
          <w:sz w:val="20"/>
          <w:szCs w:val="20"/>
        </w:rPr>
        <w:t>he potential for non-compliance</w:t>
      </w:r>
      <w:r w:rsidR="00533268" w:rsidRPr="00533268">
        <w:rPr>
          <w:rFonts w:ascii="Verdana" w:hAnsi="Verdana" w:cs="OpenSansRegular"/>
          <w:sz w:val="20"/>
          <w:szCs w:val="20"/>
        </w:rPr>
        <w:t>.</w:t>
      </w:r>
    </w:p>
    <w:p w:rsidR="00533268" w:rsidRPr="0053326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FSSF are considered to be a surveillance food in the imported food inspection scheme with around 5% of surveillance foods assessed at the border</w:t>
      </w:r>
      <w:r w:rsidR="00533268" w:rsidRPr="00533268">
        <w:rPr>
          <w:rFonts w:ascii="Verdana" w:hAnsi="Verdana" w:cs="OpenSansRegular"/>
          <w:sz w:val="20"/>
          <w:szCs w:val="20"/>
        </w:rPr>
        <w:t xml:space="preserve">. Therefore, </w:t>
      </w:r>
      <w:r>
        <w:rPr>
          <w:rFonts w:ascii="Verdana" w:hAnsi="Verdana" w:cs="OpenSansRegular"/>
          <w:sz w:val="20"/>
          <w:szCs w:val="20"/>
        </w:rPr>
        <w:t>most FSSF are not subject to inspection</w:t>
      </w:r>
      <w:r w:rsidR="00533268" w:rsidRPr="00533268">
        <w:rPr>
          <w:rFonts w:ascii="Verdana" w:hAnsi="Verdana" w:cs="OpenSansRegular"/>
          <w:sz w:val="20"/>
          <w:szCs w:val="20"/>
        </w:rPr>
        <w:t xml:space="preserve"> by DAWR. </w:t>
      </w:r>
    </w:p>
    <w:p w:rsidR="00474F58" w:rsidRPr="00474F58"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 xml:space="preserve">If food enforcement authorities or individual businesses become aware of non-compliant imported products in the domestic market, they are encouraged to notify DAWR. </w:t>
      </w:r>
    </w:p>
    <w:p w:rsidR="00E3136D" w:rsidRDefault="00474F58" w:rsidP="00474F58">
      <w:pPr>
        <w:pStyle w:val="Bodycopy"/>
        <w:numPr>
          <w:ilvl w:val="0"/>
          <w:numId w:val="13"/>
        </w:numPr>
        <w:rPr>
          <w:rFonts w:ascii="Verdana" w:hAnsi="Verdana" w:cs="OpenSansRegular"/>
          <w:sz w:val="20"/>
          <w:szCs w:val="20"/>
        </w:rPr>
      </w:pPr>
      <w:r w:rsidRPr="00474F58">
        <w:rPr>
          <w:rFonts w:ascii="Verdana" w:hAnsi="Verdana" w:cs="OpenSansRegular"/>
          <w:sz w:val="20"/>
          <w:szCs w:val="20"/>
        </w:rPr>
        <w:t>Failed food reports are listed on the DAWR website each month</w:t>
      </w:r>
      <w:proofErr w:type="gramStart"/>
      <w:r w:rsidRPr="00474F58">
        <w:rPr>
          <w:rFonts w:ascii="Verdana" w:hAnsi="Verdana" w:cs="OpenSansRegular"/>
          <w:sz w:val="20"/>
          <w:szCs w:val="20"/>
        </w:rPr>
        <w:t>.</w:t>
      </w:r>
      <w:r w:rsidR="00533268" w:rsidRPr="00533268">
        <w:rPr>
          <w:rFonts w:ascii="Verdana" w:hAnsi="Verdana" w:cs="OpenSansRegular"/>
          <w:sz w:val="20"/>
          <w:szCs w:val="20"/>
        </w:rPr>
        <w:t>.</w:t>
      </w:r>
      <w:proofErr w:type="gramEnd"/>
    </w:p>
    <w:p w:rsidR="00533268" w:rsidRDefault="00533268" w:rsidP="00533268">
      <w:pPr>
        <w:pStyle w:val="Bodycopy"/>
        <w:ind w:left="720"/>
        <w:rPr>
          <w:rFonts w:ascii="Verdana" w:hAnsi="Verdana" w:cs="OpenSansRegular"/>
          <w:sz w:val="20"/>
          <w:szCs w:val="20"/>
        </w:rPr>
      </w:pPr>
    </w:p>
    <w:p w:rsidR="00E3136D" w:rsidRDefault="00533268" w:rsidP="00E3136D">
      <w:pPr>
        <w:pStyle w:val="Bodycopy"/>
        <w:rPr>
          <w:rFonts w:ascii="Verdana" w:eastAsia="Times" w:hAnsi="Verdana" w:cs="OpenSansRegular"/>
          <w:b/>
          <w:noProof/>
          <w:color w:val="62B5E5"/>
          <w:sz w:val="22"/>
          <w:szCs w:val="22"/>
          <w:lang w:val="en-US"/>
        </w:rPr>
      </w:pPr>
      <w:r w:rsidRPr="00533268">
        <w:rPr>
          <w:rFonts w:ascii="Verdana" w:eastAsia="Times" w:hAnsi="Verdana" w:cs="OpenSansRegular"/>
          <w:b/>
          <w:noProof/>
          <w:color w:val="62B5E5"/>
          <w:sz w:val="22"/>
          <w:szCs w:val="22"/>
          <w:lang w:val="en-US"/>
        </w:rPr>
        <w:t>Dr Lucas de Toca, Principal Adviser, Office of Health Protection, Australian Government Department of Health</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The definition of ‘sports supplements’ is viewed differently by consumers, regulators and the media. This makes it hard to generalise risks on such a diverse range of products. Focus for this presentation is products taken orally</w:t>
      </w:r>
      <w:r w:rsidR="00484014">
        <w:rPr>
          <w:rFonts w:ascii="Verdana" w:hAnsi="Verdana" w:cs="OpenSansRegular"/>
          <w:sz w:val="20"/>
          <w:szCs w:val="20"/>
        </w:rPr>
        <w:t>, by the general population</w:t>
      </w:r>
      <w:r w:rsidRPr="00533268">
        <w:rPr>
          <w:rFonts w:ascii="Verdana" w:hAnsi="Verdana" w:cs="OpenSansRegular"/>
          <w:sz w:val="20"/>
          <w:szCs w:val="20"/>
        </w:rPr>
        <w:t xml:space="preserve"> and without medical supervision. Not focussing on elite athletes. </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These products are taken by otherwise healthy people and have the potential to interact with drugs being taken concurrently. The products being consumed are regularly changing, which makes it difficult to get a full history from consumers where there have been adverse effects.</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The sports supplement industry has grown dramatically in recent years, with 14% growth each year from 2009-2014.</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 xml:space="preserve">The FSANZ Sports Food Consumption Survey 2013 found that 10% of survey respondents consumed a sports supplement in the four weeks preceding the survey. Of this </w:t>
      </w:r>
      <w:r w:rsidR="0060536B" w:rsidRPr="00533268">
        <w:rPr>
          <w:rFonts w:ascii="Verdana" w:hAnsi="Verdana" w:cs="OpenSansRegular"/>
          <w:sz w:val="20"/>
          <w:szCs w:val="20"/>
        </w:rPr>
        <w:t>group,</w:t>
      </w:r>
      <w:r w:rsidRPr="00533268">
        <w:rPr>
          <w:rFonts w:ascii="Verdana" w:hAnsi="Verdana" w:cs="OpenSansRegular"/>
          <w:sz w:val="20"/>
          <w:szCs w:val="20"/>
        </w:rPr>
        <w:t xml:space="preserve"> 6% reported having experienced side effects. However, the exact product and severity of the side effect was not recorded.</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There is anecdotal evidence that supplement use is starting at a young age, especially in the adolescent male population.</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Protein powders are by far the most commonly used product.</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 xml:space="preserve">The common perception that ‘natural’ and ‘organic’ means a product is automatically safe and good can be misguided. </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 xml:space="preserve">The effectiveness of a number of products is still largely unknown. Ingredients such as Branched-Chain Amino Acids (BCAA) have strong evidence to show they </w:t>
      </w:r>
      <w:r w:rsidRPr="00533268">
        <w:rPr>
          <w:rFonts w:ascii="Verdana" w:hAnsi="Verdana" w:cs="OpenSansRegular"/>
          <w:sz w:val="20"/>
          <w:szCs w:val="20"/>
        </w:rPr>
        <w:lastRenderedPageBreak/>
        <w:t xml:space="preserve">work well when produced by the body, but evidence is not clear on the effectiveness of the external </w:t>
      </w:r>
      <w:r w:rsidR="00484014">
        <w:rPr>
          <w:rFonts w:ascii="Verdana" w:hAnsi="Verdana" w:cs="OpenSansRegular"/>
          <w:sz w:val="20"/>
          <w:szCs w:val="20"/>
        </w:rPr>
        <w:t>intake</w:t>
      </w:r>
      <w:r w:rsidRPr="00533268">
        <w:rPr>
          <w:rFonts w:ascii="Verdana" w:hAnsi="Verdana" w:cs="OpenSansRegular"/>
          <w:sz w:val="20"/>
          <w:szCs w:val="20"/>
        </w:rPr>
        <w:t xml:space="preserve"> of these.</w:t>
      </w:r>
    </w:p>
    <w:p w:rsidR="00533268" w:rsidRPr="00533268" w:rsidRDefault="00533268" w:rsidP="00533268">
      <w:pPr>
        <w:pStyle w:val="Bodycopy"/>
        <w:numPr>
          <w:ilvl w:val="0"/>
          <w:numId w:val="13"/>
        </w:numPr>
        <w:rPr>
          <w:rFonts w:ascii="Verdana" w:hAnsi="Verdana" w:cs="OpenSansRegular"/>
          <w:sz w:val="20"/>
          <w:szCs w:val="20"/>
        </w:rPr>
      </w:pPr>
      <w:r w:rsidRPr="00533268">
        <w:rPr>
          <w:rFonts w:ascii="Verdana" w:hAnsi="Verdana" w:cs="OpenSansRegular"/>
          <w:sz w:val="20"/>
          <w:szCs w:val="20"/>
        </w:rPr>
        <w:t>Potential contributors to adverse effects include:</w:t>
      </w:r>
    </w:p>
    <w:p w:rsidR="00533268" w:rsidRPr="00533268" w:rsidRDefault="00533268" w:rsidP="00533268">
      <w:pPr>
        <w:pStyle w:val="Bodycopy"/>
        <w:numPr>
          <w:ilvl w:val="1"/>
          <w:numId w:val="13"/>
        </w:numPr>
        <w:rPr>
          <w:rFonts w:ascii="Verdana" w:hAnsi="Verdana" w:cs="OpenSansRegular"/>
          <w:sz w:val="20"/>
          <w:szCs w:val="20"/>
        </w:rPr>
      </w:pPr>
      <w:r w:rsidRPr="00533268">
        <w:rPr>
          <w:rFonts w:ascii="Verdana" w:hAnsi="Verdana" w:cs="OpenSansRegular"/>
          <w:sz w:val="20"/>
          <w:szCs w:val="20"/>
        </w:rPr>
        <w:t>Underlying conditions such as metabolic dietary disorders.</w:t>
      </w:r>
    </w:p>
    <w:p w:rsidR="00533268" w:rsidRPr="00533268" w:rsidRDefault="00533268" w:rsidP="00533268">
      <w:pPr>
        <w:pStyle w:val="Bodycopy"/>
        <w:numPr>
          <w:ilvl w:val="1"/>
          <w:numId w:val="13"/>
        </w:numPr>
        <w:rPr>
          <w:rFonts w:ascii="Verdana" w:hAnsi="Verdana" w:cs="OpenSansRegular"/>
          <w:sz w:val="20"/>
          <w:szCs w:val="20"/>
        </w:rPr>
      </w:pPr>
      <w:r w:rsidRPr="00533268">
        <w:rPr>
          <w:rFonts w:ascii="Verdana" w:hAnsi="Verdana" w:cs="OpenSansRegular"/>
          <w:sz w:val="20"/>
          <w:szCs w:val="20"/>
        </w:rPr>
        <w:t>High amount of nutrients or unknown effects of ‘natural’ and ‘herbal’ products.</w:t>
      </w:r>
    </w:p>
    <w:p w:rsidR="00533268" w:rsidRPr="00533268" w:rsidRDefault="00533268" w:rsidP="00533268">
      <w:pPr>
        <w:pStyle w:val="Bodycopy"/>
        <w:numPr>
          <w:ilvl w:val="1"/>
          <w:numId w:val="13"/>
        </w:numPr>
        <w:rPr>
          <w:rFonts w:ascii="Verdana" w:hAnsi="Verdana" w:cs="OpenSansRegular"/>
          <w:sz w:val="20"/>
          <w:szCs w:val="20"/>
        </w:rPr>
      </w:pPr>
      <w:r w:rsidRPr="00533268">
        <w:rPr>
          <w:rFonts w:ascii="Verdana" w:hAnsi="Verdana" w:cs="OpenSansRegular"/>
          <w:sz w:val="20"/>
          <w:szCs w:val="20"/>
        </w:rPr>
        <w:t>Steroids and stimulants in products.</w:t>
      </w:r>
    </w:p>
    <w:p w:rsidR="00533268" w:rsidRPr="00533268" w:rsidRDefault="00533268" w:rsidP="00533268">
      <w:pPr>
        <w:pStyle w:val="Bodycopy"/>
        <w:numPr>
          <w:ilvl w:val="1"/>
          <w:numId w:val="13"/>
        </w:numPr>
        <w:rPr>
          <w:rFonts w:ascii="Verdana" w:hAnsi="Verdana" w:cs="OpenSansRegular"/>
          <w:sz w:val="20"/>
          <w:szCs w:val="20"/>
        </w:rPr>
      </w:pPr>
      <w:r w:rsidRPr="00533268">
        <w:rPr>
          <w:rFonts w:ascii="Verdana" w:hAnsi="Verdana" w:cs="OpenSansRegular"/>
          <w:sz w:val="20"/>
          <w:szCs w:val="20"/>
        </w:rPr>
        <w:t>Supplement ‘stacking’ (i.e. taking multiple supplements together) or drug interactions</w:t>
      </w:r>
    </w:p>
    <w:p w:rsidR="00533268" w:rsidRPr="00533268" w:rsidRDefault="00533268" w:rsidP="00533268">
      <w:pPr>
        <w:pStyle w:val="Bodycopy"/>
        <w:numPr>
          <w:ilvl w:val="1"/>
          <w:numId w:val="13"/>
        </w:numPr>
        <w:rPr>
          <w:rFonts w:ascii="Verdana" w:hAnsi="Verdana" w:cs="OpenSansRegular"/>
          <w:sz w:val="20"/>
          <w:szCs w:val="20"/>
        </w:rPr>
      </w:pPr>
      <w:r w:rsidRPr="00533268">
        <w:rPr>
          <w:rFonts w:ascii="Verdana" w:hAnsi="Verdana" w:cs="OpenSansRegular"/>
          <w:sz w:val="20"/>
          <w:szCs w:val="20"/>
        </w:rPr>
        <w:t xml:space="preserve">Use of prohibited substances, which may also come about through mislabelling, adulteration or contamination. </w:t>
      </w:r>
    </w:p>
    <w:p w:rsidR="00533268" w:rsidRPr="00484014" w:rsidRDefault="00533268" w:rsidP="00484014">
      <w:pPr>
        <w:pStyle w:val="Bodycopy"/>
        <w:numPr>
          <w:ilvl w:val="0"/>
          <w:numId w:val="13"/>
        </w:numPr>
        <w:rPr>
          <w:rFonts w:ascii="Verdana" w:hAnsi="Verdana" w:cs="OpenSansRegular"/>
          <w:sz w:val="20"/>
          <w:szCs w:val="20"/>
        </w:rPr>
      </w:pPr>
      <w:r w:rsidRPr="00533268">
        <w:rPr>
          <w:rFonts w:ascii="Verdana" w:hAnsi="Verdana" w:cs="OpenSansRegular"/>
          <w:sz w:val="20"/>
          <w:szCs w:val="20"/>
        </w:rPr>
        <w:t xml:space="preserve">The Australian Institute of Sport (AIS) Sports Supplements Framework </w:t>
      </w:r>
      <w:proofErr w:type="gramStart"/>
      <w:r w:rsidRPr="00533268">
        <w:rPr>
          <w:rFonts w:ascii="Verdana" w:hAnsi="Verdana" w:cs="OpenSansRegular"/>
          <w:sz w:val="20"/>
          <w:szCs w:val="20"/>
        </w:rPr>
        <w:t>groups</w:t>
      </w:r>
      <w:proofErr w:type="gramEnd"/>
      <w:r w:rsidRPr="00533268">
        <w:rPr>
          <w:rFonts w:ascii="Verdana" w:hAnsi="Verdana" w:cs="OpenSansRegular"/>
          <w:sz w:val="20"/>
          <w:szCs w:val="20"/>
        </w:rPr>
        <w:t xml:space="preserve"> supplements into four categories (A, B, C or D) based on the strength of the evidence base for safety and effectiveness.</w:t>
      </w:r>
      <w:r w:rsidR="00484014">
        <w:rPr>
          <w:rFonts w:ascii="Verdana" w:hAnsi="Verdana" w:cs="OpenSansRegular"/>
          <w:sz w:val="20"/>
          <w:szCs w:val="20"/>
        </w:rPr>
        <w:t xml:space="preserve"> </w:t>
      </w:r>
      <w:r w:rsidR="00484014" w:rsidRPr="00484014">
        <w:rPr>
          <w:rFonts w:ascii="Verdana" w:hAnsi="Verdana" w:cs="OpenSansRegular"/>
          <w:sz w:val="20"/>
          <w:szCs w:val="20"/>
        </w:rPr>
        <w:t>This advice is, however, intended to guide elite athletes in controlled environments, not the general public</w:t>
      </w:r>
      <w:r w:rsidR="00484014">
        <w:rPr>
          <w:rFonts w:ascii="Verdana" w:hAnsi="Verdana" w:cs="OpenSansRegular"/>
          <w:sz w:val="20"/>
          <w:szCs w:val="20"/>
        </w:rPr>
        <w:t>.</w:t>
      </w:r>
    </w:p>
    <w:p w:rsidR="006E0C95" w:rsidRPr="00AF4A89" w:rsidRDefault="00533268" w:rsidP="008674CE">
      <w:pPr>
        <w:pStyle w:val="Bodycopy"/>
        <w:numPr>
          <w:ilvl w:val="0"/>
          <w:numId w:val="13"/>
        </w:numPr>
        <w:rPr>
          <w:rFonts w:ascii="Verdana" w:hAnsi="Verdana" w:cs="OpenSansRegular"/>
          <w:sz w:val="20"/>
          <w:szCs w:val="20"/>
        </w:rPr>
      </w:pPr>
      <w:r w:rsidRPr="00533268">
        <w:rPr>
          <w:rFonts w:ascii="Verdana" w:hAnsi="Verdana" w:cs="OpenSansRegular"/>
          <w:sz w:val="20"/>
          <w:szCs w:val="20"/>
        </w:rPr>
        <w:t xml:space="preserve">The Australasian College of Sport and Exercise Physicians (ACSEP) position statement on supplements </w:t>
      </w:r>
      <w:r w:rsidR="00484014">
        <w:rPr>
          <w:rFonts w:ascii="Verdana" w:hAnsi="Verdana" w:cs="OpenSansRegular"/>
          <w:sz w:val="20"/>
          <w:szCs w:val="20"/>
        </w:rPr>
        <w:t xml:space="preserve">takes a ‘food first’ approach and </w:t>
      </w:r>
      <w:r w:rsidRPr="00533268">
        <w:rPr>
          <w:rFonts w:ascii="Verdana" w:hAnsi="Verdana" w:cs="OpenSansRegular"/>
          <w:sz w:val="20"/>
          <w:szCs w:val="20"/>
        </w:rPr>
        <w:t>states that consumers should not assume that a sports supplement available for purchase in Australia or New Zealand is safe for use and free of ingredients with harmful health effects.</w:t>
      </w:r>
      <w:bookmarkEnd w:id="8"/>
    </w:p>
    <w:p w:rsidR="006E0C95" w:rsidRDefault="006E0C95" w:rsidP="006E0C95">
      <w:pPr>
        <w:pStyle w:val="Heading1"/>
        <w:keepLines w:val="0"/>
        <w:spacing w:before="0" w:after="240" w:line="240" w:lineRule="auto"/>
        <w:rPr>
          <w:rFonts w:ascii="Verdana" w:eastAsia="Times New Roman" w:hAnsi="Verdana" w:cs="OpenSansRegular"/>
          <w:bCs/>
          <w:color w:val="000000" w:themeColor="text1"/>
          <w:kern w:val="32"/>
          <w:sz w:val="40"/>
          <w:szCs w:val="40"/>
        </w:rPr>
        <w:sectPr w:rsidR="006E0C95" w:rsidSect="00183BF8">
          <w:headerReference w:type="even" r:id="rId20"/>
          <w:headerReference w:type="default" r:id="rId21"/>
          <w:headerReference w:type="first" r:id="rId22"/>
          <w:pgSz w:w="11906" w:h="16838"/>
          <w:pgMar w:top="1440" w:right="1440" w:bottom="1440" w:left="1440" w:header="708" w:footer="708" w:gutter="0"/>
          <w:cols w:space="708"/>
          <w:docGrid w:linePitch="360"/>
        </w:sectPr>
      </w:pPr>
    </w:p>
    <w:p w:rsidR="006E0C95" w:rsidRPr="008D071E" w:rsidRDefault="008D071E" w:rsidP="006E0C95">
      <w:pPr>
        <w:pStyle w:val="Heading1"/>
        <w:keepLines w:val="0"/>
        <w:spacing w:before="0" w:after="240" w:line="240" w:lineRule="auto"/>
        <w:rPr>
          <w:rFonts w:ascii="Verdana" w:eastAsia="Verdana" w:hAnsi="Verdana" w:cs="OpenSansRegular"/>
          <w:sz w:val="18"/>
          <w:szCs w:val="18"/>
        </w:rPr>
      </w:pPr>
      <w:bookmarkStart w:id="9" w:name="_Toc521503524"/>
      <w:r w:rsidRPr="008D071E">
        <w:rPr>
          <w:rFonts w:ascii="Verdana" w:eastAsia="Times New Roman" w:hAnsi="Verdana" w:cs="OpenSansRegular"/>
          <w:bCs/>
          <w:color w:val="000000" w:themeColor="text1"/>
          <w:kern w:val="32"/>
          <w:sz w:val="40"/>
          <w:szCs w:val="40"/>
        </w:rPr>
        <w:lastRenderedPageBreak/>
        <w:t>Register of Issues Raised</w:t>
      </w:r>
      <w:bookmarkEnd w:id="9"/>
    </w:p>
    <w:p w:rsidR="008D071E" w:rsidRPr="008D071E" w:rsidRDefault="008D071E" w:rsidP="008D071E">
      <w:pPr>
        <w:rPr>
          <w:rFonts w:ascii="Verdana" w:hAnsi="Verdana"/>
        </w:rPr>
      </w:pPr>
      <w:bookmarkStart w:id="10" w:name="_Toc514410585"/>
      <w:bookmarkStart w:id="11" w:name="_Toc514417086"/>
      <w:bookmarkStart w:id="12" w:name="_Toc515008208"/>
      <w:r w:rsidRPr="008D071E">
        <w:rPr>
          <w:rFonts w:ascii="Verdana" w:hAnsi="Verdana"/>
        </w:rPr>
        <w:t>This register is a summary of key concerns and points of interest raised by attendees throug</w:t>
      </w:r>
      <w:r w:rsidR="00AF4A89">
        <w:rPr>
          <w:rFonts w:ascii="Verdana" w:hAnsi="Verdana"/>
        </w:rPr>
        <w:t>hout the roundtable</w:t>
      </w:r>
      <w:r w:rsidRPr="008D071E">
        <w:rPr>
          <w:rFonts w:ascii="Verdana" w:hAnsi="Verdana"/>
        </w:rPr>
        <w:t>.</w:t>
      </w:r>
    </w:p>
    <w:p w:rsidR="008D071E" w:rsidRPr="008D071E" w:rsidRDefault="008D071E" w:rsidP="008D071E">
      <w:pPr>
        <w:pStyle w:val="BSubheading-Bluedk"/>
        <w:rPr>
          <w:rFonts w:ascii="Verdana" w:hAnsi="Verdana" w:cs="OpenSansRegular"/>
          <w:color w:val="62B5E5"/>
          <w:sz w:val="22"/>
          <w:szCs w:val="22"/>
        </w:rPr>
      </w:pPr>
      <w:bookmarkStart w:id="13" w:name="_Toc521503525"/>
      <w:r w:rsidRPr="008D071E">
        <w:rPr>
          <w:rFonts w:ascii="Verdana" w:hAnsi="Verdana" w:cs="OpenSansRegular"/>
          <w:color w:val="62B5E5"/>
          <w:sz w:val="22"/>
          <w:szCs w:val="22"/>
        </w:rPr>
        <w:t>Regulations</w:t>
      </w:r>
      <w:bookmarkEnd w:id="13"/>
    </w:p>
    <w:p w:rsidR="008D071E" w:rsidRPr="008D071E" w:rsidRDefault="008D071E" w:rsidP="008D071E">
      <w:pPr>
        <w:pStyle w:val="ListParagraph"/>
        <w:numPr>
          <w:ilvl w:val="0"/>
          <w:numId w:val="28"/>
        </w:numPr>
        <w:rPr>
          <w:rFonts w:ascii="Verdana" w:hAnsi="Verdana"/>
        </w:rPr>
      </w:pPr>
      <w:r w:rsidRPr="008D071E">
        <w:rPr>
          <w:rFonts w:ascii="Verdana" w:hAnsi="Verdana"/>
        </w:rPr>
        <w:t>There are a number of Standards under Part 2.9 of the Code. It may be worth considering whether these can be consolidated when reviewing Standard 2.9.4 to simplify compliance.  However, it was noted that including more Standards into the potential review of Standard 2.9.4 would increase the workload and slow the process. Furthermore, most components of these Standards would need to be retained.</w:t>
      </w:r>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Any review of the Standard should aim to be future-proofed. The review process should include anticipation of the style of products that may be released into the future. This concept is challenging as keeping the standard broad to allow for future product innovations means that a large number of products will fall under the Standard and it is unclear whether these products are foods or medicines.  </w:t>
      </w:r>
    </w:p>
    <w:p w:rsidR="008D071E" w:rsidRPr="008D071E" w:rsidRDefault="008D071E" w:rsidP="008D071E">
      <w:pPr>
        <w:pStyle w:val="ListParagraph"/>
        <w:numPr>
          <w:ilvl w:val="0"/>
          <w:numId w:val="28"/>
        </w:numPr>
        <w:rPr>
          <w:rFonts w:ascii="Verdana" w:hAnsi="Verdana"/>
        </w:rPr>
      </w:pPr>
      <w:r w:rsidRPr="008D071E">
        <w:rPr>
          <w:rFonts w:ascii="Verdana" w:hAnsi="Verdana"/>
        </w:rPr>
        <w:t>It was noted that manufacturers are able to put the statement ‘Formulated supplementary sports food’ on labels, when these products are not necessarily a food. Consideration needs to be given to how broad definitions will be and what groups of products will potentially be captured under these.</w:t>
      </w:r>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Consideration could be given to whether DAWR could increase the inspection rate of FSSF and what evidence or advice would be required from FSANZ to facilitate this. It was noted that the FSANZ risk </w:t>
      </w:r>
      <w:r w:rsidR="0060536B" w:rsidRPr="008D071E">
        <w:rPr>
          <w:rFonts w:ascii="Verdana" w:hAnsi="Verdana"/>
        </w:rPr>
        <w:t>assessment, which is used by DAWR to determine if a food is a ‘risk’ or ‘surveillance’ food,</w:t>
      </w:r>
      <w:r w:rsidRPr="008D071E">
        <w:rPr>
          <w:rFonts w:ascii="Verdana" w:hAnsi="Verdana"/>
        </w:rPr>
        <w:t xml:space="preserve"> is based on the extent to which a product is a risk to human health. </w:t>
      </w:r>
    </w:p>
    <w:p w:rsidR="008D071E" w:rsidRPr="008D071E" w:rsidRDefault="008D071E" w:rsidP="008D071E">
      <w:pPr>
        <w:pStyle w:val="BSubheading-Bluedk"/>
        <w:rPr>
          <w:rFonts w:ascii="Verdana" w:hAnsi="Verdana" w:cs="OpenSansRegular"/>
          <w:color w:val="62B5E5"/>
          <w:sz w:val="22"/>
          <w:szCs w:val="22"/>
        </w:rPr>
      </w:pPr>
      <w:bookmarkStart w:id="14" w:name="_Toc521503526"/>
      <w:r w:rsidRPr="008D071E">
        <w:rPr>
          <w:rFonts w:ascii="Verdana" w:hAnsi="Verdana" w:cs="OpenSansRegular"/>
          <w:color w:val="62B5E5"/>
          <w:sz w:val="22"/>
          <w:szCs w:val="22"/>
        </w:rPr>
        <w:t>Metabolic Dietary Disorders</w:t>
      </w:r>
      <w:bookmarkEnd w:id="14"/>
    </w:p>
    <w:p w:rsidR="008D071E" w:rsidRPr="008D071E" w:rsidRDefault="008D071E" w:rsidP="008D071E">
      <w:pPr>
        <w:pStyle w:val="ListParagraph"/>
        <w:numPr>
          <w:ilvl w:val="0"/>
          <w:numId w:val="28"/>
        </w:numPr>
        <w:rPr>
          <w:rFonts w:ascii="Verdana" w:hAnsi="Verdana"/>
        </w:rPr>
      </w:pPr>
      <w:r w:rsidRPr="008D071E">
        <w:rPr>
          <w:rFonts w:ascii="Verdana" w:hAnsi="Verdana"/>
        </w:rPr>
        <w:t>People with these disorders are not only affected by protein (or other nutrient) intake, exertion placed on the body also has an impact. There are a range of disorders including metabolising other nutrients.</w:t>
      </w:r>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Urea Cycle Disorders were added </w:t>
      </w:r>
      <w:r w:rsidR="003A066B">
        <w:rPr>
          <w:rFonts w:ascii="Verdana" w:hAnsi="Verdana"/>
        </w:rPr>
        <w:t>to</w:t>
      </w:r>
      <w:r w:rsidRPr="008D071E">
        <w:rPr>
          <w:rFonts w:ascii="Verdana" w:hAnsi="Verdana"/>
        </w:rPr>
        <w:t xml:space="preserve"> newborn screening in 1998, but have since been removed. The presence of the condition does not necessarily mean a person will be symptomatic and therefore the testing was not particularly helpful.</w:t>
      </w:r>
    </w:p>
    <w:p w:rsidR="008D071E" w:rsidRPr="008D071E" w:rsidRDefault="008D071E" w:rsidP="008D071E">
      <w:pPr>
        <w:pStyle w:val="ListParagraph"/>
        <w:numPr>
          <w:ilvl w:val="0"/>
          <w:numId w:val="28"/>
        </w:numPr>
        <w:rPr>
          <w:rFonts w:ascii="Verdana" w:hAnsi="Verdana"/>
        </w:rPr>
      </w:pPr>
      <w:r w:rsidRPr="008D071E">
        <w:rPr>
          <w:rFonts w:ascii="Verdana" w:hAnsi="Verdana"/>
        </w:rPr>
        <w:t>Any extreme variants in diet and lifestyle can have consequences for people with a range of disorders.</w:t>
      </w:r>
    </w:p>
    <w:p w:rsidR="008D071E" w:rsidRPr="008D071E" w:rsidRDefault="008D071E" w:rsidP="008D071E">
      <w:pPr>
        <w:pStyle w:val="BSubheading-Bluedk"/>
        <w:rPr>
          <w:rFonts w:ascii="Verdana" w:hAnsi="Verdana" w:cs="OpenSansRegular"/>
          <w:color w:val="62B5E5"/>
          <w:sz w:val="22"/>
          <w:szCs w:val="22"/>
        </w:rPr>
      </w:pPr>
      <w:bookmarkStart w:id="15" w:name="_Toc521503527"/>
      <w:r w:rsidRPr="008D071E">
        <w:rPr>
          <w:rFonts w:ascii="Verdana" w:hAnsi="Verdana" w:cs="OpenSansRegular"/>
          <w:color w:val="62B5E5"/>
          <w:sz w:val="22"/>
          <w:szCs w:val="22"/>
        </w:rPr>
        <w:t>Pre-trainers and weight loss supplements- Caffeine</w:t>
      </w:r>
      <w:bookmarkEnd w:id="15"/>
      <w:r w:rsidRPr="008D071E">
        <w:rPr>
          <w:rFonts w:ascii="Verdana" w:hAnsi="Verdana" w:cs="OpenSansRegular"/>
          <w:color w:val="62B5E5"/>
          <w:sz w:val="22"/>
          <w:szCs w:val="22"/>
        </w:rPr>
        <w:t xml:space="preserve"> </w:t>
      </w:r>
    </w:p>
    <w:p w:rsidR="008D071E" w:rsidRPr="008D071E" w:rsidRDefault="008D071E" w:rsidP="008D071E">
      <w:pPr>
        <w:pStyle w:val="ListParagraph"/>
        <w:numPr>
          <w:ilvl w:val="0"/>
          <w:numId w:val="28"/>
        </w:numPr>
        <w:rPr>
          <w:rFonts w:ascii="Verdana" w:hAnsi="Verdana"/>
        </w:rPr>
      </w:pPr>
      <w:r w:rsidRPr="008D071E">
        <w:rPr>
          <w:rFonts w:ascii="Verdana" w:hAnsi="Verdana"/>
        </w:rPr>
        <w:t>A number of products have been presenting with up to 400mg of caffeine in one serving.</w:t>
      </w:r>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FSANZ advice (considered </w:t>
      </w:r>
      <w:r w:rsidR="0060536B" w:rsidRPr="008D071E">
        <w:rPr>
          <w:rFonts w:ascii="Verdana" w:hAnsi="Verdana"/>
        </w:rPr>
        <w:t>potentially</w:t>
      </w:r>
      <w:r w:rsidRPr="008D071E">
        <w:rPr>
          <w:rFonts w:ascii="Verdana" w:hAnsi="Verdana"/>
        </w:rPr>
        <w:t xml:space="preserve"> outdated) states that increased anxiety levels occur in adults with an intake of 210mg per day. However, current advice from the European Food Safety Authority </w:t>
      </w:r>
      <w:r w:rsidR="003A066B">
        <w:rPr>
          <w:rFonts w:ascii="Verdana" w:hAnsi="Verdana"/>
        </w:rPr>
        <w:t xml:space="preserve">in its 2015 scientific opinion on caffeine suggests that consumption of up to 400mg does not give rise to safety concern. </w:t>
      </w:r>
    </w:p>
    <w:p w:rsidR="008D071E" w:rsidRPr="008D071E" w:rsidRDefault="008D071E" w:rsidP="008D071E">
      <w:pPr>
        <w:pStyle w:val="ListParagraph"/>
        <w:numPr>
          <w:ilvl w:val="0"/>
          <w:numId w:val="28"/>
        </w:numPr>
        <w:rPr>
          <w:rFonts w:ascii="Verdana" w:hAnsi="Verdana"/>
        </w:rPr>
      </w:pPr>
      <w:r w:rsidRPr="008D071E">
        <w:rPr>
          <w:rFonts w:ascii="Verdana" w:hAnsi="Verdana"/>
        </w:rPr>
        <w:t>It is considered that general consumers are unsure of what the safe maximum daily intake is.</w:t>
      </w:r>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Concerns were raised over the addition of caffeine derivatives, such as </w:t>
      </w:r>
      <w:proofErr w:type="spellStart"/>
      <w:r w:rsidRPr="008D071E">
        <w:rPr>
          <w:rFonts w:ascii="Verdana" w:hAnsi="Verdana"/>
        </w:rPr>
        <w:t>theacrine</w:t>
      </w:r>
      <w:proofErr w:type="spellEnd"/>
      <w:r w:rsidRPr="008D071E">
        <w:rPr>
          <w:rFonts w:ascii="Verdana" w:hAnsi="Verdana"/>
        </w:rPr>
        <w:t xml:space="preserve"> (</w:t>
      </w:r>
      <w:proofErr w:type="spellStart"/>
      <w:r w:rsidRPr="008D071E">
        <w:rPr>
          <w:rFonts w:ascii="Verdana" w:hAnsi="Verdana"/>
        </w:rPr>
        <w:t>TeaCrine</w:t>
      </w:r>
      <w:proofErr w:type="spellEnd"/>
      <w:r w:rsidRPr="008D071E">
        <w:rPr>
          <w:rFonts w:ascii="Verdana" w:hAnsi="Verdana"/>
        </w:rPr>
        <w:t xml:space="preserve">©) and </w:t>
      </w:r>
      <w:proofErr w:type="spellStart"/>
      <w:r w:rsidRPr="008D071E">
        <w:rPr>
          <w:rFonts w:ascii="Verdana" w:hAnsi="Verdana"/>
        </w:rPr>
        <w:t>Dynamine</w:t>
      </w:r>
      <w:proofErr w:type="spellEnd"/>
      <w:r w:rsidRPr="008D071E">
        <w:rPr>
          <w:rFonts w:ascii="Verdana" w:hAnsi="Verdana"/>
        </w:rPr>
        <w:t>. Some products contain large amounts of caffeine and these derivatives.</w:t>
      </w:r>
      <w:r w:rsidR="00BA235C">
        <w:rPr>
          <w:rFonts w:ascii="Verdana" w:hAnsi="Verdana"/>
        </w:rPr>
        <w:t xml:space="preserve"> This could increase the inherent risk in those products.</w:t>
      </w:r>
    </w:p>
    <w:p w:rsidR="008D071E" w:rsidRPr="008D071E" w:rsidRDefault="008D071E" w:rsidP="008D071E">
      <w:pPr>
        <w:pStyle w:val="ListParagraph"/>
        <w:numPr>
          <w:ilvl w:val="0"/>
          <w:numId w:val="28"/>
        </w:numPr>
        <w:rPr>
          <w:rFonts w:ascii="Verdana" w:hAnsi="Verdana"/>
        </w:rPr>
      </w:pPr>
      <w:r w:rsidRPr="008D071E">
        <w:rPr>
          <w:rFonts w:ascii="Verdana" w:hAnsi="Verdana"/>
        </w:rPr>
        <w:t>It was noted that sports dietitians have the knowledge to advise consumers of a safe level for their needs, but qualified personnel are rarely available when consumers are purchasing these products.</w:t>
      </w:r>
    </w:p>
    <w:p w:rsidR="008D071E" w:rsidRPr="008D071E" w:rsidRDefault="008D071E" w:rsidP="008D071E">
      <w:pPr>
        <w:pStyle w:val="BSubheading-Bluedk"/>
        <w:rPr>
          <w:rFonts w:ascii="Verdana" w:hAnsi="Verdana" w:cs="OpenSansRegular"/>
          <w:color w:val="62B5E5"/>
          <w:sz w:val="22"/>
          <w:szCs w:val="22"/>
        </w:rPr>
      </w:pPr>
      <w:bookmarkStart w:id="16" w:name="_Toc521503528"/>
      <w:r w:rsidRPr="008D071E">
        <w:rPr>
          <w:rFonts w:ascii="Verdana" w:hAnsi="Verdana" w:cs="OpenSansRegular"/>
          <w:color w:val="62B5E5"/>
          <w:sz w:val="22"/>
          <w:szCs w:val="22"/>
        </w:rPr>
        <w:lastRenderedPageBreak/>
        <w:t>Composition and interactions with other products</w:t>
      </w:r>
      <w:bookmarkEnd w:id="16"/>
    </w:p>
    <w:p w:rsidR="008D071E" w:rsidRPr="008D071E" w:rsidRDefault="008D071E" w:rsidP="008D071E">
      <w:pPr>
        <w:pStyle w:val="ListParagraph"/>
        <w:numPr>
          <w:ilvl w:val="0"/>
          <w:numId w:val="28"/>
        </w:numPr>
        <w:rPr>
          <w:rFonts w:ascii="Verdana" w:hAnsi="Verdana"/>
        </w:rPr>
      </w:pPr>
      <w:r w:rsidRPr="008D071E">
        <w:rPr>
          <w:rFonts w:ascii="Verdana" w:hAnsi="Verdana"/>
        </w:rPr>
        <w:t>Some sports supplements provide a very large serving of a single ingredient that under the Code is considered ‘safe’, but when this ingredient is consumed at high levels it may have the potential to become toxic.</w:t>
      </w:r>
    </w:p>
    <w:p w:rsidR="008D071E" w:rsidRPr="008D071E" w:rsidRDefault="008D071E" w:rsidP="008D071E">
      <w:pPr>
        <w:pStyle w:val="ListParagraph"/>
        <w:numPr>
          <w:ilvl w:val="0"/>
          <w:numId w:val="28"/>
        </w:numPr>
        <w:rPr>
          <w:rFonts w:ascii="Verdana" w:hAnsi="Verdana"/>
        </w:rPr>
      </w:pPr>
      <w:r w:rsidRPr="008D071E">
        <w:rPr>
          <w:rFonts w:ascii="Verdana" w:hAnsi="Verdana"/>
        </w:rPr>
        <w:t>Consumers assume that if a product is on the shelf then it is safe to consume at the dose they should be taking it.</w:t>
      </w:r>
    </w:p>
    <w:p w:rsidR="008D071E" w:rsidRPr="008D071E" w:rsidRDefault="008D071E" w:rsidP="008D071E">
      <w:pPr>
        <w:pStyle w:val="ListParagraph"/>
        <w:numPr>
          <w:ilvl w:val="0"/>
          <w:numId w:val="28"/>
        </w:numPr>
        <w:rPr>
          <w:rFonts w:ascii="Verdana" w:hAnsi="Verdana"/>
        </w:rPr>
      </w:pPr>
      <w:r w:rsidRPr="008D071E">
        <w:rPr>
          <w:rFonts w:ascii="Verdana" w:hAnsi="Verdana"/>
        </w:rPr>
        <w:t>Research shows consumers are frequently taking more than one product at the same time. The interaction between these products and other medications is important to know. St John’s Wort is an example of this.</w:t>
      </w:r>
    </w:p>
    <w:p w:rsidR="008D071E" w:rsidRPr="008D071E" w:rsidRDefault="008D071E" w:rsidP="008D071E">
      <w:pPr>
        <w:pStyle w:val="ListParagraph"/>
        <w:numPr>
          <w:ilvl w:val="0"/>
          <w:numId w:val="28"/>
        </w:numPr>
        <w:rPr>
          <w:rFonts w:ascii="Verdana" w:hAnsi="Verdana"/>
        </w:rPr>
      </w:pPr>
      <w:r w:rsidRPr="008D071E">
        <w:rPr>
          <w:rFonts w:ascii="Verdana" w:hAnsi="Verdana"/>
        </w:rPr>
        <w:t>Natural or organic does not mean that these products are safe. Unsafe ingredients can be sourced naturally.</w:t>
      </w:r>
    </w:p>
    <w:p w:rsidR="008D071E" w:rsidRPr="008D071E" w:rsidRDefault="008D071E" w:rsidP="008D071E">
      <w:pPr>
        <w:pStyle w:val="BSubheading-Bluedk"/>
        <w:rPr>
          <w:rFonts w:ascii="Verdana" w:hAnsi="Verdana" w:cs="OpenSansRegular"/>
          <w:color w:val="62B5E5"/>
          <w:sz w:val="22"/>
          <w:szCs w:val="22"/>
        </w:rPr>
      </w:pPr>
      <w:bookmarkStart w:id="17" w:name="_Toc521503529"/>
      <w:r w:rsidRPr="008D071E">
        <w:rPr>
          <w:rFonts w:ascii="Verdana" w:hAnsi="Verdana" w:cs="OpenSansRegular"/>
          <w:color w:val="62B5E5"/>
          <w:sz w:val="22"/>
          <w:szCs w:val="22"/>
        </w:rPr>
        <w:t>Reporting of adverse effects</w:t>
      </w:r>
      <w:bookmarkEnd w:id="17"/>
    </w:p>
    <w:p w:rsidR="008D071E" w:rsidRPr="008D071E" w:rsidRDefault="008D071E" w:rsidP="008D071E">
      <w:pPr>
        <w:pStyle w:val="ListParagraph"/>
        <w:numPr>
          <w:ilvl w:val="0"/>
          <w:numId w:val="28"/>
        </w:numPr>
        <w:rPr>
          <w:rFonts w:ascii="Verdana" w:hAnsi="Verdana"/>
        </w:rPr>
      </w:pPr>
      <w:r w:rsidRPr="008D071E">
        <w:rPr>
          <w:rFonts w:ascii="Verdana" w:hAnsi="Verdana"/>
        </w:rPr>
        <w:t xml:space="preserve">It was noted that there is a lack of data available on the incidence of adverse effects to consumers when taking sports supplements. Work could be done to improve this data gap. </w:t>
      </w:r>
    </w:p>
    <w:p w:rsidR="008D071E" w:rsidRPr="008D071E" w:rsidRDefault="008D071E" w:rsidP="008D071E">
      <w:pPr>
        <w:pStyle w:val="ListParagraph"/>
        <w:numPr>
          <w:ilvl w:val="0"/>
          <w:numId w:val="28"/>
        </w:numPr>
        <w:rPr>
          <w:rFonts w:ascii="Verdana" w:hAnsi="Verdana"/>
        </w:rPr>
      </w:pPr>
      <w:r w:rsidRPr="008D071E">
        <w:rPr>
          <w:rFonts w:ascii="Verdana" w:hAnsi="Verdana"/>
        </w:rPr>
        <w:t>The FSANZ telephone survey from 2010 is available, but no further questions were asked on the types/severity of adverse event or the specific products that were taken. Further research into this area would be valuable.</w:t>
      </w:r>
    </w:p>
    <w:p w:rsidR="008D071E" w:rsidRPr="008D071E" w:rsidRDefault="008D071E" w:rsidP="008D071E">
      <w:pPr>
        <w:pStyle w:val="ListParagraph"/>
        <w:numPr>
          <w:ilvl w:val="0"/>
          <w:numId w:val="28"/>
        </w:numPr>
        <w:rPr>
          <w:rFonts w:ascii="Verdana" w:hAnsi="Verdana"/>
        </w:rPr>
      </w:pPr>
      <w:r w:rsidRPr="008D071E">
        <w:rPr>
          <w:rFonts w:ascii="Verdana" w:hAnsi="Verdana"/>
        </w:rPr>
        <w:t>Furthermore, consideration was given to including doping violations as adverse effects of taking these products. Australia’s obligations under international anti-doping codes should be considered.</w:t>
      </w:r>
    </w:p>
    <w:p w:rsidR="008D071E" w:rsidRPr="008D071E" w:rsidRDefault="008D071E" w:rsidP="008D071E">
      <w:pPr>
        <w:pStyle w:val="BSubheading-Bluedk"/>
        <w:rPr>
          <w:rFonts w:ascii="Verdana" w:hAnsi="Verdana" w:cs="OpenSansRegular"/>
          <w:color w:val="62B5E5"/>
          <w:sz w:val="22"/>
          <w:szCs w:val="22"/>
        </w:rPr>
      </w:pPr>
      <w:bookmarkStart w:id="18" w:name="_Toc521503530"/>
      <w:r w:rsidRPr="008D071E">
        <w:rPr>
          <w:rFonts w:ascii="Verdana" w:hAnsi="Verdana" w:cs="OpenSansRegular"/>
          <w:color w:val="62B5E5"/>
          <w:sz w:val="22"/>
          <w:szCs w:val="22"/>
        </w:rPr>
        <w:t>Reporting of sales data</w:t>
      </w:r>
      <w:bookmarkEnd w:id="18"/>
    </w:p>
    <w:p w:rsidR="008D071E" w:rsidRPr="008D071E" w:rsidRDefault="008D071E" w:rsidP="008D071E">
      <w:pPr>
        <w:pStyle w:val="ListParagraph"/>
        <w:numPr>
          <w:ilvl w:val="0"/>
          <w:numId w:val="28"/>
        </w:numPr>
        <w:rPr>
          <w:rFonts w:ascii="Verdana" w:hAnsi="Verdana" w:cs="OpenSansRegular"/>
          <w:szCs w:val="20"/>
        </w:rPr>
      </w:pPr>
      <w:r w:rsidRPr="008D071E">
        <w:rPr>
          <w:rFonts w:ascii="Verdana" w:hAnsi="Verdana" w:cs="OpenSansRegular"/>
          <w:szCs w:val="20"/>
        </w:rPr>
        <w:t>The option to obtain sales data from industry would allow for further insight into what products are being purchased and why.</w:t>
      </w:r>
    </w:p>
    <w:p w:rsidR="008D071E" w:rsidRPr="008D071E" w:rsidRDefault="008D071E" w:rsidP="008D071E">
      <w:pPr>
        <w:pStyle w:val="BSubheading-Bluedk"/>
        <w:rPr>
          <w:rFonts w:ascii="Verdana" w:hAnsi="Verdana" w:cs="OpenSansRegular"/>
          <w:color w:val="62B5E5"/>
          <w:sz w:val="22"/>
          <w:szCs w:val="22"/>
        </w:rPr>
      </w:pPr>
      <w:bookmarkStart w:id="19" w:name="_Toc521503531"/>
      <w:r w:rsidRPr="008D071E">
        <w:rPr>
          <w:rFonts w:ascii="Verdana" w:hAnsi="Verdana" w:cs="OpenSansRegular"/>
          <w:color w:val="62B5E5"/>
          <w:sz w:val="22"/>
          <w:szCs w:val="22"/>
        </w:rPr>
        <w:t>Capacity of compliance and enforcement officers</w:t>
      </w:r>
      <w:bookmarkEnd w:id="19"/>
    </w:p>
    <w:p w:rsidR="008D071E" w:rsidRPr="008D071E" w:rsidRDefault="008D071E" w:rsidP="008D071E">
      <w:pPr>
        <w:pStyle w:val="ListParagraph"/>
        <w:numPr>
          <w:ilvl w:val="0"/>
          <w:numId w:val="28"/>
        </w:numPr>
        <w:rPr>
          <w:rFonts w:ascii="Verdana" w:hAnsi="Verdana" w:cs="OpenSansRegular"/>
          <w:szCs w:val="20"/>
        </w:rPr>
      </w:pPr>
      <w:r w:rsidRPr="008D071E">
        <w:rPr>
          <w:rFonts w:ascii="Verdana" w:hAnsi="Verdana" w:cs="OpenSansRegular"/>
          <w:szCs w:val="20"/>
        </w:rPr>
        <w:t>It is widely accepted that there are a number of non-compliant products that are available to Australian and New Zealand consumers. From previous compliance activities, this is considered to be largely from overseas products that are privately purchased on the internet.</w:t>
      </w:r>
    </w:p>
    <w:p w:rsidR="008D071E" w:rsidRPr="008D071E" w:rsidRDefault="008D071E" w:rsidP="008D071E">
      <w:pPr>
        <w:pStyle w:val="ListParagraph"/>
        <w:numPr>
          <w:ilvl w:val="0"/>
          <w:numId w:val="28"/>
        </w:numPr>
        <w:rPr>
          <w:rFonts w:ascii="Verdana" w:hAnsi="Verdana" w:cs="OpenSansRegular"/>
          <w:szCs w:val="20"/>
        </w:rPr>
      </w:pPr>
      <w:r w:rsidRPr="008D071E">
        <w:rPr>
          <w:rFonts w:ascii="Verdana" w:hAnsi="Verdana" w:cs="OpenSansRegular"/>
          <w:szCs w:val="20"/>
        </w:rPr>
        <w:t>It was also noted that consumer education is important, but when products contain undeclared ingredients, then education can only go so far.</w:t>
      </w:r>
    </w:p>
    <w:p w:rsidR="008D071E" w:rsidRPr="008D071E" w:rsidRDefault="008D071E" w:rsidP="008D071E">
      <w:pPr>
        <w:pStyle w:val="ListParagraph"/>
        <w:numPr>
          <w:ilvl w:val="0"/>
          <w:numId w:val="28"/>
        </w:numPr>
        <w:rPr>
          <w:rFonts w:ascii="Verdana" w:hAnsi="Verdana" w:cs="OpenSansRegular"/>
          <w:szCs w:val="20"/>
        </w:rPr>
      </w:pPr>
      <w:r w:rsidRPr="008D071E">
        <w:rPr>
          <w:rFonts w:ascii="Verdana" w:hAnsi="Verdana" w:cs="OpenSansRegular"/>
          <w:szCs w:val="20"/>
        </w:rPr>
        <w:t>This is now a global industry. It was acknowledged that the Australian sports supplements industry should be protected when considering potential action. Any scrutiny should be equally applied to both domestic and international companies.</w:t>
      </w:r>
    </w:p>
    <w:bookmarkEnd w:id="10"/>
    <w:bookmarkEnd w:id="11"/>
    <w:bookmarkEnd w:id="12"/>
    <w:p w:rsidR="001C2AE4" w:rsidRDefault="001C2AE4" w:rsidP="001C03D2">
      <w:pPr>
        <w:rPr>
          <w:rFonts w:ascii="Verdana" w:hAnsi="Verdana" w:cs="OpenSansRegular"/>
          <w:sz w:val="20"/>
          <w:szCs w:val="20"/>
        </w:rPr>
      </w:pPr>
    </w:p>
    <w:p w:rsidR="00A97CA6" w:rsidRPr="008D071E" w:rsidRDefault="00A97CA6" w:rsidP="009D6524">
      <w:pPr>
        <w:rPr>
          <w:rFonts w:ascii="Verdana" w:hAnsi="Verdana" w:cs="OpenSansRegular"/>
          <w:sz w:val="20"/>
          <w:szCs w:val="20"/>
        </w:rPr>
        <w:sectPr w:rsidR="00A97CA6" w:rsidRPr="008D071E" w:rsidSect="00183BF8">
          <w:pgSz w:w="11906" w:h="16838"/>
          <w:pgMar w:top="1440" w:right="1440" w:bottom="1440" w:left="1440" w:header="708" w:footer="708" w:gutter="0"/>
          <w:cols w:space="708"/>
          <w:docGrid w:linePitch="360"/>
        </w:sectPr>
      </w:pPr>
    </w:p>
    <w:p w:rsidR="009A00F3" w:rsidRPr="00DF4971" w:rsidRDefault="00DF4971" w:rsidP="00DF4971">
      <w:pPr>
        <w:pStyle w:val="Heading1"/>
        <w:keepLines w:val="0"/>
        <w:spacing w:before="0" w:after="240" w:line="240" w:lineRule="auto"/>
        <w:rPr>
          <w:rFonts w:ascii="Verdana" w:eastAsia="Times New Roman" w:hAnsi="Verdana" w:cs="OpenSansRegular"/>
          <w:bCs/>
          <w:color w:val="000000" w:themeColor="text1"/>
          <w:kern w:val="32"/>
          <w:sz w:val="40"/>
          <w:szCs w:val="40"/>
        </w:rPr>
      </w:pPr>
      <w:bookmarkStart w:id="20" w:name="_Toc521503532"/>
      <w:bookmarkStart w:id="21" w:name="_Toc517430220"/>
      <w:bookmarkStart w:id="22" w:name="_Toc514410603"/>
      <w:bookmarkStart w:id="23" w:name="_Toc514417104"/>
      <w:bookmarkStart w:id="24" w:name="_Toc515008220"/>
      <w:bookmarkStart w:id="25" w:name="_Toc515893691"/>
      <w:bookmarkStart w:id="26" w:name="_Toc503543376"/>
      <w:bookmarkStart w:id="27" w:name="_Toc504553826"/>
      <w:bookmarkStart w:id="28" w:name="_Toc505003196"/>
      <w:bookmarkStart w:id="29" w:name="_Toc505011002"/>
      <w:bookmarkStart w:id="30" w:name="_Toc505011167"/>
      <w:r>
        <w:rPr>
          <w:rFonts w:ascii="Verdana" w:eastAsia="Times New Roman" w:hAnsi="Verdana" w:cs="OpenSansRegular"/>
          <w:bCs/>
          <w:color w:val="000000" w:themeColor="text1"/>
          <w:kern w:val="32"/>
          <w:sz w:val="40"/>
          <w:szCs w:val="40"/>
        </w:rPr>
        <w:lastRenderedPageBreak/>
        <w:t>Options to Improve Consumer Safety</w:t>
      </w:r>
      <w:bookmarkEnd w:id="20"/>
    </w:p>
    <w:bookmarkEnd w:id="21"/>
    <w:p w:rsidR="00DF4971" w:rsidRDefault="00DF4971" w:rsidP="009A00F3">
      <w:pPr>
        <w:rPr>
          <w:rFonts w:ascii="Verdana" w:hAnsi="Verdana" w:cs="OpenSansRegular"/>
          <w:sz w:val="20"/>
          <w:szCs w:val="20"/>
        </w:rPr>
      </w:pPr>
      <w:r>
        <w:rPr>
          <w:rFonts w:ascii="Verdana" w:hAnsi="Verdana" w:cs="OpenSansRegular"/>
          <w:sz w:val="20"/>
          <w:szCs w:val="20"/>
        </w:rPr>
        <w:t xml:space="preserve">After an extended group discussion, participants worked in small groups </w:t>
      </w:r>
      <w:r w:rsidR="007C587D">
        <w:rPr>
          <w:rFonts w:ascii="Verdana" w:hAnsi="Verdana" w:cs="OpenSansRegular"/>
          <w:sz w:val="20"/>
          <w:szCs w:val="20"/>
        </w:rPr>
        <w:t xml:space="preserve">to </w:t>
      </w:r>
      <w:r>
        <w:rPr>
          <w:rFonts w:ascii="Verdana" w:hAnsi="Verdana" w:cs="OpenSansRegular"/>
          <w:sz w:val="20"/>
          <w:szCs w:val="20"/>
        </w:rPr>
        <w:t>consider options for improving the safety of consumers who use sports supplements.</w:t>
      </w:r>
    </w:p>
    <w:p w:rsidR="00DF4971" w:rsidRDefault="00DF4971" w:rsidP="009A00F3">
      <w:pPr>
        <w:rPr>
          <w:rFonts w:ascii="Verdana" w:hAnsi="Verdana" w:cs="OpenSansRegular"/>
          <w:sz w:val="20"/>
          <w:szCs w:val="20"/>
        </w:rPr>
      </w:pPr>
      <w:r>
        <w:rPr>
          <w:rFonts w:ascii="Verdana" w:hAnsi="Verdana" w:cs="OpenSansRegular"/>
          <w:sz w:val="20"/>
          <w:szCs w:val="20"/>
        </w:rPr>
        <w:t xml:space="preserve">Each small group presented a summary of their ideas </w:t>
      </w:r>
      <w:r w:rsidR="004F2D4D">
        <w:rPr>
          <w:rFonts w:ascii="Verdana" w:hAnsi="Verdana" w:cs="OpenSansRegular"/>
          <w:sz w:val="20"/>
          <w:szCs w:val="20"/>
        </w:rPr>
        <w:t xml:space="preserve">and options </w:t>
      </w:r>
      <w:r>
        <w:rPr>
          <w:rFonts w:ascii="Verdana" w:hAnsi="Verdana" w:cs="OpenSansRegular"/>
          <w:sz w:val="20"/>
          <w:szCs w:val="20"/>
        </w:rPr>
        <w:t xml:space="preserve">to the broader group </w:t>
      </w:r>
      <w:r w:rsidR="0060536B">
        <w:rPr>
          <w:rFonts w:ascii="Verdana" w:hAnsi="Verdana" w:cs="OpenSansRegular"/>
          <w:sz w:val="20"/>
          <w:szCs w:val="20"/>
        </w:rPr>
        <w:t>roundtable</w:t>
      </w:r>
      <w:r>
        <w:rPr>
          <w:rFonts w:ascii="Verdana" w:hAnsi="Verdana" w:cs="OpenSansRegular"/>
          <w:sz w:val="20"/>
          <w:szCs w:val="20"/>
        </w:rPr>
        <w:t xml:space="preserve"> participants – allowing discussion, questions and counter-issues to be raised. This part of the </w:t>
      </w:r>
      <w:r w:rsidR="0060536B">
        <w:rPr>
          <w:rFonts w:ascii="Verdana" w:hAnsi="Verdana" w:cs="OpenSansRegular"/>
          <w:sz w:val="20"/>
          <w:szCs w:val="20"/>
        </w:rPr>
        <w:t>roundtable</w:t>
      </w:r>
      <w:r>
        <w:rPr>
          <w:rFonts w:ascii="Verdana" w:hAnsi="Verdana" w:cs="OpenSansRegular"/>
          <w:sz w:val="20"/>
          <w:szCs w:val="20"/>
        </w:rPr>
        <w:t xml:space="preserve"> was particularly productive and conducted with goodwill.</w:t>
      </w:r>
    </w:p>
    <w:p w:rsidR="00DF4971" w:rsidRDefault="0060536B" w:rsidP="009A00F3">
      <w:pPr>
        <w:rPr>
          <w:rFonts w:ascii="Verdana" w:hAnsi="Verdana" w:cs="OpenSansRegular"/>
          <w:sz w:val="20"/>
          <w:szCs w:val="20"/>
        </w:rPr>
      </w:pPr>
      <w:r>
        <w:rPr>
          <w:rFonts w:ascii="Verdana" w:hAnsi="Verdana" w:cs="OpenSansRegular"/>
          <w:sz w:val="20"/>
          <w:szCs w:val="20"/>
        </w:rPr>
        <w:t>Participants</w:t>
      </w:r>
      <w:r w:rsidR="00DF4971">
        <w:rPr>
          <w:rFonts w:ascii="Verdana" w:hAnsi="Verdana" w:cs="OpenSansRegular"/>
          <w:sz w:val="20"/>
          <w:szCs w:val="20"/>
        </w:rPr>
        <w:t xml:space="preserve"> were advised, and acknowledged, that e</w:t>
      </w:r>
      <w:r w:rsidR="009A00F3" w:rsidRPr="009A00F3">
        <w:rPr>
          <w:rFonts w:ascii="Verdana" w:hAnsi="Verdana" w:cs="OpenSansRegular"/>
          <w:sz w:val="20"/>
          <w:szCs w:val="20"/>
        </w:rPr>
        <w:t xml:space="preserve">vidence-based, best practice regulatory </w:t>
      </w:r>
      <w:r w:rsidR="00DF4971">
        <w:rPr>
          <w:rFonts w:ascii="Verdana" w:hAnsi="Verdana" w:cs="OpenSansRegular"/>
          <w:sz w:val="20"/>
          <w:szCs w:val="20"/>
        </w:rPr>
        <w:t xml:space="preserve">evaluation </w:t>
      </w:r>
      <w:proofErr w:type="gramStart"/>
      <w:r w:rsidR="00DF4971">
        <w:rPr>
          <w:rFonts w:ascii="Verdana" w:hAnsi="Verdana" w:cs="OpenSansRegular"/>
          <w:sz w:val="20"/>
          <w:szCs w:val="20"/>
        </w:rPr>
        <w:t>would need</w:t>
      </w:r>
      <w:proofErr w:type="gramEnd"/>
      <w:r w:rsidR="004F2D4D">
        <w:rPr>
          <w:rFonts w:ascii="Verdana" w:hAnsi="Verdana" w:cs="OpenSansRegular"/>
          <w:sz w:val="20"/>
          <w:szCs w:val="20"/>
        </w:rPr>
        <w:t xml:space="preserve"> occur before any options</w:t>
      </w:r>
      <w:r w:rsidR="00DF4971">
        <w:rPr>
          <w:rFonts w:ascii="Verdana" w:hAnsi="Verdana" w:cs="OpenSansRegular"/>
          <w:sz w:val="20"/>
          <w:szCs w:val="20"/>
        </w:rPr>
        <w:t xml:space="preserve"> could be formally recommended to government.</w:t>
      </w:r>
    </w:p>
    <w:p w:rsidR="009A00F3" w:rsidRDefault="00DF4971" w:rsidP="009A00F3">
      <w:pPr>
        <w:rPr>
          <w:rFonts w:ascii="Verdana" w:hAnsi="Verdana" w:cs="OpenSansRegular"/>
          <w:sz w:val="20"/>
          <w:szCs w:val="20"/>
        </w:rPr>
      </w:pPr>
      <w:r>
        <w:rPr>
          <w:rFonts w:ascii="Verdana" w:hAnsi="Verdana" w:cs="OpenSansRegular"/>
          <w:sz w:val="20"/>
          <w:szCs w:val="20"/>
        </w:rPr>
        <w:t xml:space="preserve">There was a clear and unanimous view within the roundtable that all parties were willing to </w:t>
      </w:r>
      <w:r w:rsidR="009A00F3" w:rsidRPr="009A00F3">
        <w:rPr>
          <w:rFonts w:ascii="Verdana" w:hAnsi="Verdana" w:cs="OpenSansRegular"/>
          <w:sz w:val="20"/>
          <w:szCs w:val="20"/>
        </w:rPr>
        <w:t>work together to improve product safety</w:t>
      </w:r>
      <w:r w:rsidR="004F2D4D">
        <w:rPr>
          <w:rFonts w:ascii="Verdana" w:hAnsi="Verdana" w:cs="OpenSansRegular"/>
          <w:sz w:val="20"/>
          <w:szCs w:val="20"/>
        </w:rPr>
        <w:t xml:space="preserve"> and would be willing to continue further engagement to develop options.</w:t>
      </w:r>
    </w:p>
    <w:p w:rsidR="004F2D4D" w:rsidRPr="009A00F3" w:rsidRDefault="004F2D4D" w:rsidP="004F2D4D">
      <w:pPr>
        <w:rPr>
          <w:rFonts w:ascii="Verdana" w:hAnsi="Verdana" w:cs="OpenSansRegular"/>
          <w:sz w:val="20"/>
          <w:szCs w:val="20"/>
        </w:rPr>
      </w:pPr>
      <w:r>
        <w:rPr>
          <w:rFonts w:ascii="Verdana" w:hAnsi="Verdana" w:cs="OpenSansRegular"/>
          <w:sz w:val="20"/>
          <w:szCs w:val="20"/>
        </w:rPr>
        <w:t>The following ideas and options were raised during the roundtable and attracted broad support within roundtable participants. No significant objections were raised by any roundtable participant in response to any of the following options.</w:t>
      </w:r>
    </w:p>
    <w:p w:rsidR="009A00F3" w:rsidRPr="009A00F3" w:rsidRDefault="009A00F3" w:rsidP="009A00F3">
      <w:pPr>
        <w:pStyle w:val="BSubheading-Bluedk"/>
        <w:rPr>
          <w:rFonts w:ascii="Verdana" w:hAnsi="Verdana" w:cs="OpenSansRegular"/>
          <w:color w:val="62B5E5"/>
          <w:sz w:val="22"/>
          <w:szCs w:val="22"/>
        </w:rPr>
      </w:pPr>
      <w:bookmarkStart w:id="31" w:name="_Toc521503533"/>
      <w:r w:rsidRPr="009A00F3">
        <w:rPr>
          <w:rFonts w:ascii="Verdana" w:hAnsi="Verdana" w:cs="OpenSansRegular"/>
          <w:color w:val="62B5E5"/>
          <w:sz w:val="22"/>
          <w:szCs w:val="22"/>
        </w:rPr>
        <w:t>Full review of Standard 2.9.4 – Formulated Supplementary Sports Foods</w:t>
      </w:r>
      <w:bookmarkEnd w:id="31"/>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This may include a review of the definition of a sports supplement. A new definition may pull more products under the Code to minimise the number of products that fall into the FMI. </w:t>
      </w:r>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The maximum permitted levels of caffeine and its derivatives to be a consideration in this review. Potential maximum levels of other permitted ingredients would also be considered.</w:t>
      </w:r>
      <w:r w:rsidR="00BA235C">
        <w:rPr>
          <w:rFonts w:ascii="Verdana" w:hAnsi="Verdana" w:cs="OpenSansRegular"/>
          <w:szCs w:val="20"/>
        </w:rPr>
        <w:t xml:space="preserve"> This could also relate to product risk tiers.</w:t>
      </w:r>
    </w:p>
    <w:p w:rsid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Consideration of including a warning statement on products to the effect of – Medical or dietetic advice should be sought prior to consuming this product.</w:t>
      </w:r>
    </w:p>
    <w:p w:rsidR="004F2D4D" w:rsidRPr="004F2D4D" w:rsidRDefault="004F2D4D" w:rsidP="004F2D4D">
      <w:pPr>
        <w:spacing w:before="160"/>
        <w:ind w:left="360"/>
        <w:rPr>
          <w:rFonts w:ascii="Verdana" w:hAnsi="Verdana" w:cs="OpenSansRegular"/>
          <w:b/>
          <w:i/>
          <w:sz w:val="20"/>
          <w:szCs w:val="20"/>
        </w:rPr>
      </w:pPr>
      <w:r w:rsidRPr="004F2D4D">
        <w:rPr>
          <w:rFonts w:ascii="Verdana" w:hAnsi="Verdana" w:cs="OpenSansRegular"/>
          <w:b/>
          <w:i/>
          <w:sz w:val="20"/>
          <w:szCs w:val="20"/>
        </w:rPr>
        <w:t>This option had the strongest level of support.</w:t>
      </w:r>
    </w:p>
    <w:p w:rsidR="009A00F3" w:rsidRPr="009A00F3" w:rsidRDefault="009A00F3" w:rsidP="009A00F3">
      <w:pPr>
        <w:pStyle w:val="BSubheading-Bluedk"/>
        <w:rPr>
          <w:rFonts w:ascii="Verdana" w:hAnsi="Verdana" w:cs="OpenSansRegular"/>
          <w:color w:val="62B5E5"/>
          <w:sz w:val="22"/>
          <w:szCs w:val="22"/>
        </w:rPr>
      </w:pPr>
      <w:bookmarkStart w:id="32" w:name="_Toc521503534"/>
      <w:r w:rsidRPr="009A00F3">
        <w:rPr>
          <w:rFonts w:ascii="Verdana" w:hAnsi="Verdana" w:cs="OpenSansRegular"/>
          <w:color w:val="62B5E5"/>
          <w:sz w:val="22"/>
          <w:szCs w:val="22"/>
        </w:rPr>
        <w:t>Compliance and Enforcement</w:t>
      </w:r>
      <w:bookmarkEnd w:id="32"/>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Increase the enforcement capacity for regulators and increas</w:t>
      </w:r>
      <w:r w:rsidR="007C587D">
        <w:rPr>
          <w:rFonts w:ascii="Verdana" w:hAnsi="Verdana" w:cs="OpenSansRegular"/>
          <w:szCs w:val="20"/>
        </w:rPr>
        <w:t>e</w:t>
      </w:r>
      <w:r w:rsidRPr="009A00F3">
        <w:rPr>
          <w:rFonts w:ascii="Verdana" w:hAnsi="Verdana" w:cs="OpenSansRegular"/>
          <w:szCs w:val="20"/>
        </w:rPr>
        <w:t xml:space="preserve"> the ability for enforcement officers to efficiently remove non-compliant products from the market.</w:t>
      </w:r>
    </w:p>
    <w:p w:rsid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Give consideration to closing import loopholes. </w:t>
      </w:r>
    </w:p>
    <w:p w:rsidR="004F2D4D" w:rsidRPr="004F2D4D" w:rsidRDefault="004F2D4D" w:rsidP="004F2D4D">
      <w:pPr>
        <w:spacing w:before="160"/>
        <w:ind w:left="360"/>
        <w:rPr>
          <w:rFonts w:ascii="Verdana" w:hAnsi="Verdana" w:cs="OpenSansRegular"/>
          <w:b/>
          <w:i/>
          <w:sz w:val="20"/>
          <w:szCs w:val="20"/>
        </w:rPr>
      </w:pPr>
      <w:r w:rsidRPr="004F2D4D">
        <w:rPr>
          <w:rFonts w:ascii="Verdana" w:hAnsi="Verdana" w:cs="OpenSansRegular"/>
          <w:b/>
          <w:i/>
          <w:sz w:val="20"/>
          <w:szCs w:val="20"/>
        </w:rPr>
        <w:t xml:space="preserve">This option had </w:t>
      </w:r>
      <w:r>
        <w:rPr>
          <w:rFonts w:ascii="Verdana" w:hAnsi="Verdana" w:cs="OpenSansRegular"/>
          <w:b/>
          <w:i/>
          <w:sz w:val="20"/>
          <w:szCs w:val="20"/>
        </w:rPr>
        <w:t>strong support, with all parties expressing a desire to see dangerous products and unethical businesses removed from the market.</w:t>
      </w:r>
    </w:p>
    <w:p w:rsidR="009A00F3" w:rsidRPr="009A00F3" w:rsidRDefault="009A00F3" w:rsidP="009A00F3">
      <w:pPr>
        <w:pStyle w:val="BSubheading-Bluedk"/>
        <w:rPr>
          <w:rFonts w:ascii="Verdana" w:hAnsi="Verdana" w:cs="OpenSansRegular"/>
          <w:color w:val="62B5E5"/>
          <w:sz w:val="22"/>
          <w:szCs w:val="22"/>
        </w:rPr>
      </w:pPr>
      <w:bookmarkStart w:id="33" w:name="_Toc521503535"/>
      <w:r w:rsidRPr="009A00F3">
        <w:rPr>
          <w:rFonts w:ascii="Verdana" w:hAnsi="Verdana" w:cs="OpenSansRegular"/>
          <w:color w:val="62B5E5"/>
          <w:sz w:val="22"/>
          <w:szCs w:val="22"/>
        </w:rPr>
        <w:t>Data collection and better understanding of the problem</w:t>
      </w:r>
      <w:bookmarkEnd w:id="33"/>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Consider better and more consistent reporting is needed to understand the nature of the problem and adverse events. This could include reporting to the TGA or to health departments.</w:t>
      </w:r>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Data from industry would also be helpful. </w:t>
      </w:r>
    </w:p>
    <w:p w:rsid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Undertake more work to understand the issue and what regulatory options are available to address the issue. </w:t>
      </w:r>
    </w:p>
    <w:p w:rsidR="004F2D4D" w:rsidRPr="004F2D4D" w:rsidRDefault="004F2D4D" w:rsidP="004F2D4D">
      <w:pPr>
        <w:spacing w:before="160"/>
        <w:ind w:left="360"/>
        <w:rPr>
          <w:rFonts w:ascii="Verdana" w:hAnsi="Verdana" w:cs="OpenSansRegular"/>
          <w:b/>
          <w:i/>
          <w:sz w:val="20"/>
          <w:szCs w:val="20"/>
        </w:rPr>
      </w:pPr>
      <w:r w:rsidRPr="004F2D4D">
        <w:rPr>
          <w:rFonts w:ascii="Verdana" w:hAnsi="Verdana" w:cs="OpenSansRegular"/>
          <w:b/>
          <w:i/>
          <w:sz w:val="20"/>
          <w:szCs w:val="20"/>
        </w:rPr>
        <w:t>This option had strong support</w:t>
      </w:r>
      <w:r>
        <w:rPr>
          <w:rFonts w:ascii="Verdana" w:hAnsi="Verdana" w:cs="OpenSansRegular"/>
          <w:b/>
          <w:i/>
          <w:sz w:val="20"/>
          <w:szCs w:val="20"/>
        </w:rPr>
        <w:t xml:space="preserve"> – with industry participants indicating they could also share information on emerging trends (positive and negative) based on their interactions with consumers</w:t>
      </w:r>
      <w:r w:rsidRPr="004F2D4D">
        <w:rPr>
          <w:rFonts w:ascii="Verdana" w:hAnsi="Verdana" w:cs="OpenSansRegular"/>
          <w:b/>
          <w:i/>
          <w:sz w:val="20"/>
          <w:szCs w:val="20"/>
        </w:rPr>
        <w:t>.</w:t>
      </w:r>
    </w:p>
    <w:p w:rsidR="009A00F3" w:rsidRPr="009A00F3" w:rsidRDefault="009A00F3" w:rsidP="009A00F3">
      <w:pPr>
        <w:pStyle w:val="BSubheading-Bluedk"/>
        <w:rPr>
          <w:rFonts w:ascii="Verdana" w:hAnsi="Verdana" w:cs="OpenSansRegular"/>
          <w:color w:val="62B5E5"/>
          <w:sz w:val="22"/>
          <w:szCs w:val="22"/>
        </w:rPr>
      </w:pPr>
      <w:bookmarkStart w:id="34" w:name="_Toc521503536"/>
      <w:r w:rsidRPr="009A00F3">
        <w:rPr>
          <w:rFonts w:ascii="Verdana" w:hAnsi="Verdana" w:cs="OpenSansRegular"/>
          <w:color w:val="62B5E5"/>
          <w:sz w:val="22"/>
          <w:szCs w:val="22"/>
        </w:rPr>
        <w:lastRenderedPageBreak/>
        <w:t>Education campaigns targeted at:</w:t>
      </w:r>
      <w:bookmarkEnd w:id="34"/>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Critical care professionals – to </w:t>
      </w:r>
      <w:r w:rsidR="007C587D">
        <w:rPr>
          <w:rFonts w:ascii="Verdana" w:hAnsi="Verdana" w:cs="OpenSansRegular"/>
          <w:szCs w:val="20"/>
        </w:rPr>
        <w:t xml:space="preserve">support </w:t>
      </w:r>
      <w:r w:rsidRPr="009A00F3">
        <w:rPr>
          <w:rFonts w:ascii="Verdana" w:hAnsi="Verdana" w:cs="OpenSansRegular"/>
          <w:szCs w:val="20"/>
        </w:rPr>
        <w:t xml:space="preserve">health care professionals </w:t>
      </w:r>
      <w:r w:rsidR="007C587D">
        <w:rPr>
          <w:rFonts w:ascii="Verdana" w:hAnsi="Verdana" w:cs="OpenSansRegular"/>
          <w:szCs w:val="20"/>
        </w:rPr>
        <w:t xml:space="preserve">to maintain their knowledge and skills in identifying and managing a patient with a metabolic condition. </w:t>
      </w:r>
    </w:p>
    <w:p w:rsidR="007C587D" w:rsidRPr="00BC0D3D" w:rsidRDefault="007C587D" w:rsidP="007C587D">
      <w:pPr>
        <w:pStyle w:val="ListParagraph"/>
        <w:numPr>
          <w:ilvl w:val="0"/>
          <w:numId w:val="28"/>
        </w:numPr>
        <w:spacing w:before="120"/>
        <w:rPr>
          <w:rFonts w:ascii="Verdana" w:hAnsi="Verdana"/>
        </w:rPr>
      </w:pPr>
      <w:r w:rsidRPr="00BC0D3D">
        <w:rPr>
          <w:rFonts w:ascii="Verdana" w:hAnsi="Verdana"/>
        </w:rPr>
        <w:t>Health professionals – to encourage general health professionals to enquire whether sports supplements have been consumed when determining the cause of a reaction.</w:t>
      </w:r>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Consumers and agents who sell/recommend products – to educate all consumers</w:t>
      </w:r>
      <w:r w:rsidR="007C587D">
        <w:rPr>
          <w:rFonts w:ascii="Verdana" w:hAnsi="Verdana" w:cs="OpenSansRegular"/>
          <w:szCs w:val="20"/>
        </w:rPr>
        <w:t>, manufacturers an</w:t>
      </w:r>
      <w:r w:rsidR="00BC0D3D">
        <w:rPr>
          <w:rFonts w:ascii="Verdana" w:hAnsi="Verdana" w:cs="OpenSansRegular"/>
          <w:szCs w:val="20"/>
        </w:rPr>
        <w:t>d suppliers (online and retail)</w:t>
      </w:r>
      <w:r w:rsidRPr="009A00F3">
        <w:rPr>
          <w:rFonts w:ascii="Verdana" w:hAnsi="Verdana" w:cs="OpenSansRegular"/>
          <w:szCs w:val="20"/>
        </w:rPr>
        <w:t xml:space="preserve"> of the potential risks of consuming sports supplements. This includes targeting users and the specific industry. The need for carefully planned communication messages was recognised, as warning consumers not to take supplements is unlikely to be engaging, consumers that are seeking a competitive advantage may be more likely to take risks to achieve their desired outcome. </w:t>
      </w:r>
    </w:p>
    <w:p w:rsid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Gym owners and personal training educators - to educate personal trainers that they should be providing only basic health eating information, not specific advice on taking sports supplements. Advice should be sought from a qualified health professional prior to recommending sports supplements.</w:t>
      </w:r>
    </w:p>
    <w:p w:rsidR="004F2D4D" w:rsidRPr="004F2D4D" w:rsidRDefault="004F2D4D" w:rsidP="004F2D4D">
      <w:pPr>
        <w:spacing w:before="160"/>
        <w:ind w:left="360"/>
        <w:rPr>
          <w:rFonts w:ascii="Verdana" w:hAnsi="Verdana" w:cs="OpenSansRegular"/>
          <w:b/>
          <w:i/>
          <w:sz w:val="20"/>
          <w:szCs w:val="20"/>
        </w:rPr>
      </w:pPr>
      <w:r w:rsidRPr="004F2D4D">
        <w:rPr>
          <w:rFonts w:ascii="Verdana" w:hAnsi="Verdana" w:cs="OpenSansRegular"/>
          <w:b/>
          <w:i/>
          <w:sz w:val="20"/>
          <w:szCs w:val="20"/>
        </w:rPr>
        <w:t>This option had the strong support</w:t>
      </w:r>
      <w:r w:rsidR="002C6696">
        <w:rPr>
          <w:rFonts w:ascii="Verdana" w:hAnsi="Verdana" w:cs="OpenSansRegular"/>
          <w:b/>
          <w:i/>
          <w:sz w:val="20"/>
          <w:szCs w:val="20"/>
        </w:rPr>
        <w:t xml:space="preserve"> but noting the risk of alienating consumers if the message was poorly pitched</w:t>
      </w:r>
      <w:r w:rsidRPr="004F2D4D">
        <w:rPr>
          <w:rFonts w:ascii="Verdana" w:hAnsi="Verdana" w:cs="OpenSansRegular"/>
          <w:b/>
          <w:i/>
          <w:sz w:val="20"/>
          <w:szCs w:val="20"/>
        </w:rPr>
        <w:t>.</w:t>
      </w:r>
    </w:p>
    <w:p w:rsidR="009A00F3" w:rsidRPr="009A00F3" w:rsidRDefault="009A00F3" w:rsidP="009A00F3">
      <w:pPr>
        <w:pStyle w:val="BSubheading-Bluedk"/>
        <w:rPr>
          <w:rFonts w:ascii="Verdana" w:hAnsi="Verdana" w:cs="OpenSansRegular"/>
          <w:color w:val="62B5E5"/>
          <w:sz w:val="22"/>
          <w:szCs w:val="22"/>
        </w:rPr>
      </w:pPr>
      <w:bookmarkStart w:id="35" w:name="_Toc521503537"/>
      <w:r w:rsidRPr="009A00F3">
        <w:rPr>
          <w:rFonts w:ascii="Verdana" w:hAnsi="Verdana" w:cs="OpenSansRegular"/>
          <w:color w:val="62B5E5"/>
          <w:sz w:val="22"/>
          <w:szCs w:val="22"/>
        </w:rPr>
        <w:t>Risk tiers</w:t>
      </w:r>
      <w:bookmarkEnd w:id="35"/>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This would see products classed into specific groups aligned with an agreed risk level. For example, higher risk products</w:t>
      </w:r>
      <w:r w:rsidR="00BA235C">
        <w:rPr>
          <w:rFonts w:ascii="Verdana" w:hAnsi="Verdana" w:cs="OpenSansRegular"/>
          <w:szCs w:val="20"/>
        </w:rPr>
        <w:t xml:space="preserve"> (such as those with very high caffeine levels)</w:t>
      </w:r>
      <w:r w:rsidRPr="009A00F3">
        <w:rPr>
          <w:rFonts w:ascii="Verdana" w:hAnsi="Verdana" w:cs="OpenSansRegular"/>
          <w:szCs w:val="20"/>
        </w:rPr>
        <w:t xml:space="preserve"> may be placed behind the counter and require advice prior to purchase. </w:t>
      </w:r>
    </w:p>
    <w:p w:rsidR="009A00F3" w:rsidRP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 xml:space="preserve">Concerns were raised on this matter as to the equality between a retail </w:t>
      </w:r>
      <w:proofErr w:type="gramStart"/>
      <w:r w:rsidRPr="009A00F3">
        <w:rPr>
          <w:rFonts w:ascii="Verdana" w:hAnsi="Verdana" w:cs="OpenSansRegular"/>
          <w:szCs w:val="20"/>
        </w:rPr>
        <w:t>business</w:t>
      </w:r>
      <w:proofErr w:type="gramEnd"/>
      <w:r w:rsidRPr="009A00F3">
        <w:rPr>
          <w:rFonts w:ascii="Verdana" w:hAnsi="Verdana" w:cs="OpenSansRegular"/>
          <w:szCs w:val="20"/>
        </w:rPr>
        <w:t xml:space="preserve"> versus an internet business.</w:t>
      </w:r>
    </w:p>
    <w:p w:rsidR="009A00F3" w:rsidRDefault="009A00F3" w:rsidP="009A00F3">
      <w:pPr>
        <w:pStyle w:val="ListParagraph"/>
        <w:numPr>
          <w:ilvl w:val="0"/>
          <w:numId w:val="28"/>
        </w:numPr>
        <w:rPr>
          <w:rFonts w:ascii="Verdana" w:hAnsi="Verdana" w:cs="OpenSansRegular"/>
          <w:szCs w:val="20"/>
        </w:rPr>
      </w:pPr>
      <w:r w:rsidRPr="009A00F3">
        <w:rPr>
          <w:rFonts w:ascii="Verdana" w:hAnsi="Verdana" w:cs="OpenSansRegular"/>
          <w:szCs w:val="20"/>
        </w:rPr>
        <w:t>Further concerns were raised that if domestic products are placed behind a counter, consumers will purchase products online which may be less likely to be compliant.</w:t>
      </w:r>
    </w:p>
    <w:p w:rsidR="009A00F3" w:rsidRPr="00ED06BD" w:rsidRDefault="002C6696" w:rsidP="006F03F1">
      <w:pPr>
        <w:spacing w:before="160"/>
        <w:ind w:left="360"/>
        <w:rPr>
          <w:rFonts w:ascii="Verdana" w:hAnsi="Verdana" w:cs="OpenSansRegular"/>
          <w:sz w:val="20"/>
          <w:szCs w:val="20"/>
        </w:rPr>
      </w:pPr>
      <w:r>
        <w:rPr>
          <w:rFonts w:ascii="Verdana" w:hAnsi="Verdana" w:cs="OpenSansRegular"/>
          <w:b/>
          <w:i/>
          <w:sz w:val="20"/>
          <w:szCs w:val="20"/>
        </w:rPr>
        <w:t>This option had</w:t>
      </w:r>
      <w:r w:rsidR="004F2D4D" w:rsidRPr="004F2D4D">
        <w:rPr>
          <w:rFonts w:ascii="Verdana" w:hAnsi="Verdana" w:cs="OpenSansRegular"/>
          <w:b/>
          <w:i/>
          <w:sz w:val="20"/>
          <w:szCs w:val="20"/>
        </w:rPr>
        <w:t xml:space="preserve"> support</w:t>
      </w:r>
      <w:r>
        <w:rPr>
          <w:rFonts w:ascii="Verdana" w:hAnsi="Verdana" w:cs="OpenSansRegular"/>
          <w:b/>
          <w:i/>
          <w:sz w:val="20"/>
          <w:szCs w:val="20"/>
        </w:rPr>
        <w:t xml:space="preserve"> in-principle, noting that further policy work would be required to consider the effectiveness of such an option and means of implementing it without undue regulatory burden</w:t>
      </w:r>
      <w:r w:rsidR="006F03F1">
        <w:rPr>
          <w:rFonts w:ascii="Verdana" w:hAnsi="Verdana" w:cs="OpenSansRegular"/>
          <w:b/>
          <w:i/>
          <w:sz w:val="20"/>
          <w:szCs w:val="20"/>
        </w:rPr>
        <w:t>.</w:t>
      </w:r>
    </w:p>
    <w:bookmarkEnd w:id="22"/>
    <w:bookmarkEnd w:id="23"/>
    <w:bookmarkEnd w:id="24"/>
    <w:bookmarkEnd w:id="25"/>
    <w:p w:rsidR="009D6524" w:rsidRPr="00ED06BD" w:rsidRDefault="009D6524" w:rsidP="009D6524">
      <w:pPr>
        <w:rPr>
          <w:rFonts w:ascii="Verdana" w:hAnsi="Verdana" w:cs="OpenSansRegular"/>
          <w:sz w:val="20"/>
          <w:szCs w:val="20"/>
        </w:rPr>
      </w:pPr>
    </w:p>
    <w:p w:rsidR="00445A81" w:rsidRPr="00ED06BD" w:rsidRDefault="00445A81" w:rsidP="00F855ED">
      <w:pPr>
        <w:rPr>
          <w:rFonts w:ascii="Verdana" w:hAnsi="Verdana" w:cs="OpenSansRegular"/>
          <w:sz w:val="20"/>
          <w:szCs w:val="20"/>
        </w:rPr>
      </w:pPr>
    </w:p>
    <w:p w:rsidR="00445A81" w:rsidRPr="00ED06BD" w:rsidRDefault="00445A81" w:rsidP="00F855ED">
      <w:pPr>
        <w:rPr>
          <w:rFonts w:ascii="Verdana" w:hAnsi="Verdana" w:cs="OpenSansRegular"/>
          <w:sz w:val="20"/>
          <w:szCs w:val="20"/>
        </w:rPr>
        <w:sectPr w:rsidR="00445A81" w:rsidRPr="00ED06BD" w:rsidSect="009A00F3">
          <w:headerReference w:type="even" r:id="rId23"/>
          <w:headerReference w:type="default" r:id="rId24"/>
          <w:headerReference w:type="first" r:id="rId25"/>
          <w:pgSz w:w="11906" w:h="16838"/>
          <w:pgMar w:top="1440" w:right="1440" w:bottom="1440" w:left="1440" w:header="708" w:footer="708" w:gutter="0"/>
          <w:cols w:space="708"/>
          <w:docGrid w:linePitch="360"/>
        </w:sectPr>
      </w:pPr>
    </w:p>
    <w:p w:rsidR="008D6885" w:rsidRPr="00ED06BD" w:rsidRDefault="009A00F3" w:rsidP="004F2D4D">
      <w:pPr>
        <w:pStyle w:val="Heading1"/>
        <w:keepLines w:val="0"/>
        <w:spacing w:before="0" w:after="240" w:line="240" w:lineRule="auto"/>
        <w:rPr>
          <w:rFonts w:ascii="Verdana" w:eastAsia="Times New Roman" w:hAnsi="Verdana" w:cs="OpenSansRegular"/>
          <w:bCs/>
          <w:color w:val="000000" w:themeColor="text1"/>
          <w:kern w:val="32"/>
          <w:sz w:val="40"/>
          <w:szCs w:val="40"/>
        </w:rPr>
        <w:sectPr w:rsidR="008D6885" w:rsidRPr="00ED06BD" w:rsidSect="008013FD">
          <w:pgSz w:w="11906" w:h="16838"/>
          <w:pgMar w:top="1440" w:right="1440" w:bottom="1440" w:left="1440" w:header="708" w:footer="708" w:gutter="0"/>
          <w:cols w:space="708"/>
          <w:docGrid w:linePitch="360"/>
        </w:sectPr>
      </w:pPr>
      <w:bookmarkStart w:id="36" w:name="_Toc521503538"/>
      <w:bookmarkEnd w:id="26"/>
      <w:bookmarkEnd w:id="27"/>
      <w:bookmarkEnd w:id="28"/>
      <w:bookmarkEnd w:id="29"/>
      <w:bookmarkEnd w:id="30"/>
      <w:r>
        <w:rPr>
          <w:rFonts w:ascii="Verdana" w:eastAsia="Times New Roman" w:hAnsi="Verdana" w:cs="OpenSansRegular"/>
          <w:bCs/>
          <w:color w:val="000000" w:themeColor="text1"/>
          <w:kern w:val="32"/>
          <w:sz w:val="40"/>
          <w:szCs w:val="40"/>
        </w:rPr>
        <w:lastRenderedPageBreak/>
        <w:t>Next Steps</w:t>
      </w:r>
      <w:bookmarkEnd w:id="36"/>
    </w:p>
    <w:p w:rsidR="004F2D4D" w:rsidRDefault="002C6696" w:rsidP="004F2D4D">
      <w:pPr>
        <w:rPr>
          <w:rFonts w:ascii="Verdana" w:hAnsi="Verdana" w:cs="OpenSansRegular"/>
          <w:sz w:val="20"/>
          <w:szCs w:val="20"/>
        </w:rPr>
      </w:pPr>
      <w:bookmarkStart w:id="37" w:name="_Toc514417106"/>
      <w:bookmarkStart w:id="38" w:name="_Toc515008222"/>
      <w:bookmarkStart w:id="39" w:name="_Toc515893693"/>
      <w:bookmarkStart w:id="40" w:name="_Toc517430223"/>
      <w:bookmarkStart w:id="41" w:name="_Toc504556666"/>
      <w:bookmarkStart w:id="42" w:name="_Toc505003203"/>
      <w:bookmarkStart w:id="43" w:name="_Toc505011009"/>
      <w:bookmarkStart w:id="44" w:name="_Toc505011174"/>
      <w:bookmarkStart w:id="45" w:name="_Toc505181198"/>
      <w:r>
        <w:rPr>
          <w:rFonts w:ascii="Verdana" w:hAnsi="Verdana" w:cs="OpenSansRegular"/>
          <w:sz w:val="20"/>
          <w:szCs w:val="20"/>
        </w:rPr>
        <w:lastRenderedPageBreak/>
        <w:t xml:space="preserve">Based on the proceedings of the </w:t>
      </w:r>
      <w:r w:rsidR="0060536B">
        <w:rPr>
          <w:rFonts w:ascii="Verdana" w:hAnsi="Verdana" w:cs="OpenSansRegular"/>
          <w:sz w:val="20"/>
          <w:szCs w:val="20"/>
        </w:rPr>
        <w:t>roundtable</w:t>
      </w:r>
      <w:r>
        <w:rPr>
          <w:rFonts w:ascii="Verdana" w:hAnsi="Verdana" w:cs="OpenSansRegular"/>
          <w:sz w:val="20"/>
          <w:szCs w:val="20"/>
        </w:rPr>
        <w:t>, including the presentations and subsequent discussions and ideation, we recommend the Australian Department of Health:</w:t>
      </w:r>
    </w:p>
    <w:bookmarkEnd w:id="37"/>
    <w:bookmarkEnd w:id="38"/>
    <w:bookmarkEnd w:id="39"/>
    <w:bookmarkEnd w:id="40"/>
    <w:p w:rsidR="002C6696" w:rsidRDefault="00985111" w:rsidP="005D06D7">
      <w:pPr>
        <w:pStyle w:val="ListParagraph"/>
        <w:numPr>
          <w:ilvl w:val="0"/>
          <w:numId w:val="43"/>
        </w:numPr>
        <w:rPr>
          <w:rFonts w:ascii="Verdana" w:hAnsi="Verdana" w:cs="OpenSansRegular"/>
          <w:szCs w:val="20"/>
        </w:rPr>
      </w:pPr>
      <w:r>
        <w:rPr>
          <w:rFonts w:ascii="Verdana" w:hAnsi="Verdana" w:cs="OpenSansRegular"/>
          <w:szCs w:val="20"/>
        </w:rPr>
        <w:t>C</w:t>
      </w:r>
      <w:r w:rsidR="002C6696" w:rsidRPr="002C6696">
        <w:rPr>
          <w:rFonts w:ascii="Verdana" w:hAnsi="Verdana" w:cs="OpenSansRegular"/>
          <w:szCs w:val="20"/>
        </w:rPr>
        <w:t xml:space="preserve">onsider the options raised by the roundtable and </w:t>
      </w:r>
      <w:r w:rsidR="009A00F3" w:rsidRPr="002C6696">
        <w:rPr>
          <w:rFonts w:ascii="Verdana" w:hAnsi="Verdana" w:cs="OpenSansRegular"/>
          <w:szCs w:val="20"/>
        </w:rPr>
        <w:t>provide a</w:t>
      </w:r>
      <w:r w:rsidR="002C6696" w:rsidRPr="002C6696">
        <w:rPr>
          <w:rFonts w:ascii="Verdana" w:hAnsi="Verdana" w:cs="OpenSansRegular"/>
          <w:szCs w:val="20"/>
        </w:rPr>
        <w:t xml:space="preserve"> brief evaluation</w:t>
      </w:r>
      <w:r w:rsidR="009A00F3" w:rsidRPr="002C6696">
        <w:rPr>
          <w:rFonts w:ascii="Verdana" w:hAnsi="Verdana" w:cs="OpenSansRegular"/>
          <w:szCs w:val="20"/>
        </w:rPr>
        <w:t xml:space="preserve"> report to the FRSC and the Australia and New Zealand Ministerial Forum on Food Regulation</w:t>
      </w:r>
      <w:r w:rsidR="002C6696" w:rsidRPr="002C6696">
        <w:rPr>
          <w:rFonts w:ascii="Verdana" w:hAnsi="Verdana" w:cs="OpenSansRegular"/>
          <w:szCs w:val="20"/>
        </w:rPr>
        <w:t xml:space="preserve"> including a recommended</w:t>
      </w:r>
      <w:r w:rsidR="009A00F3" w:rsidRPr="002C6696">
        <w:rPr>
          <w:rFonts w:ascii="Verdana" w:hAnsi="Verdana" w:cs="OpenSansRegular"/>
          <w:szCs w:val="20"/>
        </w:rPr>
        <w:t xml:space="preserve"> Action Plan for </w:t>
      </w:r>
      <w:r w:rsidR="002C6696">
        <w:rPr>
          <w:rFonts w:ascii="Verdana" w:hAnsi="Verdana" w:cs="OpenSansRegular"/>
          <w:szCs w:val="20"/>
        </w:rPr>
        <w:t>consideration by t</w:t>
      </w:r>
      <w:r w:rsidR="002C6696" w:rsidRPr="002C6696">
        <w:rPr>
          <w:rFonts w:ascii="Verdana" w:hAnsi="Verdana" w:cs="OpenSansRegular"/>
          <w:szCs w:val="20"/>
        </w:rPr>
        <w:t xml:space="preserve">he </w:t>
      </w:r>
      <w:r w:rsidR="00903D59">
        <w:rPr>
          <w:rFonts w:ascii="Verdana" w:hAnsi="Verdana" w:cs="OpenSansRegular"/>
          <w:szCs w:val="20"/>
        </w:rPr>
        <w:t xml:space="preserve">Australian Government </w:t>
      </w:r>
      <w:r w:rsidR="002C6696" w:rsidRPr="002C6696">
        <w:rPr>
          <w:rFonts w:ascii="Verdana" w:hAnsi="Verdana" w:cs="OpenSansRegular"/>
          <w:szCs w:val="20"/>
        </w:rPr>
        <w:t>Minister for Health</w:t>
      </w:r>
      <w:r w:rsidR="002C6696">
        <w:rPr>
          <w:rFonts w:ascii="Verdana" w:hAnsi="Verdana" w:cs="OpenSansRegular"/>
          <w:szCs w:val="20"/>
        </w:rPr>
        <w:t>.</w:t>
      </w:r>
    </w:p>
    <w:p w:rsidR="00985111" w:rsidRDefault="00985111" w:rsidP="00985111">
      <w:pPr>
        <w:pStyle w:val="ListParagraph"/>
        <w:rPr>
          <w:rFonts w:ascii="Verdana" w:hAnsi="Verdana" w:cs="OpenSansRegular"/>
          <w:szCs w:val="20"/>
        </w:rPr>
      </w:pPr>
    </w:p>
    <w:p w:rsidR="002C6696" w:rsidRDefault="002C6696" w:rsidP="005D06D7">
      <w:pPr>
        <w:pStyle w:val="ListParagraph"/>
        <w:numPr>
          <w:ilvl w:val="0"/>
          <w:numId w:val="43"/>
        </w:numPr>
        <w:rPr>
          <w:rFonts w:ascii="Verdana" w:hAnsi="Verdana" w:cs="OpenSansRegular"/>
          <w:szCs w:val="20"/>
        </w:rPr>
      </w:pPr>
      <w:r>
        <w:rPr>
          <w:rFonts w:ascii="Verdana" w:hAnsi="Verdana" w:cs="OpenSansRegular"/>
          <w:szCs w:val="20"/>
        </w:rPr>
        <w:t>Develop a stakeholder engagement plan to ensure that industry, consumers, public health organisations and regulators have reasonable opportunity to continue contributing to the development of options to improve consumer safety</w:t>
      </w:r>
      <w:r w:rsidR="00985111">
        <w:rPr>
          <w:rFonts w:ascii="Verdana" w:hAnsi="Verdana" w:cs="OpenSansRegular"/>
          <w:szCs w:val="20"/>
        </w:rPr>
        <w:t>.</w:t>
      </w:r>
    </w:p>
    <w:p w:rsidR="00985111" w:rsidRDefault="00985111" w:rsidP="00985111">
      <w:pPr>
        <w:pStyle w:val="ListParagraph"/>
        <w:rPr>
          <w:rFonts w:ascii="Verdana" w:hAnsi="Verdana" w:cs="OpenSansRegular"/>
          <w:szCs w:val="20"/>
        </w:rPr>
      </w:pPr>
    </w:p>
    <w:p w:rsidR="008013FD" w:rsidRPr="002C6696" w:rsidRDefault="002C6696" w:rsidP="005C3EBA">
      <w:pPr>
        <w:pStyle w:val="ListParagraph"/>
        <w:numPr>
          <w:ilvl w:val="0"/>
          <w:numId w:val="43"/>
        </w:numPr>
        <w:rPr>
          <w:rFonts w:ascii="Verdana" w:hAnsi="Verdana" w:cs="OpenSansRegular"/>
          <w:szCs w:val="20"/>
        </w:rPr>
        <w:sectPr w:rsidR="008013FD" w:rsidRPr="002C6696" w:rsidSect="001F7223">
          <w:type w:val="continuous"/>
          <w:pgSz w:w="11906" w:h="16838"/>
          <w:pgMar w:top="1440" w:right="1440" w:bottom="1440" w:left="1440" w:header="708" w:footer="708" w:gutter="0"/>
          <w:cols w:space="708"/>
          <w:docGrid w:linePitch="360"/>
        </w:sectPr>
      </w:pPr>
      <w:r w:rsidRPr="002C6696">
        <w:rPr>
          <w:rFonts w:ascii="Verdana" w:hAnsi="Verdana" w:cs="OpenSansRegular"/>
          <w:szCs w:val="20"/>
        </w:rPr>
        <w:t xml:space="preserve">Consider convening a further roundtable/s </w:t>
      </w:r>
      <w:r>
        <w:rPr>
          <w:rFonts w:ascii="Verdana" w:hAnsi="Verdana" w:cs="OpenSansRegular"/>
          <w:szCs w:val="20"/>
        </w:rPr>
        <w:t>a</w:t>
      </w:r>
      <w:r w:rsidR="009A00F3" w:rsidRPr="002C6696">
        <w:rPr>
          <w:rFonts w:ascii="Verdana" w:hAnsi="Verdana" w:cs="OpenSansRegular"/>
          <w:szCs w:val="20"/>
        </w:rPr>
        <w:t>t a later date to discuss how to progress the potential actions.</w:t>
      </w:r>
      <w:bookmarkEnd w:id="41"/>
      <w:bookmarkEnd w:id="42"/>
      <w:bookmarkEnd w:id="43"/>
      <w:bookmarkEnd w:id="44"/>
      <w:bookmarkEnd w:id="45"/>
    </w:p>
    <w:p w:rsidR="004A54EC" w:rsidRDefault="004A54EC" w:rsidP="00335760">
      <w:pPr>
        <w:rPr>
          <w:rFonts w:ascii="Verdana" w:hAnsi="Verdana" w:cs="OpenSansRegular"/>
          <w:sz w:val="20"/>
          <w:szCs w:val="20"/>
        </w:rPr>
      </w:pPr>
      <w:bookmarkStart w:id="46" w:name="_Toc503543403"/>
    </w:p>
    <w:p w:rsidR="00080B10" w:rsidRDefault="00080B10" w:rsidP="00080B10">
      <w:pPr>
        <w:pStyle w:val="Heading1"/>
        <w:keepLines w:val="0"/>
        <w:spacing w:before="0" w:after="240" w:line="240" w:lineRule="auto"/>
        <w:rPr>
          <w:rFonts w:ascii="Verdana" w:eastAsia="Times New Roman" w:hAnsi="Verdana" w:cs="OpenSansRegular"/>
          <w:bCs/>
          <w:color w:val="000000" w:themeColor="text1"/>
          <w:kern w:val="32"/>
          <w:sz w:val="40"/>
          <w:szCs w:val="40"/>
        </w:rPr>
      </w:pPr>
    </w:p>
    <w:p w:rsidR="00080B10" w:rsidRPr="00080B10" w:rsidRDefault="006F03F1" w:rsidP="00080B10">
      <w:bookmarkStart w:id="47" w:name="LegalLogo"/>
      <w:r w:rsidRPr="00ED06BD">
        <w:rPr>
          <w:rFonts w:ascii="Verdana" w:hAnsi="Verdana" w:cs="OpenSansRegular"/>
          <w:noProof/>
          <w:lang w:eastAsia="en-AU"/>
        </w:rPr>
        <w:drawing>
          <wp:inline distT="0" distB="0" distL="0" distR="0" wp14:anchorId="51B2FF64" wp14:editId="5AFC7425">
            <wp:extent cx="2085975" cy="400050"/>
            <wp:effectExtent l="0" t="0" r="0" b="0"/>
            <wp:docPr id="1011462012" name="LegalLogo" descr="Deloitte logo. "/>
            <wp:cNvGraphicFramePr/>
            <a:graphic xmlns:a="http://schemas.openxmlformats.org/drawingml/2006/main">
              <a:graphicData uri="http://schemas.openxmlformats.org/drawingml/2006/picture">
                <pic:pic xmlns:pic="http://schemas.openxmlformats.org/drawingml/2006/picture">
                  <pic:nvPicPr>
                    <pic:cNvPr id="1011462012" name="LegalLogo"/>
                    <pic:cNvPicPr/>
                  </pic:nvPicPr>
                  <pic:blipFill rotWithShape="1">
                    <a:blip r:embed="rId26"/>
                    <a:srcRect t="1" b="54886"/>
                    <a:stretch/>
                  </pic:blipFill>
                  <pic:spPr bwMode="auto">
                    <a:xfrm>
                      <a:off x="0" y="0"/>
                      <a:ext cx="2086123" cy="400078"/>
                    </a:xfrm>
                    <a:prstGeom prst="rect">
                      <a:avLst/>
                    </a:prstGeom>
                    <a:ln>
                      <a:noFill/>
                    </a:ln>
                    <a:extLst>
                      <a:ext uri="{53640926-AAD7-44D8-BBD7-CCE9431645EC}">
                        <a14:shadowObscured xmlns:a14="http://schemas.microsoft.com/office/drawing/2010/main"/>
                      </a:ext>
                    </a:extLst>
                  </pic:spPr>
                </pic:pic>
              </a:graphicData>
            </a:graphic>
          </wp:inline>
        </w:drawing>
      </w:r>
      <w:bookmarkEnd w:id="47"/>
    </w:p>
    <w:p w:rsidR="004A54EC" w:rsidRPr="006F03F1" w:rsidRDefault="006F03F1" w:rsidP="006F03F1">
      <w:pPr>
        <w:pStyle w:val="Legaltext"/>
        <w:spacing w:after="120"/>
        <w:rPr>
          <w:rFonts w:ascii="Verdana" w:hAnsi="Verdana" w:cs="OpenSansRegular"/>
        </w:rPr>
      </w:pPr>
      <w:r w:rsidRPr="00ED06BD">
        <w:rPr>
          <w:rFonts w:ascii="Verdana" w:hAnsi="Verdana" w:cs="OpenSansRegular"/>
          <w:bCs/>
          <w:szCs w:val="22"/>
        </w:rPr>
        <w:t>This report is prepared solely for the internal use of the Department of Health. This report is not intended to and should not be used or relied upon by anyone else and we accept no duty of care to any other person or entity. The report has been prepared for the purpose set out in our work order dated 30 April 2018. This report was prepared solely as an external review and does not provide any assurance.  You should not refer to or use our name or the advice for any other purpose.</w:t>
      </w:r>
    </w:p>
    <w:bookmarkEnd w:id="46"/>
    <w:p w:rsidR="006F03F1" w:rsidRDefault="006F03F1" w:rsidP="006F03F1">
      <w:pPr>
        <w:pStyle w:val="Bodycopy"/>
        <w:spacing w:after="120"/>
        <w:rPr>
          <w:rFonts w:ascii="Verdana" w:eastAsiaTheme="minorHAnsi" w:hAnsi="Verdana" w:cs="OpenSansRegular"/>
          <w:bCs/>
          <w:sz w:val="14"/>
          <w:szCs w:val="22"/>
        </w:rPr>
      </w:pPr>
      <w:r w:rsidRPr="006F03F1">
        <w:rPr>
          <w:rFonts w:ascii="Verdana" w:eastAsiaTheme="minorHAnsi" w:hAnsi="Verdana" w:cs="OpenSansRegular"/>
          <w:bCs/>
          <w:sz w:val="14"/>
          <w:szCs w:val="22"/>
        </w:rPr>
        <w:t xml:space="preserve">Deloitte refers to one or more of Deloitte </w:t>
      </w:r>
      <w:proofErr w:type="spellStart"/>
      <w:r w:rsidRPr="006F03F1">
        <w:rPr>
          <w:rFonts w:ascii="Verdana" w:eastAsiaTheme="minorHAnsi" w:hAnsi="Verdana" w:cs="OpenSansRegular"/>
          <w:bCs/>
          <w:sz w:val="14"/>
          <w:szCs w:val="22"/>
        </w:rPr>
        <w:t>Touche</w:t>
      </w:r>
      <w:proofErr w:type="spellEnd"/>
      <w:r w:rsidRPr="006F03F1">
        <w:rPr>
          <w:rFonts w:ascii="Verdana" w:eastAsiaTheme="minorHAnsi" w:hAnsi="Verdana" w:cs="OpenSansRegular"/>
          <w:bCs/>
          <w:sz w:val="14"/>
          <w:szCs w:val="22"/>
        </w:rPr>
        <w:t xml:space="preserve"> Tohmatsu Limited, a UK private company limited by guarantee, and its network of member firms, each of which is a legally separate and independent entity. Please see </w:t>
      </w:r>
      <w:proofErr w:type="spellStart"/>
      <w:r w:rsidRPr="006F03F1">
        <w:rPr>
          <w:rFonts w:ascii="Verdana" w:eastAsiaTheme="minorHAnsi" w:hAnsi="Verdana" w:cs="OpenSansRegular"/>
          <w:bCs/>
          <w:sz w:val="14"/>
          <w:szCs w:val="22"/>
        </w:rPr>
        <w:t>www.deloitte.com</w:t>
      </w:r>
      <w:proofErr w:type="spellEnd"/>
      <w:r w:rsidRPr="006F03F1">
        <w:rPr>
          <w:rFonts w:ascii="Verdana" w:eastAsiaTheme="minorHAnsi" w:hAnsi="Verdana" w:cs="OpenSansRegular"/>
          <w:bCs/>
          <w:sz w:val="14"/>
          <w:szCs w:val="22"/>
        </w:rPr>
        <w:t xml:space="preserve">/au/about for a detailed description of the legal structure of Deloitte </w:t>
      </w:r>
      <w:proofErr w:type="spellStart"/>
      <w:r w:rsidRPr="006F03F1">
        <w:rPr>
          <w:rFonts w:ascii="Verdana" w:eastAsiaTheme="minorHAnsi" w:hAnsi="Verdana" w:cs="OpenSansRegular"/>
          <w:bCs/>
          <w:sz w:val="14"/>
          <w:szCs w:val="22"/>
        </w:rPr>
        <w:t>Touche</w:t>
      </w:r>
      <w:proofErr w:type="spellEnd"/>
      <w:r w:rsidRPr="006F03F1">
        <w:rPr>
          <w:rFonts w:ascii="Verdana" w:eastAsiaTheme="minorHAnsi" w:hAnsi="Verdana" w:cs="OpenSansRegular"/>
          <w:bCs/>
          <w:sz w:val="14"/>
          <w:szCs w:val="22"/>
        </w:rPr>
        <w:t xml:space="preserve"> Tohmatsu L</w:t>
      </w:r>
      <w:r>
        <w:rPr>
          <w:rFonts w:ascii="Verdana" w:eastAsiaTheme="minorHAnsi" w:hAnsi="Verdana" w:cs="OpenSansRegular"/>
          <w:bCs/>
          <w:sz w:val="14"/>
          <w:szCs w:val="22"/>
        </w:rPr>
        <w:t>imited and its member firms.</w:t>
      </w:r>
    </w:p>
    <w:p w:rsidR="006F03F1" w:rsidRDefault="006F03F1" w:rsidP="006F03F1">
      <w:pPr>
        <w:pStyle w:val="Bodycopy"/>
        <w:spacing w:after="120"/>
        <w:rPr>
          <w:rFonts w:ascii="Verdana" w:eastAsiaTheme="minorHAnsi" w:hAnsi="Verdana" w:cs="OpenSansRegular"/>
          <w:bCs/>
          <w:sz w:val="14"/>
          <w:szCs w:val="22"/>
        </w:rPr>
      </w:pPr>
      <w:r w:rsidRPr="006F03F1">
        <w:rPr>
          <w:rFonts w:ascii="Verdana" w:eastAsiaTheme="minorHAnsi" w:hAnsi="Verdana" w:cs="OpenSansRegular"/>
          <w:bCs/>
          <w:sz w:val="14"/>
          <w:szCs w:val="22"/>
        </w:rPr>
        <w:t xml:space="preserve">The entity named herein is a legally separate and independent entity. In providing this document, the author only acts in the named capacity and does not act in any other capacity.  Nothing in this document, </w:t>
      </w:r>
      <w:proofErr w:type="gramStart"/>
      <w:r w:rsidRPr="006F03F1">
        <w:rPr>
          <w:rFonts w:ascii="Verdana" w:eastAsiaTheme="minorHAnsi" w:hAnsi="Verdana" w:cs="OpenSansRegular"/>
          <w:bCs/>
          <w:sz w:val="14"/>
          <w:szCs w:val="22"/>
        </w:rPr>
        <w:t>nor</w:t>
      </w:r>
      <w:proofErr w:type="gramEnd"/>
      <w:r w:rsidRPr="006F03F1">
        <w:rPr>
          <w:rFonts w:ascii="Verdana" w:eastAsiaTheme="minorHAnsi" w:hAnsi="Verdana" w:cs="OpenSansRegular"/>
          <w:bCs/>
          <w:sz w:val="14"/>
          <w:szCs w:val="22"/>
        </w:rPr>
        <w:t xml:space="preserve"> any related attachments or communications or services, have any capacity to bind any other entity under the ‘Deloitte’ network of member firms (including</w:t>
      </w:r>
      <w:r>
        <w:rPr>
          <w:rFonts w:ascii="Verdana" w:eastAsiaTheme="minorHAnsi" w:hAnsi="Verdana" w:cs="OpenSansRegular"/>
          <w:bCs/>
          <w:sz w:val="14"/>
          <w:szCs w:val="22"/>
        </w:rPr>
        <w:t xml:space="preserve"> those operating in Australia).</w:t>
      </w:r>
    </w:p>
    <w:p w:rsidR="006F03F1" w:rsidRDefault="006F03F1" w:rsidP="006F03F1">
      <w:pPr>
        <w:pStyle w:val="Bodycopy"/>
        <w:spacing w:after="120"/>
        <w:rPr>
          <w:rFonts w:ascii="Verdana" w:eastAsiaTheme="minorHAnsi" w:hAnsi="Verdana" w:cs="OpenSansRegular"/>
          <w:bCs/>
          <w:sz w:val="14"/>
          <w:szCs w:val="22"/>
        </w:rPr>
      </w:pPr>
      <w:r>
        <w:rPr>
          <w:rFonts w:ascii="Verdana" w:eastAsiaTheme="minorHAnsi" w:hAnsi="Verdana" w:cs="OpenSansRegular"/>
          <w:bCs/>
          <w:sz w:val="14"/>
          <w:szCs w:val="22"/>
        </w:rPr>
        <w:t>About Deloitte</w:t>
      </w:r>
    </w:p>
    <w:p w:rsidR="006F03F1" w:rsidRDefault="006F03F1" w:rsidP="006F03F1">
      <w:pPr>
        <w:pStyle w:val="Bodycopy"/>
        <w:spacing w:after="120"/>
        <w:rPr>
          <w:rFonts w:ascii="Verdana" w:eastAsiaTheme="minorHAnsi" w:hAnsi="Verdana" w:cs="OpenSansRegular"/>
          <w:bCs/>
          <w:sz w:val="14"/>
          <w:szCs w:val="22"/>
        </w:rPr>
      </w:pPr>
      <w:r w:rsidRPr="006F03F1">
        <w:rPr>
          <w:rFonts w:ascii="Verdana" w:eastAsiaTheme="minorHAnsi" w:hAnsi="Verdana" w:cs="OpenSansRegular"/>
          <w:bCs/>
          <w:sz w:val="14"/>
          <w:szCs w:val="22"/>
        </w:rPr>
        <w:t>Deloitte provides audit, tax, consulting, and financial advisory services to public and private clients spanning multiple industries. With a globally connected network of member firms in more than 150 countries, Deloitte brings world-class capabilities and high-quality service to clients, delivering the insights they need to address their most complex business challenges. Deloitte's approximately 200,000 professionals are committed to becom</w:t>
      </w:r>
      <w:r>
        <w:rPr>
          <w:rFonts w:ascii="Verdana" w:eastAsiaTheme="minorHAnsi" w:hAnsi="Verdana" w:cs="OpenSansRegular"/>
          <w:bCs/>
          <w:sz w:val="14"/>
          <w:szCs w:val="22"/>
        </w:rPr>
        <w:t>ing the standard of excellence.</w:t>
      </w:r>
    </w:p>
    <w:p w:rsidR="006F03F1" w:rsidRDefault="006F03F1" w:rsidP="006F03F1">
      <w:pPr>
        <w:pStyle w:val="Bodycopy"/>
        <w:spacing w:after="120"/>
        <w:rPr>
          <w:rFonts w:ascii="Verdana" w:eastAsiaTheme="minorHAnsi" w:hAnsi="Verdana" w:cs="OpenSansRegular"/>
          <w:bCs/>
          <w:sz w:val="14"/>
          <w:szCs w:val="22"/>
        </w:rPr>
      </w:pPr>
      <w:r>
        <w:rPr>
          <w:rFonts w:ascii="Verdana" w:eastAsiaTheme="minorHAnsi" w:hAnsi="Verdana" w:cs="OpenSansRegular"/>
          <w:bCs/>
          <w:sz w:val="14"/>
          <w:szCs w:val="22"/>
        </w:rPr>
        <w:t>About Deloitte Australia</w:t>
      </w:r>
    </w:p>
    <w:p w:rsidR="006F03F1" w:rsidRDefault="006F03F1" w:rsidP="006F03F1">
      <w:pPr>
        <w:pStyle w:val="Bodycopy"/>
        <w:spacing w:after="120"/>
        <w:rPr>
          <w:rFonts w:ascii="Verdana" w:eastAsiaTheme="minorHAnsi" w:hAnsi="Verdana" w:cs="OpenSansRegular"/>
          <w:bCs/>
          <w:sz w:val="14"/>
          <w:szCs w:val="22"/>
        </w:rPr>
      </w:pPr>
      <w:r w:rsidRPr="006F03F1">
        <w:rPr>
          <w:rFonts w:ascii="Verdana" w:eastAsiaTheme="minorHAnsi" w:hAnsi="Verdana" w:cs="OpenSansRegular"/>
          <w:bCs/>
          <w:sz w:val="14"/>
          <w:szCs w:val="22"/>
        </w:rPr>
        <w:t xml:space="preserve">In Australia, the member firm is the Australian partnership of Deloitte </w:t>
      </w:r>
      <w:proofErr w:type="spellStart"/>
      <w:r w:rsidRPr="006F03F1">
        <w:rPr>
          <w:rFonts w:ascii="Verdana" w:eastAsiaTheme="minorHAnsi" w:hAnsi="Verdana" w:cs="OpenSansRegular"/>
          <w:bCs/>
          <w:sz w:val="14"/>
          <w:szCs w:val="22"/>
        </w:rPr>
        <w:t>Touche</w:t>
      </w:r>
      <w:proofErr w:type="spellEnd"/>
      <w:r w:rsidRPr="006F03F1">
        <w:rPr>
          <w:rFonts w:ascii="Verdana" w:eastAsiaTheme="minorHAnsi" w:hAnsi="Verdana" w:cs="OpenSansRegular"/>
          <w:bCs/>
          <w:sz w:val="14"/>
          <w:szCs w:val="22"/>
        </w:rPr>
        <w:t xml:space="preserve"> Tohmatsu. As one of Australia’s leading professional services firms. Deloitte </w:t>
      </w:r>
      <w:proofErr w:type="spellStart"/>
      <w:r w:rsidRPr="006F03F1">
        <w:rPr>
          <w:rFonts w:ascii="Verdana" w:eastAsiaTheme="minorHAnsi" w:hAnsi="Verdana" w:cs="OpenSansRegular"/>
          <w:bCs/>
          <w:sz w:val="14"/>
          <w:szCs w:val="22"/>
        </w:rPr>
        <w:t>Touche</w:t>
      </w:r>
      <w:proofErr w:type="spellEnd"/>
      <w:r w:rsidRPr="006F03F1">
        <w:rPr>
          <w:rFonts w:ascii="Verdana" w:eastAsiaTheme="minorHAnsi" w:hAnsi="Verdana" w:cs="OpenSansRegular"/>
          <w:bCs/>
          <w:sz w:val="14"/>
          <w:szCs w:val="22"/>
        </w:rPr>
        <w:t xml:space="preserve"> Tohmatsu and its affiliates provide audit, tax, consulting, and financial advisory services through approximately 6000 people across the country. Focused on the creation of value and growth, and known as an employer of choice for innovative human resources programs, we are dedicated to helping our clients and our people excel. For more information, please visit our we</w:t>
      </w:r>
      <w:r>
        <w:rPr>
          <w:rFonts w:ascii="Verdana" w:eastAsiaTheme="minorHAnsi" w:hAnsi="Verdana" w:cs="OpenSansRegular"/>
          <w:bCs/>
          <w:sz w:val="14"/>
          <w:szCs w:val="22"/>
        </w:rPr>
        <w:t xml:space="preserve">b site at </w:t>
      </w:r>
      <w:hyperlink r:id="rId27" w:history="1">
        <w:proofErr w:type="spellStart"/>
        <w:r w:rsidRPr="008D37C7">
          <w:rPr>
            <w:rStyle w:val="Hyperlink"/>
            <w:rFonts w:ascii="Verdana" w:eastAsiaTheme="minorHAnsi" w:hAnsi="Verdana" w:cs="OpenSansRegular"/>
            <w:bCs/>
            <w:sz w:val="14"/>
            <w:szCs w:val="22"/>
          </w:rPr>
          <w:t>www.deloitte.com.au</w:t>
        </w:r>
        <w:proofErr w:type="spellEnd"/>
      </w:hyperlink>
      <w:r>
        <w:rPr>
          <w:rFonts w:ascii="Verdana" w:eastAsiaTheme="minorHAnsi" w:hAnsi="Verdana" w:cs="OpenSansRegular"/>
          <w:bCs/>
          <w:sz w:val="14"/>
          <w:szCs w:val="22"/>
        </w:rPr>
        <w:t>.</w:t>
      </w:r>
    </w:p>
    <w:p w:rsidR="00B16FBC" w:rsidRPr="006F03F1" w:rsidRDefault="006F03F1" w:rsidP="006F03F1">
      <w:pPr>
        <w:pStyle w:val="Bodycopy"/>
        <w:spacing w:after="120"/>
        <w:rPr>
          <w:rFonts w:ascii="Verdana" w:eastAsiaTheme="minorHAnsi" w:hAnsi="Verdana" w:cs="OpenSansRegular"/>
          <w:bCs/>
          <w:sz w:val="14"/>
          <w:szCs w:val="22"/>
        </w:rPr>
      </w:pPr>
      <w:r w:rsidRPr="006F03F1">
        <w:rPr>
          <w:rFonts w:ascii="Verdana" w:eastAsiaTheme="minorHAnsi" w:hAnsi="Verdana" w:cs="OpenSansRegular"/>
          <w:bCs/>
          <w:sz w:val="14"/>
          <w:szCs w:val="22"/>
        </w:rPr>
        <w:t xml:space="preserve">Member of Deloitte </w:t>
      </w:r>
      <w:proofErr w:type="spellStart"/>
      <w:r w:rsidRPr="006F03F1">
        <w:rPr>
          <w:rFonts w:ascii="Verdana" w:eastAsiaTheme="minorHAnsi" w:hAnsi="Verdana" w:cs="OpenSansRegular"/>
          <w:bCs/>
          <w:sz w:val="14"/>
          <w:szCs w:val="22"/>
        </w:rPr>
        <w:t>Touche</w:t>
      </w:r>
      <w:proofErr w:type="spellEnd"/>
      <w:r w:rsidRPr="006F03F1">
        <w:rPr>
          <w:rFonts w:ascii="Verdana" w:eastAsiaTheme="minorHAnsi" w:hAnsi="Verdana" w:cs="OpenSansRegular"/>
          <w:bCs/>
          <w:sz w:val="14"/>
          <w:szCs w:val="22"/>
        </w:rPr>
        <w:t xml:space="preserve"> Tohmatsu Limited</w:t>
      </w:r>
    </w:p>
    <w:sectPr w:rsidR="00B16FBC" w:rsidRPr="006F03F1" w:rsidSect="00335760">
      <w:pgSz w:w="11907" w:h="16840" w:code="9"/>
      <w:pgMar w:top="1440" w:right="1440" w:bottom="1440" w:left="1440"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A89" w:rsidRDefault="00AF4A89">
      <w:pPr>
        <w:spacing w:after="0" w:line="240" w:lineRule="auto"/>
      </w:pPr>
      <w:r>
        <w:separator/>
      </w:r>
    </w:p>
  </w:endnote>
  <w:endnote w:type="continuationSeparator" w:id="0">
    <w:p w:rsidR="00AF4A89" w:rsidRDefault="00AF4A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OpenSansRegular">
    <w:altName w:val="Tahoma"/>
    <w:charset w:val="00"/>
    <w:family w:val="swiss"/>
    <w:pitch w:val="variable"/>
    <w:sig w:usb0="00000001" w:usb1="4000205B" w:usb2="00000028"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10022FF" w:usb1="C000E47F" w:usb2="00000029" w:usb3="00000000" w:csb0="000001DF" w:csb1="00000000"/>
  </w:font>
  <w:font w:name="Segoe UI Light">
    <w:panose1 w:val="020B0502040204020203"/>
    <w:charset w:val="00"/>
    <w:family w:val="swiss"/>
    <w:pitch w:val="variable"/>
    <w:sig w:usb0="E00002FF" w:usb1="4000A47B"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OpenSansRegular" w:hAnsi="OpenSansRegular" w:cs="OpenSansRegular"/>
        <w:sz w:val="16"/>
        <w:szCs w:val="16"/>
      </w:rPr>
      <w:id w:val="432406941"/>
      <w:docPartObj>
        <w:docPartGallery w:val="Page Numbers (Bottom of Page)"/>
        <w:docPartUnique/>
      </w:docPartObj>
    </w:sdtPr>
    <w:sdtEndPr>
      <w:rPr>
        <w:noProof/>
      </w:rPr>
    </w:sdtEndPr>
    <w:sdtContent>
      <w:p w:rsidR="00AF4A89" w:rsidRPr="0012464B" w:rsidRDefault="00AF4A89" w:rsidP="0012464B">
        <w:pPr>
          <w:pStyle w:val="Footer"/>
          <w:rPr>
            <w:rFonts w:ascii="OpenSansRegular" w:hAnsi="OpenSansRegular" w:cs="OpenSansRegular"/>
            <w:sz w:val="16"/>
            <w:szCs w:val="16"/>
          </w:rPr>
        </w:pPr>
        <w:r w:rsidRPr="0012464B">
          <w:rPr>
            <w:rFonts w:ascii="Verdana" w:hAnsi="Verdana" w:cs="OpenSansRegular"/>
            <w:sz w:val="16"/>
            <w:szCs w:val="16"/>
          </w:rPr>
          <w:t>Liability limited by a scheme approved under Professional Stand</w:t>
        </w:r>
        <w:r>
          <w:rPr>
            <w:rFonts w:ascii="Verdana" w:hAnsi="Verdana" w:cs="OpenSansRegular"/>
            <w:sz w:val="16"/>
            <w:szCs w:val="16"/>
          </w:rPr>
          <w:t>ards Legislation.</w:t>
        </w:r>
        <w:r w:rsidRPr="0012464B">
          <w:rPr>
            <w:rFonts w:ascii="Verdana" w:hAnsi="Verdana" w:cs="OpenSansRegular"/>
            <w:sz w:val="16"/>
            <w:szCs w:val="16"/>
          </w:rPr>
          <w:br/>
          <w:t xml:space="preserve">© 2018 Deloitte </w:t>
        </w:r>
        <w:proofErr w:type="spellStart"/>
        <w:r w:rsidRPr="0012464B">
          <w:rPr>
            <w:rFonts w:ascii="Verdana" w:hAnsi="Verdana" w:cs="OpenSansRegular"/>
            <w:sz w:val="16"/>
            <w:szCs w:val="16"/>
          </w:rPr>
          <w:t>Touche</w:t>
        </w:r>
        <w:proofErr w:type="spellEnd"/>
        <w:r w:rsidRPr="0012464B">
          <w:rPr>
            <w:rFonts w:ascii="Verdana" w:hAnsi="Verdana" w:cs="OpenSansRegular"/>
            <w:sz w:val="16"/>
            <w:szCs w:val="16"/>
          </w:rPr>
          <w:t xml:space="preserve"> Tohmatsu</w:t>
        </w:r>
        <w:r w:rsidRPr="0012464B">
          <w:rPr>
            <w:rFonts w:ascii="OpenSansRegular" w:hAnsi="OpenSansRegular" w:cs="OpenSansRegular"/>
            <w:sz w:val="16"/>
            <w:szCs w:val="16"/>
          </w:rPr>
          <w:t xml:space="preserve"> </w:t>
        </w:r>
        <w:r>
          <w:rPr>
            <w:rFonts w:ascii="OpenSansRegular" w:hAnsi="OpenSansRegular" w:cs="OpenSansRegular"/>
            <w:sz w:val="16"/>
            <w:szCs w:val="16"/>
          </w:rPr>
          <w:tab/>
        </w:r>
        <w:r>
          <w:rPr>
            <w:rFonts w:ascii="OpenSansRegular" w:hAnsi="OpenSansRegular" w:cs="OpenSansRegular"/>
            <w:sz w:val="16"/>
            <w:szCs w:val="16"/>
          </w:rPr>
          <w:tab/>
        </w:r>
        <w:r w:rsidRPr="0012464B">
          <w:rPr>
            <w:rFonts w:ascii="OpenSansRegular" w:hAnsi="OpenSansRegular" w:cs="OpenSansRegular"/>
            <w:sz w:val="16"/>
            <w:szCs w:val="16"/>
          </w:rPr>
          <w:fldChar w:fldCharType="begin"/>
        </w:r>
        <w:r w:rsidRPr="0012464B">
          <w:rPr>
            <w:rFonts w:ascii="OpenSansRegular" w:hAnsi="OpenSansRegular" w:cs="OpenSansRegular"/>
            <w:sz w:val="16"/>
            <w:szCs w:val="16"/>
          </w:rPr>
          <w:instrText xml:space="preserve"> PAGE   \* MERGEFORMAT </w:instrText>
        </w:r>
        <w:r w:rsidRPr="0012464B">
          <w:rPr>
            <w:rFonts w:ascii="OpenSansRegular" w:hAnsi="OpenSansRegular" w:cs="OpenSansRegular"/>
            <w:sz w:val="16"/>
            <w:szCs w:val="16"/>
          </w:rPr>
          <w:fldChar w:fldCharType="separate"/>
        </w:r>
        <w:r w:rsidR="006F03F1">
          <w:rPr>
            <w:rFonts w:ascii="OpenSansRegular" w:hAnsi="OpenSansRegular" w:cs="OpenSansRegular"/>
            <w:noProof/>
            <w:sz w:val="16"/>
            <w:szCs w:val="16"/>
          </w:rPr>
          <w:t>2</w:t>
        </w:r>
        <w:r w:rsidRPr="0012464B">
          <w:rPr>
            <w:rFonts w:ascii="OpenSansRegular" w:hAnsi="OpenSansRegular" w:cs="OpenSansRegular"/>
            <w:noProof/>
            <w:sz w:val="16"/>
            <w:szCs w:val="16"/>
          </w:rPr>
          <w:fldChar w:fldCharType="end"/>
        </w:r>
      </w:p>
    </w:sdtContent>
  </w:sdt>
  <w:p w:rsidR="00AF4A89" w:rsidRDefault="00AF4A8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A89" w:rsidRDefault="00AF4A89">
      <w:pPr>
        <w:spacing w:after="0" w:line="240" w:lineRule="auto"/>
      </w:pPr>
      <w:r>
        <w:separator/>
      </w:r>
    </w:p>
  </w:footnote>
  <w:footnote w:type="continuationSeparator" w:id="0">
    <w:p w:rsidR="00AF4A89" w:rsidRDefault="00AF4A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Pr="00E55828" w:rsidRDefault="00AF4A89" w:rsidP="00873D53">
    <w:pPr>
      <w:pStyle w:val="Header"/>
      <w:jc w:val="right"/>
      <w:rPr>
        <w:sz w:val="18"/>
        <w:szCs w:val="18"/>
      </w:rPr>
    </w:pPr>
    <w:r>
      <w:rPr>
        <w:sz w:val="18"/>
        <w:szCs w:val="18"/>
      </w:rPr>
      <w:fldChar w:fldCharType="begin"/>
    </w:r>
    <w:r>
      <w:rPr>
        <w:sz w:val="18"/>
        <w:szCs w:val="18"/>
      </w:rPr>
      <w:instrText xml:space="preserve"> STYLEREF  "Heading 1"  \* MERGEFORMAT </w:instrText>
    </w:r>
    <w:r>
      <w:rPr>
        <w:sz w:val="18"/>
        <w:szCs w:val="18"/>
      </w:rPr>
      <w:fldChar w:fldCharType="end"/>
    </w:r>
  </w:p>
  <w:p w:rsidR="00AF4A89" w:rsidRDefault="00AF4A89">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Pr="00ED06BD" w:rsidRDefault="00AF4A89" w:rsidP="00873D53">
    <w:pPr>
      <w:pStyle w:val="Header"/>
      <w:jc w:val="right"/>
      <w:rPr>
        <w:rFonts w:ascii="Verdana" w:hAnsi="Verdana"/>
        <w:sz w:val="18"/>
        <w:szCs w:val="18"/>
      </w:rPr>
    </w:pPr>
    <w:r w:rsidRPr="00ED06BD">
      <w:rPr>
        <w:rFonts w:ascii="Verdana" w:hAnsi="Verdana"/>
        <w:sz w:val="18"/>
        <w:szCs w:val="18"/>
      </w:rPr>
      <w:fldChar w:fldCharType="begin"/>
    </w:r>
    <w:r w:rsidRPr="00ED06BD">
      <w:rPr>
        <w:rFonts w:ascii="Verdana" w:hAnsi="Verdana"/>
        <w:sz w:val="18"/>
        <w:szCs w:val="18"/>
      </w:rPr>
      <w:instrText xml:space="preserve"> STYLEREF  "Heading 1"  \* MERGEFORMAT </w:instrText>
    </w:r>
    <w:r w:rsidRPr="00ED06BD">
      <w:rPr>
        <w:rFonts w:ascii="Verdana" w:hAnsi="Verdana"/>
        <w:sz w:val="18"/>
        <w:szCs w:val="18"/>
      </w:rPr>
      <w:fldChar w:fldCharType="separate"/>
    </w:r>
    <w:r w:rsidR="006F03F1">
      <w:rPr>
        <w:rFonts w:ascii="Verdana" w:hAnsi="Verdana"/>
        <w:noProof/>
        <w:sz w:val="18"/>
        <w:szCs w:val="18"/>
      </w:rPr>
      <w:t>Background</w:t>
    </w:r>
    <w:r w:rsidRPr="00ED06BD">
      <w:rPr>
        <w:rFonts w:ascii="Verdana" w:hAnsi="Verdana"/>
        <w:sz w:val="18"/>
        <w:szCs w:val="18"/>
      </w:rPr>
      <w:fldChar w:fldCharType="end"/>
    </w:r>
  </w:p>
  <w:p w:rsidR="00AF4A89" w:rsidRDefault="00AF4A89">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AF4A8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6F03F1">
    <w:pPr>
      <w:pStyle w:val="Header"/>
    </w:pPr>
    <w:r>
      <w:rPr>
        <w:noProof/>
      </w:rPr>
      <w:pict w14:anchorId="544D2B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7" type="#_x0000_t136" style="position:absolute;margin-left:0;margin-top:0;width:397.65pt;height:238.6pt;rotation:315;z-index:-2516316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Pr="00E55828" w:rsidRDefault="00AF4A89" w:rsidP="00873D53">
    <w:pPr>
      <w:pStyle w:val="Header"/>
      <w:jc w:val="right"/>
      <w:rPr>
        <w:sz w:val="18"/>
        <w:szCs w:val="18"/>
      </w:rPr>
    </w:pPr>
    <w:r>
      <w:rPr>
        <w:sz w:val="18"/>
        <w:szCs w:val="18"/>
      </w:rPr>
      <w:fldChar w:fldCharType="begin"/>
    </w:r>
    <w:r>
      <w:rPr>
        <w:sz w:val="18"/>
        <w:szCs w:val="18"/>
      </w:rPr>
      <w:instrText xml:space="preserve"> STYLEREF  "Heading 1"  \* MERGEFORMAT </w:instrText>
    </w:r>
    <w:r>
      <w:rPr>
        <w:sz w:val="18"/>
        <w:szCs w:val="18"/>
      </w:rPr>
      <w:fldChar w:fldCharType="separate"/>
    </w:r>
    <w:r w:rsidR="006F03F1">
      <w:rPr>
        <w:noProof/>
        <w:sz w:val="18"/>
        <w:szCs w:val="18"/>
      </w:rPr>
      <w:t>Presentations</w:t>
    </w:r>
    <w:r>
      <w:rPr>
        <w:sz w:val="18"/>
        <w:szCs w:val="18"/>
      </w:rPr>
      <w:fldChar w:fldCharType="end"/>
    </w:r>
  </w:p>
  <w:p w:rsidR="00AF4A89" w:rsidRDefault="00AF4A8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4A89" w:rsidRDefault="006F03F1">
    <w:pPr>
      <w:pStyle w:val="Header"/>
    </w:pPr>
    <w:r>
      <w:rPr>
        <w:noProof/>
      </w:rPr>
      <w:pict w14:anchorId="78360F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397.65pt;height:238.6pt;rotation:315;z-index:-2516326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pt;height:9pt;visibility:visible" o:bullet="t">
        <v:imagedata r:id="rId1" o:title=""/>
      </v:shape>
    </w:pict>
  </w:numPicBullet>
  <w:abstractNum w:abstractNumId="0">
    <w:nsid w:val="06812238"/>
    <w:multiLevelType w:val="hybridMultilevel"/>
    <w:tmpl w:val="00BC8D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AFA40FA"/>
    <w:multiLevelType w:val="multilevel"/>
    <w:tmpl w:val="EB00E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5D404E"/>
    <w:multiLevelType w:val="hybridMultilevel"/>
    <w:tmpl w:val="2F567826"/>
    <w:lvl w:ilvl="0" w:tplc="295C26FE">
      <w:numFmt w:val="bullet"/>
      <w:lvlText w:val="-"/>
      <w:lvlJc w:val="left"/>
      <w:pPr>
        <w:ind w:left="720" w:hanging="360"/>
      </w:pPr>
      <w:rPr>
        <w:rFonts w:ascii="Calibri" w:eastAsia="Calibri" w:hAnsi="Calibri"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nsid w:val="12D34FD8"/>
    <w:multiLevelType w:val="hybridMultilevel"/>
    <w:tmpl w:val="5A2E14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13B538C9"/>
    <w:multiLevelType w:val="hybridMultilevel"/>
    <w:tmpl w:val="0AD847A2"/>
    <w:lvl w:ilvl="0" w:tplc="0C090001">
      <w:start w:val="1"/>
      <w:numFmt w:val="bullet"/>
      <w:lvlText w:val=""/>
      <w:lvlJc w:val="left"/>
      <w:pPr>
        <w:ind w:left="720" w:hanging="360"/>
      </w:pPr>
      <w:rPr>
        <w:rFonts w:ascii="Symbol" w:hAnsi="Symbol" w:hint="default"/>
      </w:rPr>
    </w:lvl>
    <w:lvl w:ilvl="1" w:tplc="A038F4FA">
      <w:numFmt w:val="bullet"/>
      <w:lvlText w:val="•"/>
      <w:lvlJc w:val="left"/>
      <w:pPr>
        <w:ind w:left="1440" w:hanging="360"/>
      </w:pPr>
      <w:rPr>
        <w:rFonts w:ascii="OpenSansRegular" w:eastAsiaTheme="minorHAnsi" w:hAnsi="OpenSansRegular" w:cs="OpenSansRegular"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4232A13"/>
    <w:multiLevelType w:val="hybridMultilevel"/>
    <w:tmpl w:val="9F0E63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6F01A3B"/>
    <w:multiLevelType w:val="hybridMultilevel"/>
    <w:tmpl w:val="1D2EB6C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nsid w:val="18510F92"/>
    <w:multiLevelType w:val="hybridMultilevel"/>
    <w:tmpl w:val="937CA898"/>
    <w:lvl w:ilvl="0" w:tplc="01962994">
      <w:numFmt w:val="bullet"/>
      <w:lvlText w:val="•"/>
      <w:lvlJc w:val="left"/>
      <w:pPr>
        <w:ind w:left="1080" w:hanging="72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98C3595"/>
    <w:multiLevelType w:val="hybridMultilevel"/>
    <w:tmpl w:val="8C7E33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C2B5682"/>
    <w:multiLevelType w:val="hybridMultilevel"/>
    <w:tmpl w:val="571AF2B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E752205"/>
    <w:multiLevelType w:val="hybridMultilevel"/>
    <w:tmpl w:val="A7E6D00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3A1135B"/>
    <w:multiLevelType w:val="hybridMultilevel"/>
    <w:tmpl w:val="60AC2154"/>
    <w:lvl w:ilvl="0" w:tplc="01962994">
      <w:numFmt w:val="bullet"/>
      <w:lvlText w:val="•"/>
      <w:lvlJc w:val="left"/>
      <w:pPr>
        <w:ind w:left="1080" w:hanging="72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3AA6914"/>
    <w:multiLevelType w:val="hybridMultilevel"/>
    <w:tmpl w:val="BDCCF26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79C4E5A"/>
    <w:multiLevelType w:val="hybridMultilevel"/>
    <w:tmpl w:val="36EA08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9A1444D"/>
    <w:multiLevelType w:val="hybridMultilevel"/>
    <w:tmpl w:val="DCB8FB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B0818CF"/>
    <w:multiLevelType w:val="hybridMultilevel"/>
    <w:tmpl w:val="EE40A9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BBD31F3"/>
    <w:multiLevelType w:val="hybridMultilevel"/>
    <w:tmpl w:val="C3C2A5D0"/>
    <w:lvl w:ilvl="0" w:tplc="5B263A5C">
      <w:numFmt w:val="bullet"/>
      <w:lvlText w:val="-"/>
      <w:lvlJc w:val="left"/>
      <w:pPr>
        <w:ind w:left="720" w:hanging="360"/>
      </w:pPr>
      <w:rPr>
        <w:rFonts w:ascii="Verdana" w:eastAsiaTheme="minorHAnsi" w:hAnsi="Verdana"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C370035"/>
    <w:multiLevelType w:val="hybridMultilevel"/>
    <w:tmpl w:val="50D0B8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DC46E8A"/>
    <w:multiLevelType w:val="hybridMultilevel"/>
    <w:tmpl w:val="657CD538"/>
    <w:lvl w:ilvl="0" w:tplc="62FCED54">
      <w:start w:val="1"/>
      <w:numFmt w:val="decimal"/>
      <w:lvlText w:val="%1."/>
      <w:lvlJc w:val="left"/>
      <w:pPr>
        <w:ind w:left="720" w:hanging="72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nsid w:val="30247F5C"/>
    <w:multiLevelType w:val="hybridMultilevel"/>
    <w:tmpl w:val="998ACCCC"/>
    <w:lvl w:ilvl="0" w:tplc="0C090001">
      <w:start w:val="1"/>
      <w:numFmt w:val="bullet"/>
      <w:lvlText w:val=""/>
      <w:lvlJc w:val="left"/>
      <w:pPr>
        <w:ind w:left="770" w:hanging="360"/>
      </w:pPr>
      <w:rPr>
        <w:rFonts w:ascii="Symbol" w:hAnsi="Symbol" w:hint="default"/>
      </w:rPr>
    </w:lvl>
    <w:lvl w:ilvl="1" w:tplc="0C090003">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20">
    <w:nsid w:val="33916FEF"/>
    <w:multiLevelType w:val="hybridMultilevel"/>
    <w:tmpl w:val="7DCC8BA6"/>
    <w:lvl w:ilvl="0" w:tplc="936AC10C">
      <w:numFmt w:val="bullet"/>
      <w:lvlText w:val="•"/>
      <w:lvlJc w:val="left"/>
      <w:pPr>
        <w:ind w:left="1080" w:hanging="720"/>
      </w:pPr>
      <w:rPr>
        <w:rFonts w:ascii="OpenSansRegular" w:eastAsiaTheme="minorHAnsi" w:hAnsi="OpenSansRegular"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3C3B6DC2"/>
    <w:multiLevelType w:val="hybridMultilevel"/>
    <w:tmpl w:val="186682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3EBB452B"/>
    <w:multiLevelType w:val="hybridMultilevel"/>
    <w:tmpl w:val="53C65172"/>
    <w:lvl w:ilvl="0" w:tplc="2A128366">
      <w:numFmt w:val="bullet"/>
      <w:lvlText w:val="-"/>
      <w:lvlJc w:val="left"/>
      <w:pPr>
        <w:ind w:left="720" w:hanging="360"/>
      </w:pPr>
      <w:rPr>
        <w:rFonts w:ascii="Times New Roman" w:eastAsia="Times New Roman" w:hAnsi="Times New Roman"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1DF5A99"/>
    <w:multiLevelType w:val="hybridMultilevel"/>
    <w:tmpl w:val="D7124B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5103ECB"/>
    <w:multiLevelType w:val="hybridMultilevel"/>
    <w:tmpl w:val="693693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B7B650E"/>
    <w:multiLevelType w:val="hybridMultilevel"/>
    <w:tmpl w:val="FE8C0DD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CB45322"/>
    <w:multiLevelType w:val="hybridMultilevel"/>
    <w:tmpl w:val="1CEE5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05D3491"/>
    <w:multiLevelType w:val="hybridMultilevel"/>
    <w:tmpl w:val="C520E0E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3B054FB"/>
    <w:multiLevelType w:val="hybridMultilevel"/>
    <w:tmpl w:val="D25E1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4B609DF"/>
    <w:multiLevelType w:val="hybridMultilevel"/>
    <w:tmpl w:val="7980A03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5DE6E6B"/>
    <w:multiLevelType w:val="hybridMultilevel"/>
    <w:tmpl w:val="9AF067E2"/>
    <w:lvl w:ilvl="0" w:tplc="BBF2C3A2">
      <w:numFmt w:val="bullet"/>
      <w:lvlText w:val="•"/>
      <w:lvlJc w:val="left"/>
      <w:pPr>
        <w:ind w:left="1080" w:hanging="720"/>
      </w:pPr>
      <w:rPr>
        <w:rFonts w:ascii="OpenSansRegular" w:eastAsia="Times New Roman" w:hAnsi="OpenSansRegular"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5E74DFE"/>
    <w:multiLevelType w:val="hybridMultilevel"/>
    <w:tmpl w:val="B004020C"/>
    <w:lvl w:ilvl="0" w:tplc="31B69B2E">
      <w:numFmt w:val="bullet"/>
      <w:lvlText w:val="•"/>
      <w:lvlJc w:val="left"/>
      <w:pPr>
        <w:ind w:left="1080" w:hanging="720"/>
      </w:pPr>
      <w:rPr>
        <w:rFonts w:ascii="OpenSansRegular" w:eastAsiaTheme="minorHAnsi" w:hAnsi="OpenSansRegular"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569142F0"/>
    <w:multiLevelType w:val="hybridMultilevel"/>
    <w:tmpl w:val="41E0BEC6"/>
    <w:lvl w:ilvl="0" w:tplc="01962994">
      <w:numFmt w:val="bullet"/>
      <w:lvlText w:val="•"/>
      <w:lvlJc w:val="left"/>
      <w:pPr>
        <w:ind w:left="1080" w:hanging="72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6B5386D"/>
    <w:multiLevelType w:val="hybridMultilevel"/>
    <w:tmpl w:val="3A9E4792"/>
    <w:lvl w:ilvl="0" w:tplc="5B263A5C">
      <w:numFmt w:val="bullet"/>
      <w:lvlText w:val="-"/>
      <w:lvlJc w:val="left"/>
      <w:pPr>
        <w:ind w:left="720" w:hanging="360"/>
      </w:pPr>
      <w:rPr>
        <w:rFonts w:ascii="Verdana" w:eastAsiaTheme="minorHAnsi" w:hAnsi="Verdana"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73B33F5"/>
    <w:multiLevelType w:val="hybridMultilevel"/>
    <w:tmpl w:val="E5F80D5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58481B77"/>
    <w:multiLevelType w:val="hybridMultilevel"/>
    <w:tmpl w:val="A3BA85C4"/>
    <w:lvl w:ilvl="0" w:tplc="2A128366">
      <w:numFmt w:val="bullet"/>
      <w:lvlText w:val="-"/>
      <w:lvlJc w:val="left"/>
      <w:pPr>
        <w:ind w:left="720" w:hanging="360"/>
      </w:pPr>
      <w:rPr>
        <w:rFonts w:ascii="Times New Roman" w:eastAsia="Times New Roman" w:hAnsi="Times New Roman"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C057613"/>
    <w:multiLevelType w:val="hybridMultilevel"/>
    <w:tmpl w:val="F0C2C11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62C4414D"/>
    <w:multiLevelType w:val="hybridMultilevel"/>
    <w:tmpl w:val="40D4885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65042005"/>
    <w:multiLevelType w:val="hybridMultilevel"/>
    <w:tmpl w:val="51D6E540"/>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B3105A3"/>
    <w:multiLevelType w:val="hybridMultilevel"/>
    <w:tmpl w:val="CD7EF7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6EC6646A"/>
    <w:multiLevelType w:val="hybridMultilevel"/>
    <w:tmpl w:val="1A5205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72A57049"/>
    <w:multiLevelType w:val="hybridMultilevel"/>
    <w:tmpl w:val="0184715A"/>
    <w:lvl w:ilvl="0" w:tplc="5B263A5C">
      <w:numFmt w:val="bullet"/>
      <w:lvlText w:val="-"/>
      <w:lvlJc w:val="left"/>
      <w:pPr>
        <w:ind w:left="720" w:hanging="360"/>
      </w:pPr>
      <w:rPr>
        <w:rFonts w:ascii="Verdana" w:eastAsiaTheme="minorHAnsi" w:hAnsi="Verdana" w:cs="OpenSansRegular"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73AF5D27"/>
    <w:multiLevelType w:val="hybridMultilevel"/>
    <w:tmpl w:val="D56A059A"/>
    <w:lvl w:ilvl="0" w:tplc="0C090001">
      <w:start w:val="1"/>
      <w:numFmt w:val="bullet"/>
      <w:lvlText w:val=""/>
      <w:lvlJc w:val="left"/>
      <w:pPr>
        <w:ind w:left="3240" w:hanging="360"/>
      </w:pPr>
      <w:rPr>
        <w:rFonts w:ascii="Symbol" w:hAnsi="Symbol" w:hint="default"/>
      </w:rPr>
    </w:lvl>
    <w:lvl w:ilvl="1" w:tplc="0C090003" w:tentative="1">
      <w:start w:val="1"/>
      <w:numFmt w:val="bullet"/>
      <w:lvlText w:val="o"/>
      <w:lvlJc w:val="left"/>
      <w:pPr>
        <w:ind w:left="3960" w:hanging="360"/>
      </w:pPr>
      <w:rPr>
        <w:rFonts w:ascii="Courier New" w:hAnsi="Courier New" w:cs="Courier New" w:hint="default"/>
      </w:rPr>
    </w:lvl>
    <w:lvl w:ilvl="2" w:tplc="0C090005" w:tentative="1">
      <w:start w:val="1"/>
      <w:numFmt w:val="bullet"/>
      <w:lvlText w:val=""/>
      <w:lvlJc w:val="left"/>
      <w:pPr>
        <w:ind w:left="4680" w:hanging="360"/>
      </w:pPr>
      <w:rPr>
        <w:rFonts w:ascii="Wingdings" w:hAnsi="Wingdings" w:hint="default"/>
      </w:rPr>
    </w:lvl>
    <w:lvl w:ilvl="3" w:tplc="0C090001" w:tentative="1">
      <w:start w:val="1"/>
      <w:numFmt w:val="bullet"/>
      <w:lvlText w:val=""/>
      <w:lvlJc w:val="left"/>
      <w:pPr>
        <w:ind w:left="5400" w:hanging="360"/>
      </w:pPr>
      <w:rPr>
        <w:rFonts w:ascii="Symbol" w:hAnsi="Symbol" w:hint="default"/>
      </w:rPr>
    </w:lvl>
    <w:lvl w:ilvl="4" w:tplc="0C090003" w:tentative="1">
      <w:start w:val="1"/>
      <w:numFmt w:val="bullet"/>
      <w:lvlText w:val="o"/>
      <w:lvlJc w:val="left"/>
      <w:pPr>
        <w:ind w:left="6120" w:hanging="360"/>
      </w:pPr>
      <w:rPr>
        <w:rFonts w:ascii="Courier New" w:hAnsi="Courier New" w:cs="Courier New" w:hint="default"/>
      </w:rPr>
    </w:lvl>
    <w:lvl w:ilvl="5" w:tplc="0C090005" w:tentative="1">
      <w:start w:val="1"/>
      <w:numFmt w:val="bullet"/>
      <w:lvlText w:val=""/>
      <w:lvlJc w:val="left"/>
      <w:pPr>
        <w:ind w:left="6840" w:hanging="360"/>
      </w:pPr>
      <w:rPr>
        <w:rFonts w:ascii="Wingdings" w:hAnsi="Wingdings" w:hint="default"/>
      </w:rPr>
    </w:lvl>
    <w:lvl w:ilvl="6" w:tplc="0C090001" w:tentative="1">
      <w:start w:val="1"/>
      <w:numFmt w:val="bullet"/>
      <w:lvlText w:val=""/>
      <w:lvlJc w:val="left"/>
      <w:pPr>
        <w:ind w:left="7560" w:hanging="360"/>
      </w:pPr>
      <w:rPr>
        <w:rFonts w:ascii="Symbol" w:hAnsi="Symbol" w:hint="default"/>
      </w:rPr>
    </w:lvl>
    <w:lvl w:ilvl="7" w:tplc="0C090003" w:tentative="1">
      <w:start w:val="1"/>
      <w:numFmt w:val="bullet"/>
      <w:lvlText w:val="o"/>
      <w:lvlJc w:val="left"/>
      <w:pPr>
        <w:ind w:left="8280" w:hanging="360"/>
      </w:pPr>
      <w:rPr>
        <w:rFonts w:ascii="Courier New" w:hAnsi="Courier New" w:cs="Courier New" w:hint="default"/>
      </w:rPr>
    </w:lvl>
    <w:lvl w:ilvl="8" w:tplc="0C090005" w:tentative="1">
      <w:start w:val="1"/>
      <w:numFmt w:val="bullet"/>
      <w:lvlText w:val=""/>
      <w:lvlJc w:val="left"/>
      <w:pPr>
        <w:ind w:left="9000" w:hanging="360"/>
      </w:pPr>
      <w:rPr>
        <w:rFonts w:ascii="Wingdings" w:hAnsi="Wingdings" w:hint="default"/>
      </w:rPr>
    </w:lvl>
  </w:abstractNum>
  <w:num w:numId="1">
    <w:abstractNumId w:val="29"/>
  </w:num>
  <w:num w:numId="2">
    <w:abstractNumId w:val="39"/>
  </w:num>
  <w:num w:numId="3">
    <w:abstractNumId w:val="38"/>
  </w:num>
  <w:num w:numId="4">
    <w:abstractNumId w:val="9"/>
  </w:num>
  <w:num w:numId="5">
    <w:abstractNumId w:val="4"/>
  </w:num>
  <w:num w:numId="6">
    <w:abstractNumId w:val="23"/>
  </w:num>
  <w:num w:numId="7">
    <w:abstractNumId w:val="20"/>
  </w:num>
  <w:num w:numId="8">
    <w:abstractNumId w:val="36"/>
  </w:num>
  <w:num w:numId="9">
    <w:abstractNumId w:val="28"/>
  </w:num>
  <w:num w:numId="10">
    <w:abstractNumId w:val="31"/>
  </w:num>
  <w:num w:numId="11">
    <w:abstractNumId w:val="34"/>
  </w:num>
  <w:num w:numId="12">
    <w:abstractNumId w:val="18"/>
  </w:num>
  <w:num w:numId="13">
    <w:abstractNumId w:val="27"/>
  </w:num>
  <w:num w:numId="14">
    <w:abstractNumId w:val="25"/>
  </w:num>
  <w:num w:numId="15">
    <w:abstractNumId w:val="3"/>
  </w:num>
  <w:num w:numId="16">
    <w:abstractNumId w:val="15"/>
  </w:num>
  <w:num w:numId="17">
    <w:abstractNumId w:val="14"/>
  </w:num>
  <w:num w:numId="18">
    <w:abstractNumId w:val="1"/>
  </w:num>
  <w:num w:numId="19">
    <w:abstractNumId w:val="8"/>
  </w:num>
  <w:num w:numId="20">
    <w:abstractNumId w:val="2"/>
  </w:num>
  <w:num w:numId="21">
    <w:abstractNumId w:val="6"/>
  </w:num>
  <w:num w:numId="22">
    <w:abstractNumId w:val="17"/>
  </w:num>
  <w:num w:numId="23">
    <w:abstractNumId w:val="40"/>
  </w:num>
  <w:num w:numId="24">
    <w:abstractNumId w:val="12"/>
  </w:num>
  <w:num w:numId="25">
    <w:abstractNumId w:val="26"/>
  </w:num>
  <w:num w:numId="26">
    <w:abstractNumId w:val="30"/>
  </w:num>
  <w:num w:numId="27">
    <w:abstractNumId w:val="19"/>
  </w:num>
  <w:num w:numId="28">
    <w:abstractNumId w:val="24"/>
  </w:num>
  <w:num w:numId="29">
    <w:abstractNumId w:val="42"/>
  </w:num>
  <w:num w:numId="30">
    <w:abstractNumId w:val="10"/>
  </w:num>
  <w:num w:numId="31">
    <w:abstractNumId w:val="13"/>
  </w:num>
  <w:num w:numId="32">
    <w:abstractNumId w:val="5"/>
  </w:num>
  <w:num w:numId="33">
    <w:abstractNumId w:val="7"/>
  </w:num>
  <w:num w:numId="34">
    <w:abstractNumId w:val="32"/>
  </w:num>
  <w:num w:numId="35">
    <w:abstractNumId w:val="11"/>
  </w:num>
  <w:num w:numId="36">
    <w:abstractNumId w:val="21"/>
  </w:num>
  <w:num w:numId="37">
    <w:abstractNumId w:val="0"/>
  </w:num>
  <w:num w:numId="38">
    <w:abstractNumId w:val="33"/>
  </w:num>
  <w:num w:numId="39">
    <w:abstractNumId w:val="16"/>
  </w:num>
  <w:num w:numId="40">
    <w:abstractNumId w:val="41"/>
  </w:num>
  <w:num w:numId="41">
    <w:abstractNumId w:val="22"/>
  </w:num>
  <w:num w:numId="42">
    <w:abstractNumId w:val="35"/>
  </w:num>
  <w:num w:numId="4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07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zS3MDU1sDS0MDc3NTdT0lEKTi0uzszPAykwqgUApNfnjywAAAA="/>
  </w:docVars>
  <w:rsids>
    <w:rsidRoot w:val="008D6885"/>
    <w:rsid w:val="000017FF"/>
    <w:rsid w:val="000037D2"/>
    <w:rsid w:val="00005793"/>
    <w:rsid w:val="00005906"/>
    <w:rsid w:val="00006401"/>
    <w:rsid w:val="00012D99"/>
    <w:rsid w:val="0001563F"/>
    <w:rsid w:val="000308BE"/>
    <w:rsid w:val="0003173B"/>
    <w:rsid w:val="0004107F"/>
    <w:rsid w:val="00044A70"/>
    <w:rsid w:val="00045034"/>
    <w:rsid w:val="00060D07"/>
    <w:rsid w:val="00064667"/>
    <w:rsid w:val="00066D9F"/>
    <w:rsid w:val="00070385"/>
    <w:rsid w:val="00073CB3"/>
    <w:rsid w:val="00074AE8"/>
    <w:rsid w:val="00075500"/>
    <w:rsid w:val="00075DE7"/>
    <w:rsid w:val="00076760"/>
    <w:rsid w:val="00077823"/>
    <w:rsid w:val="00080B10"/>
    <w:rsid w:val="0008646E"/>
    <w:rsid w:val="00093F56"/>
    <w:rsid w:val="00095110"/>
    <w:rsid w:val="000976F6"/>
    <w:rsid w:val="000A39B9"/>
    <w:rsid w:val="000A7638"/>
    <w:rsid w:val="000C1217"/>
    <w:rsid w:val="000C48A3"/>
    <w:rsid w:val="000C7D79"/>
    <w:rsid w:val="000D672E"/>
    <w:rsid w:val="000D6A82"/>
    <w:rsid w:val="000E053C"/>
    <w:rsid w:val="000E2E56"/>
    <w:rsid w:val="000F3448"/>
    <w:rsid w:val="000F7827"/>
    <w:rsid w:val="001021A3"/>
    <w:rsid w:val="0011365C"/>
    <w:rsid w:val="00116B2E"/>
    <w:rsid w:val="00122A22"/>
    <w:rsid w:val="0012464B"/>
    <w:rsid w:val="00134EC7"/>
    <w:rsid w:val="00142B28"/>
    <w:rsid w:val="00144888"/>
    <w:rsid w:val="00153860"/>
    <w:rsid w:val="00164358"/>
    <w:rsid w:val="001679E5"/>
    <w:rsid w:val="00170660"/>
    <w:rsid w:val="00171803"/>
    <w:rsid w:val="00173E90"/>
    <w:rsid w:val="001764FB"/>
    <w:rsid w:val="001832CE"/>
    <w:rsid w:val="00183BF8"/>
    <w:rsid w:val="00184E1A"/>
    <w:rsid w:val="001941F7"/>
    <w:rsid w:val="001A0350"/>
    <w:rsid w:val="001A11C4"/>
    <w:rsid w:val="001A1D53"/>
    <w:rsid w:val="001A2D43"/>
    <w:rsid w:val="001A6604"/>
    <w:rsid w:val="001A72DE"/>
    <w:rsid w:val="001B4B9E"/>
    <w:rsid w:val="001C03D2"/>
    <w:rsid w:val="001C2AE4"/>
    <w:rsid w:val="001C43B4"/>
    <w:rsid w:val="001E2CF9"/>
    <w:rsid w:val="001F3966"/>
    <w:rsid w:val="001F7223"/>
    <w:rsid w:val="00202B57"/>
    <w:rsid w:val="00215620"/>
    <w:rsid w:val="002231D0"/>
    <w:rsid w:val="00231360"/>
    <w:rsid w:val="00235F17"/>
    <w:rsid w:val="00246CC7"/>
    <w:rsid w:val="00250FE6"/>
    <w:rsid w:val="0025208D"/>
    <w:rsid w:val="00252738"/>
    <w:rsid w:val="00261D36"/>
    <w:rsid w:val="002624D3"/>
    <w:rsid w:val="0027202F"/>
    <w:rsid w:val="00277696"/>
    <w:rsid w:val="00285947"/>
    <w:rsid w:val="00287949"/>
    <w:rsid w:val="00294E0C"/>
    <w:rsid w:val="0029570B"/>
    <w:rsid w:val="002A0DB6"/>
    <w:rsid w:val="002A4BE5"/>
    <w:rsid w:val="002A52B2"/>
    <w:rsid w:val="002B2B4F"/>
    <w:rsid w:val="002B777C"/>
    <w:rsid w:val="002C5910"/>
    <w:rsid w:val="002C6696"/>
    <w:rsid w:val="002D79E0"/>
    <w:rsid w:val="002E40AE"/>
    <w:rsid w:val="002F0646"/>
    <w:rsid w:val="002F6AB9"/>
    <w:rsid w:val="0030786B"/>
    <w:rsid w:val="0031337E"/>
    <w:rsid w:val="0033207C"/>
    <w:rsid w:val="00332B5F"/>
    <w:rsid w:val="003337FA"/>
    <w:rsid w:val="00335760"/>
    <w:rsid w:val="0034232C"/>
    <w:rsid w:val="00344339"/>
    <w:rsid w:val="00346686"/>
    <w:rsid w:val="00351A7A"/>
    <w:rsid w:val="00372C1B"/>
    <w:rsid w:val="00372D11"/>
    <w:rsid w:val="003779D2"/>
    <w:rsid w:val="0038034F"/>
    <w:rsid w:val="0038312A"/>
    <w:rsid w:val="003A066B"/>
    <w:rsid w:val="003A4890"/>
    <w:rsid w:val="003B04AA"/>
    <w:rsid w:val="003B0923"/>
    <w:rsid w:val="003B35EC"/>
    <w:rsid w:val="003C7CFD"/>
    <w:rsid w:val="003D5D41"/>
    <w:rsid w:val="003E1B5B"/>
    <w:rsid w:val="003E5A43"/>
    <w:rsid w:val="003F2680"/>
    <w:rsid w:val="003F2FD9"/>
    <w:rsid w:val="003F3973"/>
    <w:rsid w:val="003F7657"/>
    <w:rsid w:val="004004C8"/>
    <w:rsid w:val="00421F7F"/>
    <w:rsid w:val="00431A72"/>
    <w:rsid w:val="004379D6"/>
    <w:rsid w:val="00445A81"/>
    <w:rsid w:val="0045071C"/>
    <w:rsid w:val="00464417"/>
    <w:rsid w:val="00465F53"/>
    <w:rsid w:val="0046719E"/>
    <w:rsid w:val="00474F58"/>
    <w:rsid w:val="004757B7"/>
    <w:rsid w:val="00484014"/>
    <w:rsid w:val="00485BB5"/>
    <w:rsid w:val="00487CFF"/>
    <w:rsid w:val="004A1CDF"/>
    <w:rsid w:val="004A37C3"/>
    <w:rsid w:val="004A54EC"/>
    <w:rsid w:val="004B2C2E"/>
    <w:rsid w:val="004C7184"/>
    <w:rsid w:val="004D2A67"/>
    <w:rsid w:val="004D3A89"/>
    <w:rsid w:val="004E6498"/>
    <w:rsid w:val="004E69B0"/>
    <w:rsid w:val="004F10B3"/>
    <w:rsid w:val="004F2D4D"/>
    <w:rsid w:val="004F453E"/>
    <w:rsid w:val="004F5141"/>
    <w:rsid w:val="004F744D"/>
    <w:rsid w:val="004F7848"/>
    <w:rsid w:val="0050143E"/>
    <w:rsid w:val="00502955"/>
    <w:rsid w:val="00502EC7"/>
    <w:rsid w:val="00506A75"/>
    <w:rsid w:val="005074E6"/>
    <w:rsid w:val="00512C3E"/>
    <w:rsid w:val="00516450"/>
    <w:rsid w:val="00520978"/>
    <w:rsid w:val="00520F91"/>
    <w:rsid w:val="00522644"/>
    <w:rsid w:val="00532CCB"/>
    <w:rsid w:val="00533268"/>
    <w:rsid w:val="00534088"/>
    <w:rsid w:val="0054243B"/>
    <w:rsid w:val="00543062"/>
    <w:rsid w:val="005432F2"/>
    <w:rsid w:val="00545D15"/>
    <w:rsid w:val="0055420F"/>
    <w:rsid w:val="00554502"/>
    <w:rsid w:val="0057595C"/>
    <w:rsid w:val="00586433"/>
    <w:rsid w:val="00586C22"/>
    <w:rsid w:val="00591CD4"/>
    <w:rsid w:val="0059411C"/>
    <w:rsid w:val="00595FBA"/>
    <w:rsid w:val="005972F6"/>
    <w:rsid w:val="005A0304"/>
    <w:rsid w:val="005B44AB"/>
    <w:rsid w:val="005C0910"/>
    <w:rsid w:val="005C6126"/>
    <w:rsid w:val="005D64C1"/>
    <w:rsid w:val="005E0162"/>
    <w:rsid w:val="005E6D86"/>
    <w:rsid w:val="0060536B"/>
    <w:rsid w:val="00615EA0"/>
    <w:rsid w:val="00616CD1"/>
    <w:rsid w:val="006201A1"/>
    <w:rsid w:val="00622725"/>
    <w:rsid w:val="0063276D"/>
    <w:rsid w:val="0063753A"/>
    <w:rsid w:val="00637AE3"/>
    <w:rsid w:val="006536B6"/>
    <w:rsid w:val="006616E4"/>
    <w:rsid w:val="00677EC6"/>
    <w:rsid w:val="00683094"/>
    <w:rsid w:val="0068454A"/>
    <w:rsid w:val="006918C9"/>
    <w:rsid w:val="006929AB"/>
    <w:rsid w:val="00692F07"/>
    <w:rsid w:val="006A07A6"/>
    <w:rsid w:val="006A2A1B"/>
    <w:rsid w:val="006B2F47"/>
    <w:rsid w:val="006B6DFB"/>
    <w:rsid w:val="006B72C7"/>
    <w:rsid w:val="006C1274"/>
    <w:rsid w:val="006C460D"/>
    <w:rsid w:val="006D189D"/>
    <w:rsid w:val="006E0693"/>
    <w:rsid w:val="006E0C95"/>
    <w:rsid w:val="006E2E7F"/>
    <w:rsid w:val="006F03F1"/>
    <w:rsid w:val="006F4673"/>
    <w:rsid w:val="00700E5B"/>
    <w:rsid w:val="00706202"/>
    <w:rsid w:val="00714C7F"/>
    <w:rsid w:val="00715500"/>
    <w:rsid w:val="00715A89"/>
    <w:rsid w:val="00721686"/>
    <w:rsid w:val="007257F3"/>
    <w:rsid w:val="00731563"/>
    <w:rsid w:val="0074409B"/>
    <w:rsid w:val="00747FC5"/>
    <w:rsid w:val="007517E1"/>
    <w:rsid w:val="0075494E"/>
    <w:rsid w:val="00761F93"/>
    <w:rsid w:val="0076397A"/>
    <w:rsid w:val="00765011"/>
    <w:rsid w:val="0077221F"/>
    <w:rsid w:val="0077572D"/>
    <w:rsid w:val="007809C5"/>
    <w:rsid w:val="00782904"/>
    <w:rsid w:val="0078365E"/>
    <w:rsid w:val="00786B9C"/>
    <w:rsid w:val="007954AB"/>
    <w:rsid w:val="007A121D"/>
    <w:rsid w:val="007A2189"/>
    <w:rsid w:val="007A4E13"/>
    <w:rsid w:val="007B268D"/>
    <w:rsid w:val="007C2BB0"/>
    <w:rsid w:val="007C55DE"/>
    <w:rsid w:val="007C587D"/>
    <w:rsid w:val="007D0A0A"/>
    <w:rsid w:val="007D2196"/>
    <w:rsid w:val="007D2F46"/>
    <w:rsid w:val="007D5B22"/>
    <w:rsid w:val="007D7F8F"/>
    <w:rsid w:val="007E45F2"/>
    <w:rsid w:val="007F0016"/>
    <w:rsid w:val="007F0178"/>
    <w:rsid w:val="007F26EF"/>
    <w:rsid w:val="007F29D4"/>
    <w:rsid w:val="007F37C8"/>
    <w:rsid w:val="007F6E4B"/>
    <w:rsid w:val="008013FD"/>
    <w:rsid w:val="0080420D"/>
    <w:rsid w:val="00812A61"/>
    <w:rsid w:val="0082050B"/>
    <w:rsid w:val="00826FA7"/>
    <w:rsid w:val="008316D9"/>
    <w:rsid w:val="008336F6"/>
    <w:rsid w:val="00833C70"/>
    <w:rsid w:val="00833C8A"/>
    <w:rsid w:val="008351C1"/>
    <w:rsid w:val="00837877"/>
    <w:rsid w:val="0084056C"/>
    <w:rsid w:val="00851B50"/>
    <w:rsid w:val="00852238"/>
    <w:rsid w:val="00856E28"/>
    <w:rsid w:val="00864CC6"/>
    <w:rsid w:val="00865559"/>
    <w:rsid w:val="008674CE"/>
    <w:rsid w:val="00867955"/>
    <w:rsid w:val="00870190"/>
    <w:rsid w:val="00873D53"/>
    <w:rsid w:val="0088075B"/>
    <w:rsid w:val="008872E1"/>
    <w:rsid w:val="0089077D"/>
    <w:rsid w:val="0089195C"/>
    <w:rsid w:val="00891A73"/>
    <w:rsid w:val="008A2BD5"/>
    <w:rsid w:val="008A33AC"/>
    <w:rsid w:val="008A3984"/>
    <w:rsid w:val="008A519B"/>
    <w:rsid w:val="008B19B1"/>
    <w:rsid w:val="008C08C7"/>
    <w:rsid w:val="008C50B4"/>
    <w:rsid w:val="008D071E"/>
    <w:rsid w:val="008D30A4"/>
    <w:rsid w:val="008D4143"/>
    <w:rsid w:val="008D6885"/>
    <w:rsid w:val="008E0E32"/>
    <w:rsid w:val="008E3486"/>
    <w:rsid w:val="008E3F51"/>
    <w:rsid w:val="008E4889"/>
    <w:rsid w:val="008F4090"/>
    <w:rsid w:val="00903D59"/>
    <w:rsid w:val="009125D0"/>
    <w:rsid w:val="00917F7A"/>
    <w:rsid w:val="00921BF0"/>
    <w:rsid w:val="009307FD"/>
    <w:rsid w:val="00931C22"/>
    <w:rsid w:val="00933E45"/>
    <w:rsid w:val="009414E3"/>
    <w:rsid w:val="009577B4"/>
    <w:rsid w:val="009631A4"/>
    <w:rsid w:val="0096484C"/>
    <w:rsid w:val="00972118"/>
    <w:rsid w:val="00985111"/>
    <w:rsid w:val="009913EF"/>
    <w:rsid w:val="00993B50"/>
    <w:rsid w:val="009A00F3"/>
    <w:rsid w:val="009A1340"/>
    <w:rsid w:val="009A3BF2"/>
    <w:rsid w:val="009A5938"/>
    <w:rsid w:val="009B5E37"/>
    <w:rsid w:val="009C1E66"/>
    <w:rsid w:val="009C240B"/>
    <w:rsid w:val="009D26F4"/>
    <w:rsid w:val="009D3F06"/>
    <w:rsid w:val="009D5FBF"/>
    <w:rsid w:val="009D6524"/>
    <w:rsid w:val="009E23EA"/>
    <w:rsid w:val="009E33A2"/>
    <w:rsid w:val="009E5736"/>
    <w:rsid w:val="009F3C2B"/>
    <w:rsid w:val="009F3F60"/>
    <w:rsid w:val="00A00B62"/>
    <w:rsid w:val="00A029A8"/>
    <w:rsid w:val="00A04781"/>
    <w:rsid w:val="00A06BCD"/>
    <w:rsid w:val="00A17DC2"/>
    <w:rsid w:val="00A23293"/>
    <w:rsid w:val="00A453EE"/>
    <w:rsid w:val="00A535B1"/>
    <w:rsid w:val="00A56D04"/>
    <w:rsid w:val="00A614D0"/>
    <w:rsid w:val="00A667D0"/>
    <w:rsid w:val="00A77586"/>
    <w:rsid w:val="00A846B7"/>
    <w:rsid w:val="00A9226B"/>
    <w:rsid w:val="00A92D01"/>
    <w:rsid w:val="00A97CA6"/>
    <w:rsid w:val="00AA4451"/>
    <w:rsid w:val="00AB337B"/>
    <w:rsid w:val="00AC1B06"/>
    <w:rsid w:val="00AC25DF"/>
    <w:rsid w:val="00AC353F"/>
    <w:rsid w:val="00AD1853"/>
    <w:rsid w:val="00AD7E72"/>
    <w:rsid w:val="00AE5936"/>
    <w:rsid w:val="00AE6CD3"/>
    <w:rsid w:val="00AE6E01"/>
    <w:rsid w:val="00AE7276"/>
    <w:rsid w:val="00AE72D6"/>
    <w:rsid w:val="00AF3CD3"/>
    <w:rsid w:val="00AF4A89"/>
    <w:rsid w:val="00B02856"/>
    <w:rsid w:val="00B03F28"/>
    <w:rsid w:val="00B062B2"/>
    <w:rsid w:val="00B11A6B"/>
    <w:rsid w:val="00B136CC"/>
    <w:rsid w:val="00B13E8A"/>
    <w:rsid w:val="00B159FC"/>
    <w:rsid w:val="00B16A06"/>
    <w:rsid w:val="00B16FBC"/>
    <w:rsid w:val="00B2422D"/>
    <w:rsid w:val="00B27D5D"/>
    <w:rsid w:val="00B350D9"/>
    <w:rsid w:val="00B460BC"/>
    <w:rsid w:val="00B52FE2"/>
    <w:rsid w:val="00B531AA"/>
    <w:rsid w:val="00B53C3F"/>
    <w:rsid w:val="00B63D4F"/>
    <w:rsid w:val="00B83FCB"/>
    <w:rsid w:val="00B86A8C"/>
    <w:rsid w:val="00BA01BD"/>
    <w:rsid w:val="00BA235C"/>
    <w:rsid w:val="00BA497A"/>
    <w:rsid w:val="00BB65EB"/>
    <w:rsid w:val="00BC0D3D"/>
    <w:rsid w:val="00BC6F4A"/>
    <w:rsid w:val="00BE6BA8"/>
    <w:rsid w:val="00C00B91"/>
    <w:rsid w:val="00C01B21"/>
    <w:rsid w:val="00C0202F"/>
    <w:rsid w:val="00C15F48"/>
    <w:rsid w:val="00C20B56"/>
    <w:rsid w:val="00C30FDE"/>
    <w:rsid w:val="00C36BAC"/>
    <w:rsid w:val="00C41BC8"/>
    <w:rsid w:val="00C5127C"/>
    <w:rsid w:val="00C61BD6"/>
    <w:rsid w:val="00C61E0A"/>
    <w:rsid w:val="00C7532D"/>
    <w:rsid w:val="00C81655"/>
    <w:rsid w:val="00C83F6E"/>
    <w:rsid w:val="00C875EB"/>
    <w:rsid w:val="00C87D9B"/>
    <w:rsid w:val="00CA35E6"/>
    <w:rsid w:val="00CB054B"/>
    <w:rsid w:val="00CB20C5"/>
    <w:rsid w:val="00CB66B7"/>
    <w:rsid w:val="00CF7209"/>
    <w:rsid w:val="00CF7DCD"/>
    <w:rsid w:val="00D07379"/>
    <w:rsid w:val="00D0778C"/>
    <w:rsid w:val="00D10296"/>
    <w:rsid w:val="00D23F19"/>
    <w:rsid w:val="00D2581E"/>
    <w:rsid w:val="00D30749"/>
    <w:rsid w:val="00D31EB6"/>
    <w:rsid w:val="00D34AD8"/>
    <w:rsid w:val="00D355D1"/>
    <w:rsid w:val="00D364E6"/>
    <w:rsid w:val="00D41249"/>
    <w:rsid w:val="00D47246"/>
    <w:rsid w:val="00D50787"/>
    <w:rsid w:val="00D516C3"/>
    <w:rsid w:val="00D56EA6"/>
    <w:rsid w:val="00D57082"/>
    <w:rsid w:val="00D5779C"/>
    <w:rsid w:val="00D61863"/>
    <w:rsid w:val="00D7113C"/>
    <w:rsid w:val="00D74523"/>
    <w:rsid w:val="00D76B71"/>
    <w:rsid w:val="00D875D3"/>
    <w:rsid w:val="00D90AA9"/>
    <w:rsid w:val="00D97612"/>
    <w:rsid w:val="00DA1A52"/>
    <w:rsid w:val="00DA2A21"/>
    <w:rsid w:val="00DA5BBF"/>
    <w:rsid w:val="00DB14D6"/>
    <w:rsid w:val="00DC1474"/>
    <w:rsid w:val="00DC32C4"/>
    <w:rsid w:val="00DD7A40"/>
    <w:rsid w:val="00DE2AB8"/>
    <w:rsid w:val="00DE50E0"/>
    <w:rsid w:val="00DF0222"/>
    <w:rsid w:val="00DF4971"/>
    <w:rsid w:val="00DF628A"/>
    <w:rsid w:val="00E1373A"/>
    <w:rsid w:val="00E22F9B"/>
    <w:rsid w:val="00E239C2"/>
    <w:rsid w:val="00E25F8F"/>
    <w:rsid w:val="00E3136D"/>
    <w:rsid w:val="00E35EAE"/>
    <w:rsid w:val="00E47960"/>
    <w:rsid w:val="00E53D3E"/>
    <w:rsid w:val="00E55828"/>
    <w:rsid w:val="00E66E49"/>
    <w:rsid w:val="00E75C4D"/>
    <w:rsid w:val="00E917EB"/>
    <w:rsid w:val="00EA143E"/>
    <w:rsid w:val="00EA6F02"/>
    <w:rsid w:val="00EC7697"/>
    <w:rsid w:val="00ED06BD"/>
    <w:rsid w:val="00ED2606"/>
    <w:rsid w:val="00EE2553"/>
    <w:rsid w:val="00EE5692"/>
    <w:rsid w:val="00EE59B5"/>
    <w:rsid w:val="00F055EA"/>
    <w:rsid w:val="00F06D2E"/>
    <w:rsid w:val="00F10877"/>
    <w:rsid w:val="00F122E4"/>
    <w:rsid w:val="00F20728"/>
    <w:rsid w:val="00F22D5B"/>
    <w:rsid w:val="00F3005D"/>
    <w:rsid w:val="00F404D7"/>
    <w:rsid w:val="00F42A09"/>
    <w:rsid w:val="00F52478"/>
    <w:rsid w:val="00F65A81"/>
    <w:rsid w:val="00F7296B"/>
    <w:rsid w:val="00F855ED"/>
    <w:rsid w:val="00F9375B"/>
    <w:rsid w:val="00F95CE8"/>
    <w:rsid w:val="00FA6EE8"/>
    <w:rsid w:val="00FB22D7"/>
    <w:rsid w:val="00FB361C"/>
    <w:rsid w:val="00FB5686"/>
    <w:rsid w:val="00FD2C24"/>
    <w:rsid w:val="00FD3B2E"/>
    <w:rsid w:val="00FD3BF9"/>
    <w:rsid w:val="00FD4486"/>
    <w:rsid w:val="00FE48FC"/>
    <w:rsid w:val="00FF0F4E"/>
    <w:rsid w:val="00FF330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1"/>
    </o:shapelayout>
  </w:shapeDefaults>
  <w:decimalSymbol w:val="."/>
  <w:listSeparator w:val=","/>
  <w14:docId w14:val="49E9F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6885"/>
  </w:style>
  <w:style w:type="paragraph" w:styleId="Heading1">
    <w:name w:val="heading 1"/>
    <w:basedOn w:val="Normal"/>
    <w:next w:val="Normal"/>
    <w:link w:val="Heading1Char"/>
    <w:qFormat/>
    <w:rsid w:val="008D688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8D071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basedOn w:val="Normal"/>
    <w:link w:val="BodycopyChar"/>
    <w:qFormat/>
    <w:rsid w:val="008D6885"/>
    <w:pPr>
      <w:spacing w:after="113" w:line="240" w:lineRule="atLeast"/>
    </w:pPr>
    <w:rPr>
      <w:rFonts w:ascii="OpenSansRegular" w:eastAsia="Times New Roman" w:hAnsi="OpenSansRegular" w:cs="Times New Roman"/>
      <w:sz w:val="18"/>
      <w:szCs w:val="24"/>
    </w:rPr>
  </w:style>
  <w:style w:type="character" w:customStyle="1" w:styleId="BodycopyChar">
    <w:name w:val="Body copy Char"/>
    <w:basedOn w:val="DefaultParagraphFont"/>
    <w:link w:val="Bodycopy"/>
    <w:rsid w:val="008D6885"/>
    <w:rPr>
      <w:rFonts w:ascii="OpenSansRegular" w:eastAsia="Times New Roman" w:hAnsi="OpenSansRegular" w:cs="Times New Roman"/>
      <w:sz w:val="18"/>
      <w:szCs w:val="24"/>
    </w:rPr>
  </w:style>
  <w:style w:type="character" w:customStyle="1" w:styleId="Heading1Char">
    <w:name w:val="Heading 1 Char"/>
    <w:basedOn w:val="DefaultParagraphFont"/>
    <w:link w:val="Heading1"/>
    <w:rsid w:val="008D688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D6885"/>
    <w:pPr>
      <w:outlineLvl w:val="9"/>
    </w:pPr>
    <w:rPr>
      <w:lang w:val="en-US"/>
    </w:rPr>
  </w:style>
  <w:style w:type="paragraph" w:customStyle="1" w:styleId="BSubheading-Bluedk">
    <w:name w:val="B Subheading - Blue dk"/>
    <w:basedOn w:val="Normal"/>
    <w:qFormat/>
    <w:rsid w:val="008D6885"/>
    <w:pPr>
      <w:spacing w:before="320" w:after="120" w:line="240" w:lineRule="auto"/>
      <w:outlineLvl w:val="1"/>
    </w:pPr>
    <w:rPr>
      <w:rFonts w:ascii="Arial" w:eastAsia="Times" w:hAnsi="Arial" w:cs="Times New Roman"/>
      <w:b/>
      <w:noProof/>
      <w:color w:val="002776"/>
      <w:sz w:val="20"/>
      <w:szCs w:val="24"/>
      <w:lang w:val="en-US"/>
    </w:rPr>
  </w:style>
  <w:style w:type="table" w:styleId="TableGrid">
    <w:name w:val="Table Grid"/>
    <w:basedOn w:val="TableNormal"/>
    <w:uiPriority w:val="99"/>
    <w:rsid w:val="008D6885"/>
    <w:pPr>
      <w:spacing w:after="0" w:line="240" w:lineRule="auto"/>
    </w:pPr>
    <w:rPr>
      <w:rFonts w:ascii="Times New Roman" w:eastAsia="Times New Roman" w:hAnsi="Times New Roman" w:cs="Times New Roman"/>
      <w:sz w:val="20"/>
      <w:szCs w:val="20"/>
      <w:lang w:eastAsia="en-AU"/>
    </w:rPr>
    <w:tblPr/>
  </w:style>
  <w:style w:type="paragraph" w:styleId="Caption">
    <w:name w:val="caption"/>
    <w:basedOn w:val="Normal"/>
    <w:next w:val="Normal"/>
    <w:uiPriority w:val="35"/>
    <w:unhideWhenUsed/>
    <w:qFormat/>
    <w:rsid w:val="008D6885"/>
    <w:pPr>
      <w:spacing w:after="200" w:line="240" w:lineRule="auto"/>
    </w:pPr>
    <w:rPr>
      <w:i/>
      <w:iCs/>
      <w:color w:val="44546A" w:themeColor="text2"/>
      <w:sz w:val="18"/>
      <w:szCs w:val="18"/>
    </w:rPr>
  </w:style>
  <w:style w:type="table" w:customStyle="1" w:styleId="TableGrid1">
    <w:name w:val="Table Grid1"/>
    <w:basedOn w:val="TableNormal"/>
    <w:next w:val="TableGrid"/>
    <w:rsid w:val="008D6885"/>
    <w:pPr>
      <w:spacing w:after="0" w:line="240" w:lineRule="auto"/>
    </w:pPr>
    <w:rPr>
      <w:rFonts w:ascii="Times New Roman" w:eastAsia="Times New Roman" w:hAnsi="Times New Roman" w:cs="Times New Roman"/>
      <w:sz w:val="20"/>
      <w:szCs w:val="20"/>
      <w:lang w:eastAsia="en-AU"/>
    </w:rPr>
    <w:tblPr/>
  </w:style>
  <w:style w:type="paragraph" w:styleId="ListParagraph">
    <w:name w:val="List Paragraph"/>
    <w:basedOn w:val="Normal"/>
    <w:uiPriority w:val="34"/>
    <w:qFormat/>
    <w:rsid w:val="00CA35E6"/>
    <w:pPr>
      <w:spacing w:after="0" w:line="240" w:lineRule="auto"/>
      <w:ind w:left="720"/>
      <w:contextualSpacing/>
    </w:pPr>
    <w:rPr>
      <w:rFonts w:ascii="Arial" w:eastAsia="Times New Roman" w:hAnsi="Arial" w:cs="Times New Roman"/>
      <w:sz w:val="20"/>
      <w:szCs w:val="24"/>
    </w:rPr>
  </w:style>
  <w:style w:type="paragraph" w:styleId="TOC1">
    <w:name w:val="toc 1"/>
    <w:basedOn w:val="Normal"/>
    <w:next w:val="Normal"/>
    <w:autoRedefine/>
    <w:uiPriority w:val="39"/>
    <w:unhideWhenUsed/>
    <w:rsid w:val="009C1E66"/>
    <w:pPr>
      <w:spacing w:after="100"/>
    </w:pPr>
  </w:style>
  <w:style w:type="paragraph" w:styleId="TOC2">
    <w:name w:val="toc 2"/>
    <w:basedOn w:val="Normal"/>
    <w:next w:val="Normal"/>
    <w:autoRedefine/>
    <w:uiPriority w:val="39"/>
    <w:unhideWhenUsed/>
    <w:rsid w:val="009C1E66"/>
    <w:pPr>
      <w:spacing w:after="100"/>
      <w:ind w:left="220"/>
    </w:pPr>
  </w:style>
  <w:style w:type="character" w:styleId="Hyperlink">
    <w:name w:val="Hyperlink"/>
    <w:basedOn w:val="DefaultParagraphFont"/>
    <w:uiPriority w:val="99"/>
    <w:unhideWhenUsed/>
    <w:rsid w:val="009C1E66"/>
    <w:rPr>
      <w:color w:val="0563C1" w:themeColor="hyperlink"/>
      <w:u w:val="single"/>
    </w:rPr>
  </w:style>
  <w:style w:type="paragraph" w:styleId="BalloonText">
    <w:name w:val="Balloon Text"/>
    <w:basedOn w:val="Normal"/>
    <w:link w:val="BalloonTextChar"/>
    <w:uiPriority w:val="99"/>
    <w:semiHidden/>
    <w:unhideWhenUsed/>
    <w:rsid w:val="00873D5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3D53"/>
    <w:rPr>
      <w:rFonts w:ascii="Segoe UI" w:hAnsi="Segoe UI" w:cs="Segoe UI"/>
      <w:sz w:val="18"/>
      <w:szCs w:val="18"/>
    </w:rPr>
  </w:style>
  <w:style w:type="paragraph" w:styleId="Header">
    <w:name w:val="header"/>
    <w:basedOn w:val="Normal"/>
    <w:link w:val="HeaderChar"/>
    <w:uiPriority w:val="99"/>
    <w:unhideWhenUsed/>
    <w:rsid w:val="00873D53"/>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D53"/>
  </w:style>
  <w:style w:type="paragraph" w:styleId="Footer">
    <w:name w:val="footer"/>
    <w:basedOn w:val="Normal"/>
    <w:link w:val="FooterChar"/>
    <w:uiPriority w:val="99"/>
    <w:unhideWhenUsed/>
    <w:rsid w:val="00873D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D53"/>
  </w:style>
  <w:style w:type="paragraph" w:customStyle="1" w:styleId="Legaltext">
    <w:name w:val="Legal text"/>
    <w:basedOn w:val="Normal"/>
    <w:uiPriority w:val="7"/>
    <w:semiHidden/>
    <w:qFormat/>
    <w:rsid w:val="008E0E32"/>
    <w:pPr>
      <w:spacing w:after="0" w:line="180" w:lineRule="atLeast"/>
    </w:pPr>
    <w:rPr>
      <w:rFonts w:ascii="Segoe UI Light" w:hAnsi="Segoe UI Light"/>
      <w:sz w:val="14"/>
      <w:szCs w:val="18"/>
    </w:rPr>
  </w:style>
  <w:style w:type="character" w:styleId="CommentReference">
    <w:name w:val="annotation reference"/>
    <w:basedOn w:val="DefaultParagraphFont"/>
    <w:uiPriority w:val="99"/>
    <w:semiHidden/>
    <w:unhideWhenUsed/>
    <w:rsid w:val="002C5910"/>
    <w:rPr>
      <w:sz w:val="16"/>
      <w:szCs w:val="16"/>
    </w:rPr>
  </w:style>
  <w:style w:type="paragraph" w:styleId="CommentText">
    <w:name w:val="annotation text"/>
    <w:basedOn w:val="Normal"/>
    <w:link w:val="CommentTextChar"/>
    <w:uiPriority w:val="99"/>
    <w:unhideWhenUsed/>
    <w:rsid w:val="002C5910"/>
    <w:pPr>
      <w:spacing w:line="240" w:lineRule="auto"/>
    </w:pPr>
    <w:rPr>
      <w:sz w:val="20"/>
      <w:szCs w:val="20"/>
    </w:rPr>
  </w:style>
  <w:style w:type="character" w:customStyle="1" w:styleId="CommentTextChar">
    <w:name w:val="Comment Text Char"/>
    <w:basedOn w:val="DefaultParagraphFont"/>
    <w:link w:val="CommentText"/>
    <w:uiPriority w:val="99"/>
    <w:rsid w:val="002C5910"/>
    <w:rPr>
      <w:sz w:val="20"/>
      <w:szCs w:val="20"/>
    </w:rPr>
  </w:style>
  <w:style w:type="paragraph" w:styleId="CommentSubject">
    <w:name w:val="annotation subject"/>
    <w:basedOn w:val="CommentText"/>
    <w:next w:val="CommentText"/>
    <w:link w:val="CommentSubjectChar"/>
    <w:uiPriority w:val="99"/>
    <w:semiHidden/>
    <w:unhideWhenUsed/>
    <w:rsid w:val="002C5910"/>
    <w:rPr>
      <w:b/>
      <w:bCs/>
    </w:rPr>
  </w:style>
  <w:style w:type="character" w:customStyle="1" w:styleId="CommentSubjectChar">
    <w:name w:val="Comment Subject Char"/>
    <w:basedOn w:val="CommentTextChar"/>
    <w:link w:val="CommentSubject"/>
    <w:uiPriority w:val="99"/>
    <w:semiHidden/>
    <w:rsid w:val="002C5910"/>
    <w:rPr>
      <w:b/>
      <w:bCs/>
      <w:sz w:val="20"/>
      <w:szCs w:val="20"/>
    </w:rPr>
  </w:style>
  <w:style w:type="paragraph" w:styleId="Subtitle">
    <w:name w:val="Subtitle"/>
    <w:basedOn w:val="Normal"/>
    <w:next w:val="Normal"/>
    <w:link w:val="SubtitleChar"/>
    <w:uiPriority w:val="11"/>
    <w:qFormat/>
    <w:rsid w:val="0086795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67955"/>
    <w:rPr>
      <w:rFonts w:eastAsiaTheme="minorEastAsia"/>
      <w:color w:val="5A5A5A" w:themeColor="text1" w:themeTint="A5"/>
      <w:spacing w:val="15"/>
    </w:rPr>
  </w:style>
  <w:style w:type="character" w:styleId="FollowedHyperlink">
    <w:name w:val="FollowedHyperlink"/>
    <w:basedOn w:val="DefaultParagraphFont"/>
    <w:uiPriority w:val="99"/>
    <w:semiHidden/>
    <w:unhideWhenUsed/>
    <w:rsid w:val="00F122E4"/>
    <w:rPr>
      <w:color w:val="954F72" w:themeColor="followedHyperlink"/>
      <w:u w:val="single"/>
    </w:rPr>
  </w:style>
  <w:style w:type="character" w:styleId="IntenseEmphasis">
    <w:name w:val="Intense Emphasis"/>
    <w:basedOn w:val="DefaultParagraphFont"/>
    <w:uiPriority w:val="21"/>
    <w:qFormat/>
    <w:rsid w:val="00D57082"/>
    <w:rPr>
      <w:i/>
      <w:iCs/>
      <w:color w:val="5B9BD5" w:themeColor="accent1"/>
    </w:rPr>
  </w:style>
  <w:style w:type="paragraph" w:styleId="FootnoteText">
    <w:name w:val="footnote text"/>
    <w:basedOn w:val="Normal"/>
    <w:link w:val="FootnoteTextChar"/>
    <w:uiPriority w:val="99"/>
    <w:semiHidden/>
    <w:unhideWhenUsed/>
    <w:rsid w:val="0080420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0420D"/>
    <w:rPr>
      <w:sz w:val="20"/>
      <w:szCs w:val="20"/>
    </w:rPr>
  </w:style>
  <w:style w:type="character" w:styleId="FootnoteReference">
    <w:name w:val="footnote reference"/>
    <w:basedOn w:val="DefaultParagraphFont"/>
    <w:uiPriority w:val="99"/>
    <w:semiHidden/>
    <w:unhideWhenUsed/>
    <w:rsid w:val="0080420D"/>
    <w:rPr>
      <w:vertAlign w:val="superscript"/>
    </w:rPr>
  </w:style>
  <w:style w:type="paragraph" w:customStyle="1" w:styleId="Addressdetails">
    <w:name w:val="Address details"/>
    <w:basedOn w:val="Normal"/>
    <w:link w:val="AddressdetailsChar"/>
    <w:rsid w:val="003D5D41"/>
    <w:pPr>
      <w:spacing w:before="85" w:after="0" w:line="180" w:lineRule="atLeast"/>
    </w:pPr>
    <w:rPr>
      <w:rFonts w:ascii="Arial" w:eastAsia="Times New Roman" w:hAnsi="Arial" w:cs="Times New Roman"/>
      <w:sz w:val="15"/>
      <w:szCs w:val="24"/>
    </w:rPr>
  </w:style>
  <w:style w:type="character" w:customStyle="1" w:styleId="AddressdetailsChar">
    <w:name w:val="Address details Char"/>
    <w:basedOn w:val="DefaultParagraphFont"/>
    <w:link w:val="Addressdetails"/>
    <w:rsid w:val="003D5D41"/>
    <w:rPr>
      <w:rFonts w:ascii="Arial" w:eastAsia="Times New Roman" w:hAnsi="Arial" w:cs="Times New Roman"/>
      <w:sz w:val="15"/>
      <w:szCs w:val="24"/>
    </w:rPr>
  </w:style>
  <w:style w:type="paragraph" w:customStyle="1" w:styleId="Legalstatement">
    <w:name w:val="Legal statement"/>
    <w:basedOn w:val="Footer"/>
    <w:rsid w:val="003D5D41"/>
    <w:pPr>
      <w:tabs>
        <w:tab w:val="clear" w:pos="4513"/>
        <w:tab w:val="clear" w:pos="9026"/>
        <w:tab w:val="right" w:pos="8222"/>
        <w:tab w:val="right" w:pos="9356"/>
      </w:tabs>
      <w:spacing w:before="120"/>
    </w:pPr>
    <w:rPr>
      <w:rFonts w:ascii="Arial" w:eastAsia="Times New Roman" w:hAnsi="Arial" w:cs="Arial"/>
      <w:color w:val="000000"/>
      <w:sz w:val="15"/>
      <w:szCs w:val="16"/>
    </w:rPr>
  </w:style>
  <w:style w:type="character" w:customStyle="1" w:styleId="Heading3Char">
    <w:name w:val="Heading 3 Char"/>
    <w:basedOn w:val="DefaultParagraphFont"/>
    <w:link w:val="Heading3"/>
    <w:uiPriority w:val="9"/>
    <w:semiHidden/>
    <w:rsid w:val="008D071E"/>
    <w:rPr>
      <w:rFonts w:asciiTheme="majorHAnsi" w:eastAsiaTheme="majorEastAsia" w:hAnsiTheme="majorHAnsi" w:cstheme="majorBidi"/>
      <w:color w:val="1F4D78" w:themeColor="accent1" w:themeShade="7F"/>
      <w:sz w:val="24"/>
      <w:szCs w:val="24"/>
    </w:rPr>
  </w:style>
  <w:style w:type="table" w:customStyle="1" w:styleId="TableGrid2">
    <w:name w:val="Table Grid2"/>
    <w:basedOn w:val="TableNormal"/>
    <w:next w:val="TableGrid"/>
    <w:rsid w:val="00985111"/>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6885"/>
  </w:style>
  <w:style w:type="paragraph" w:styleId="Heading1">
    <w:name w:val="heading 1"/>
    <w:basedOn w:val="Normal"/>
    <w:next w:val="Normal"/>
    <w:link w:val="Heading1Char"/>
    <w:qFormat/>
    <w:rsid w:val="008D688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8D071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basedOn w:val="Normal"/>
    <w:link w:val="BodycopyChar"/>
    <w:qFormat/>
    <w:rsid w:val="008D6885"/>
    <w:pPr>
      <w:spacing w:after="113" w:line="240" w:lineRule="atLeast"/>
    </w:pPr>
    <w:rPr>
      <w:rFonts w:ascii="OpenSansRegular" w:eastAsia="Times New Roman" w:hAnsi="OpenSansRegular" w:cs="Times New Roman"/>
      <w:sz w:val="18"/>
      <w:szCs w:val="24"/>
    </w:rPr>
  </w:style>
  <w:style w:type="character" w:customStyle="1" w:styleId="BodycopyChar">
    <w:name w:val="Body copy Char"/>
    <w:basedOn w:val="DefaultParagraphFont"/>
    <w:link w:val="Bodycopy"/>
    <w:rsid w:val="008D6885"/>
    <w:rPr>
      <w:rFonts w:ascii="OpenSansRegular" w:eastAsia="Times New Roman" w:hAnsi="OpenSansRegular" w:cs="Times New Roman"/>
      <w:sz w:val="18"/>
      <w:szCs w:val="24"/>
    </w:rPr>
  </w:style>
  <w:style w:type="character" w:customStyle="1" w:styleId="Heading1Char">
    <w:name w:val="Heading 1 Char"/>
    <w:basedOn w:val="DefaultParagraphFont"/>
    <w:link w:val="Heading1"/>
    <w:rsid w:val="008D688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D6885"/>
    <w:pPr>
      <w:outlineLvl w:val="9"/>
    </w:pPr>
    <w:rPr>
      <w:lang w:val="en-US"/>
    </w:rPr>
  </w:style>
  <w:style w:type="paragraph" w:customStyle="1" w:styleId="BSubheading-Bluedk">
    <w:name w:val="B Subheading - Blue dk"/>
    <w:basedOn w:val="Normal"/>
    <w:qFormat/>
    <w:rsid w:val="008D6885"/>
    <w:pPr>
      <w:spacing w:before="320" w:after="120" w:line="240" w:lineRule="auto"/>
      <w:outlineLvl w:val="1"/>
    </w:pPr>
    <w:rPr>
      <w:rFonts w:ascii="Arial" w:eastAsia="Times" w:hAnsi="Arial" w:cs="Times New Roman"/>
      <w:b/>
      <w:noProof/>
      <w:color w:val="002776"/>
      <w:sz w:val="20"/>
      <w:szCs w:val="24"/>
      <w:lang w:val="en-US"/>
    </w:rPr>
  </w:style>
  <w:style w:type="table" w:styleId="TableGrid">
    <w:name w:val="Table Grid"/>
    <w:basedOn w:val="TableNormal"/>
    <w:uiPriority w:val="99"/>
    <w:rsid w:val="008D6885"/>
    <w:pPr>
      <w:spacing w:after="0" w:line="240" w:lineRule="auto"/>
    </w:pPr>
    <w:rPr>
      <w:rFonts w:ascii="Times New Roman" w:eastAsia="Times New Roman" w:hAnsi="Times New Roman" w:cs="Times New Roman"/>
      <w:sz w:val="20"/>
      <w:szCs w:val="20"/>
      <w:lang w:eastAsia="en-AU"/>
    </w:rPr>
    <w:tblPr/>
  </w:style>
  <w:style w:type="paragraph" w:styleId="Caption">
    <w:name w:val="caption"/>
    <w:basedOn w:val="Normal"/>
    <w:next w:val="Normal"/>
    <w:uiPriority w:val="35"/>
    <w:unhideWhenUsed/>
    <w:qFormat/>
    <w:rsid w:val="008D6885"/>
    <w:pPr>
      <w:spacing w:after="200" w:line="240" w:lineRule="auto"/>
    </w:pPr>
    <w:rPr>
      <w:i/>
      <w:iCs/>
      <w:color w:val="44546A" w:themeColor="text2"/>
      <w:sz w:val="18"/>
      <w:szCs w:val="18"/>
    </w:rPr>
  </w:style>
  <w:style w:type="table" w:customStyle="1" w:styleId="TableGrid1">
    <w:name w:val="Table Grid1"/>
    <w:basedOn w:val="TableNormal"/>
    <w:next w:val="TableGrid"/>
    <w:rsid w:val="008D6885"/>
    <w:pPr>
      <w:spacing w:after="0" w:line="240" w:lineRule="auto"/>
    </w:pPr>
    <w:rPr>
      <w:rFonts w:ascii="Times New Roman" w:eastAsia="Times New Roman" w:hAnsi="Times New Roman" w:cs="Times New Roman"/>
      <w:sz w:val="20"/>
      <w:szCs w:val="20"/>
      <w:lang w:eastAsia="en-AU"/>
    </w:rPr>
    <w:tblPr/>
  </w:style>
  <w:style w:type="paragraph" w:styleId="ListParagraph">
    <w:name w:val="List Paragraph"/>
    <w:basedOn w:val="Normal"/>
    <w:uiPriority w:val="34"/>
    <w:qFormat/>
    <w:rsid w:val="00CA35E6"/>
    <w:pPr>
      <w:spacing w:after="0" w:line="240" w:lineRule="auto"/>
      <w:ind w:left="720"/>
      <w:contextualSpacing/>
    </w:pPr>
    <w:rPr>
      <w:rFonts w:ascii="Arial" w:eastAsia="Times New Roman" w:hAnsi="Arial" w:cs="Times New Roman"/>
      <w:sz w:val="20"/>
      <w:szCs w:val="24"/>
    </w:rPr>
  </w:style>
  <w:style w:type="paragraph" w:styleId="TOC1">
    <w:name w:val="toc 1"/>
    <w:basedOn w:val="Normal"/>
    <w:next w:val="Normal"/>
    <w:autoRedefine/>
    <w:uiPriority w:val="39"/>
    <w:unhideWhenUsed/>
    <w:rsid w:val="009C1E66"/>
    <w:pPr>
      <w:spacing w:after="100"/>
    </w:pPr>
  </w:style>
  <w:style w:type="paragraph" w:styleId="TOC2">
    <w:name w:val="toc 2"/>
    <w:basedOn w:val="Normal"/>
    <w:next w:val="Normal"/>
    <w:autoRedefine/>
    <w:uiPriority w:val="39"/>
    <w:unhideWhenUsed/>
    <w:rsid w:val="009C1E66"/>
    <w:pPr>
      <w:spacing w:after="100"/>
      <w:ind w:left="220"/>
    </w:pPr>
  </w:style>
  <w:style w:type="character" w:styleId="Hyperlink">
    <w:name w:val="Hyperlink"/>
    <w:basedOn w:val="DefaultParagraphFont"/>
    <w:uiPriority w:val="99"/>
    <w:unhideWhenUsed/>
    <w:rsid w:val="009C1E66"/>
    <w:rPr>
      <w:color w:val="0563C1" w:themeColor="hyperlink"/>
      <w:u w:val="single"/>
    </w:rPr>
  </w:style>
  <w:style w:type="paragraph" w:styleId="BalloonText">
    <w:name w:val="Balloon Text"/>
    <w:basedOn w:val="Normal"/>
    <w:link w:val="BalloonTextChar"/>
    <w:uiPriority w:val="99"/>
    <w:semiHidden/>
    <w:unhideWhenUsed/>
    <w:rsid w:val="00873D5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3D53"/>
    <w:rPr>
      <w:rFonts w:ascii="Segoe UI" w:hAnsi="Segoe UI" w:cs="Segoe UI"/>
      <w:sz w:val="18"/>
      <w:szCs w:val="18"/>
    </w:rPr>
  </w:style>
  <w:style w:type="paragraph" w:styleId="Header">
    <w:name w:val="header"/>
    <w:basedOn w:val="Normal"/>
    <w:link w:val="HeaderChar"/>
    <w:uiPriority w:val="99"/>
    <w:unhideWhenUsed/>
    <w:rsid w:val="00873D53"/>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D53"/>
  </w:style>
  <w:style w:type="paragraph" w:styleId="Footer">
    <w:name w:val="footer"/>
    <w:basedOn w:val="Normal"/>
    <w:link w:val="FooterChar"/>
    <w:uiPriority w:val="99"/>
    <w:unhideWhenUsed/>
    <w:rsid w:val="00873D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D53"/>
  </w:style>
  <w:style w:type="paragraph" w:customStyle="1" w:styleId="Legaltext">
    <w:name w:val="Legal text"/>
    <w:basedOn w:val="Normal"/>
    <w:uiPriority w:val="7"/>
    <w:semiHidden/>
    <w:qFormat/>
    <w:rsid w:val="008E0E32"/>
    <w:pPr>
      <w:spacing w:after="0" w:line="180" w:lineRule="atLeast"/>
    </w:pPr>
    <w:rPr>
      <w:rFonts w:ascii="Segoe UI Light" w:hAnsi="Segoe UI Light"/>
      <w:sz w:val="14"/>
      <w:szCs w:val="18"/>
    </w:rPr>
  </w:style>
  <w:style w:type="character" w:styleId="CommentReference">
    <w:name w:val="annotation reference"/>
    <w:basedOn w:val="DefaultParagraphFont"/>
    <w:uiPriority w:val="99"/>
    <w:semiHidden/>
    <w:unhideWhenUsed/>
    <w:rsid w:val="002C5910"/>
    <w:rPr>
      <w:sz w:val="16"/>
      <w:szCs w:val="16"/>
    </w:rPr>
  </w:style>
  <w:style w:type="paragraph" w:styleId="CommentText">
    <w:name w:val="annotation text"/>
    <w:basedOn w:val="Normal"/>
    <w:link w:val="CommentTextChar"/>
    <w:uiPriority w:val="99"/>
    <w:unhideWhenUsed/>
    <w:rsid w:val="002C5910"/>
    <w:pPr>
      <w:spacing w:line="240" w:lineRule="auto"/>
    </w:pPr>
    <w:rPr>
      <w:sz w:val="20"/>
      <w:szCs w:val="20"/>
    </w:rPr>
  </w:style>
  <w:style w:type="character" w:customStyle="1" w:styleId="CommentTextChar">
    <w:name w:val="Comment Text Char"/>
    <w:basedOn w:val="DefaultParagraphFont"/>
    <w:link w:val="CommentText"/>
    <w:uiPriority w:val="99"/>
    <w:rsid w:val="002C5910"/>
    <w:rPr>
      <w:sz w:val="20"/>
      <w:szCs w:val="20"/>
    </w:rPr>
  </w:style>
  <w:style w:type="paragraph" w:styleId="CommentSubject">
    <w:name w:val="annotation subject"/>
    <w:basedOn w:val="CommentText"/>
    <w:next w:val="CommentText"/>
    <w:link w:val="CommentSubjectChar"/>
    <w:uiPriority w:val="99"/>
    <w:semiHidden/>
    <w:unhideWhenUsed/>
    <w:rsid w:val="002C5910"/>
    <w:rPr>
      <w:b/>
      <w:bCs/>
    </w:rPr>
  </w:style>
  <w:style w:type="character" w:customStyle="1" w:styleId="CommentSubjectChar">
    <w:name w:val="Comment Subject Char"/>
    <w:basedOn w:val="CommentTextChar"/>
    <w:link w:val="CommentSubject"/>
    <w:uiPriority w:val="99"/>
    <w:semiHidden/>
    <w:rsid w:val="002C5910"/>
    <w:rPr>
      <w:b/>
      <w:bCs/>
      <w:sz w:val="20"/>
      <w:szCs w:val="20"/>
    </w:rPr>
  </w:style>
  <w:style w:type="paragraph" w:styleId="Subtitle">
    <w:name w:val="Subtitle"/>
    <w:basedOn w:val="Normal"/>
    <w:next w:val="Normal"/>
    <w:link w:val="SubtitleChar"/>
    <w:uiPriority w:val="11"/>
    <w:qFormat/>
    <w:rsid w:val="0086795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67955"/>
    <w:rPr>
      <w:rFonts w:eastAsiaTheme="minorEastAsia"/>
      <w:color w:val="5A5A5A" w:themeColor="text1" w:themeTint="A5"/>
      <w:spacing w:val="15"/>
    </w:rPr>
  </w:style>
  <w:style w:type="character" w:styleId="FollowedHyperlink">
    <w:name w:val="FollowedHyperlink"/>
    <w:basedOn w:val="DefaultParagraphFont"/>
    <w:uiPriority w:val="99"/>
    <w:semiHidden/>
    <w:unhideWhenUsed/>
    <w:rsid w:val="00F122E4"/>
    <w:rPr>
      <w:color w:val="954F72" w:themeColor="followedHyperlink"/>
      <w:u w:val="single"/>
    </w:rPr>
  </w:style>
  <w:style w:type="character" w:styleId="IntenseEmphasis">
    <w:name w:val="Intense Emphasis"/>
    <w:basedOn w:val="DefaultParagraphFont"/>
    <w:uiPriority w:val="21"/>
    <w:qFormat/>
    <w:rsid w:val="00D57082"/>
    <w:rPr>
      <w:i/>
      <w:iCs/>
      <w:color w:val="5B9BD5" w:themeColor="accent1"/>
    </w:rPr>
  </w:style>
  <w:style w:type="paragraph" w:styleId="FootnoteText">
    <w:name w:val="footnote text"/>
    <w:basedOn w:val="Normal"/>
    <w:link w:val="FootnoteTextChar"/>
    <w:uiPriority w:val="99"/>
    <w:semiHidden/>
    <w:unhideWhenUsed/>
    <w:rsid w:val="0080420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0420D"/>
    <w:rPr>
      <w:sz w:val="20"/>
      <w:szCs w:val="20"/>
    </w:rPr>
  </w:style>
  <w:style w:type="character" w:styleId="FootnoteReference">
    <w:name w:val="footnote reference"/>
    <w:basedOn w:val="DefaultParagraphFont"/>
    <w:uiPriority w:val="99"/>
    <w:semiHidden/>
    <w:unhideWhenUsed/>
    <w:rsid w:val="0080420D"/>
    <w:rPr>
      <w:vertAlign w:val="superscript"/>
    </w:rPr>
  </w:style>
  <w:style w:type="paragraph" w:customStyle="1" w:styleId="Addressdetails">
    <w:name w:val="Address details"/>
    <w:basedOn w:val="Normal"/>
    <w:link w:val="AddressdetailsChar"/>
    <w:rsid w:val="003D5D41"/>
    <w:pPr>
      <w:spacing w:before="85" w:after="0" w:line="180" w:lineRule="atLeast"/>
    </w:pPr>
    <w:rPr>
      <w:rFonts w:ascii="Arial" w:eastAsia="Times New Roman" w:hAnsi="Arial" w:cs="Times New Roman"/>
      <w:sz w:val="15"/>
      <w:szCs w:val="24"/>
    </w:rPr>
  </w:style>
  <w:style w:type="character" w:customStyle="1" w:styleId="AddressdetailsChar">
    <w:name w:val="Address details Char"/>
    <w:basedOn w:val="DefaultParagraphFont"/>
    <w:link w:val="Addressdetails"/>
    <w:rsid w:val="003D5D41"/>
    <w:rPr>
      <w:rFonts w:ascii="Arial" w:eastAsia="Times New Roman" w:hAnsi="Arial" w:cs="Times New Roman"/>
      <w:sz w:val="15"/>
      <w:szCs w:val="24"/>
    </w:rPr>
  </w:style>
  <w:style w:type="paragraph" w:customStyle="1" w:styleId="Legalstatement">
    <w:name w:val="Legal statement"/>
    <w:basedOn w:val="Footer"/>
    <w:rsid w:val="003D5D41"/>
    <w:pPr>
      <w:tabs>
        <w:tab w:val="clear" w:pos="4513"/>
        <w:tab w:val="clear" w:pos="9026"/>
        <w:tab w:val="right" w:pos="8222"/>
        <w:tab w:val="right" w:pos="9356"/>
      </w:tabs>
      <w:spacing w:before="120"/>
    </w:pPr>
    <w:rPr>
      <w:rFonts w:ascii="Arial" w:eastAsia="Times New Roman" w:hAnsi="Arial" w:cs="Arial"/>
      <w:color w:val="000000"/>
      <w:sz w:val="15"/>
      <w:szCs w:val="16"/>
    </w:rPr>
  </w:style>
  <w:style w:type="character" w:customStyle="1" w:styleId="Heading3Char">
    <w:name w:val="Heading 3 Char"/>
    <w:basedOn w:val="DefaultParagraphFont"/>
    <w:link w:val="Heading3"/>
    <w:uiPriority w:val="9"/>
    <w:semiHidden/>
    <w:rsid w:val="008D071E"/>
    <w:rPr>
      <w:rFonts w:asciiTheme="majorHAnsi" w:eastAsiaTheme="majorEastAsia" w:hAnsiTheme="majorHAnsi" w:cstheme="majorBidi"/>
      <w:color w:val="1F4D78" w:themeColor="accent1" w:themeShade="7F"/>
      <w:sz w:val="24"/>
      <w:szCs w:val="24"/>
    </w:rPr>
  </w:style>
  <w:style w:type="table" w:customStyle="1" w:styleId="TableGrid2">
    <w:name w:val="Table Grid2"/>
    <w:basedOn w:val="TableNormal"/>
    <w:next w:val="TableGrid"/>
    <w:rsid w:val="00985111"/>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254257">
      <w:bodyDiv w:val="1"/>
      <w:marLeft w:val="0"/>
      <w:marRight w:val="0"/>
      <w:marTop w:val="0"/>
      <w:marBottom w:val="0"/>
      <w:divBdr>
        <w:top w:val="none" w:sz="0" w:space="0" w:color="auto"/>
        <w:left w:val="none" w:sz="0" w:space="0" w:color="auto"/>
        <w:bottom w:val="none" w:sz="0" w:space="0" w:color="auto"/>
        <w:right w:val="none" w:sz="0" w:space="0" w:color="auto"/>
      </w:divBdr>
    </w:div>
    <w:div w:id="30569395">
      <w:bodyDiv w:val="1"/>
      <w:marLeft w:val="0"/>
      <w:marRight w:val="0"/>
      <w:marTop w:val="0"/>
      <w:marBottom w:val="0"/>
      <w:divBdr>
        <w:top w:val="none" w:sz="0" w:space="0" w:color="auto"/>
        <w:left w:val="none" w:sz="0" w:space="0" w:color="auto"/>
        <w:bottom w:val="none" w:sz="0" w:space="0" w:color="auto"/>
        <w:right w:val="none" w:sz="0" w:space="0" w:color="auto"/>
      </w:divBdr>
    </w:div>
    <w:div w:id="63840725">
      <w:bodyDiv w:val="1"/>
      <w:marLeft w:val="0"/>
      <w:marRight w:val="0"/>
      <w:marTop w:val="0"/>
      <w:marBottom w:val="0"/>
      <w:divBdr>
        <w:top w:val="none" w:sz="0" w:space="0" w:color="auto"/>
        <w:left w:val="none" w:sz="0" w:space="0" w:color="auto"/>
        <w:bottom w:val="none" w:sz="0" w:space="0" w:color="auto"/>
        <w:right w:val="none" w:sz="0" w:space="0" w:color="auto"/>
      </w:divBdr>
    </w:div>
    <w:div w:id="897937591">
      <w:bodyDiv w:val="1"/>
      <w:marLeft w:val="0"/>
      <w:marRight w:val="0"/>
      <w:marTop w:val="0"/>
      <w:marBottom w:val="0"/>
      <w:divBdr>
        <w:top w:val="none" w:sz="0" w:space="0" w:color="auto"/>
        <w:left w:val="none" w:sz="0" w:space="0" w:color="auto"/>
        <w:bottom w:val="none" w:sz="0" w:space="0" w:color="auto"/>
        <w:right w:val="none" w:sz="0" w:space="0" w:color="auto"/>
      </w:divBdr>
      <w:divsChild>
        <w:div w:id="300887285">
          <w:marLeft w:val="0"/>
          <w:marRight w:val="0"/>
          <w:marTop w:val="0"/>
          <w:marBottom w:val="0"/>
          <w:divBdr>
            <w:top w:val="none" w:sz="0" w:space="0" w:color="auto"/>
            <w:left w:val="none" w:sz="0" w:space="0" w:color="auto"/>
            <w:bottom w:val="none" w:sz="0" w:space="0" w:color="auto"/>
            <w:right w:val="none" w:sz="0" w:space="0" w:color="auto"/>
          </w:divBdr>
          <w:divsChild>
            <w:div w:id="1577007939">
              <w:marLeft w:val="0"/>
              <w:marRight w:val="0"/>
              <w:marTop w:val="0"/>
              <w:marBottom w:val="0"/>
              <w:divBdr>
                <w:top w:val="none" w:sz="0" w:space="0" w:color="auto"/>
                <w:left w:val="none" w:sz="0" w:space="0" w:color="auto"/>
                <w:bottom w:val="none" w:sz="0" w:space="0" w:color="auto"/>
                <w:right w:val="none" w:sz="0" w:space="0" w:color="auto"/>
              </w:divBdr>
              <w:divsChild>
                <w:div w:id="2001884385">
                  <w:marLeft w:val="0"/>
                  <w:marRight w:val="0"/>
                  <w:marTop w:val="0"/>
                  <w:marBottom w:val="0"/>
                  <w:divBdr>
                    <w:top w:val="none" w:sz="0" w:space="0" w:color="auto"/>
                    <w:left w:val="none" w:sz="0" w:space="0" w:color="auto"/>
                    <w:bottom w:val="none" w:sz="0" w:space="0" w:color="auto"/>
                    <w:right w:val="none" w:sz="0" w:space="0" w:color="auto"/>
                  </w:divBdr>
                  <w:divsChild>
                    <w:div w:id="1915970653">
                      <w:marLeft w:val="0"/>
                      <w:marRight w:val="0"/>
                      <w:marTop w:val="0"/>
                      <w:marBottom w:val="0"/>
                      <w:divBdr>
                        <w:top w:val="none" w:sz="0" w:space="0" w:color="auto"/>
                        <w:left w:val="none" w:sz="0" w:space="0" w:color="auto"/>
                        <w:bottom w:val="none" w:sz="0" w:space="0" w:color="auto"/>
                        <w:right w:val="none" w:sz="0" w:space="0" w:color="auto"/>
                      </w:divBdr>
                      <w:divsChild>
                        <w:div w:id="1822962137">
                          <w:marLeft w:val="0"/>
                          <w:marRight w:val="0"/>
                          <w:marTop w:val="0"/>
                          <w:marBottom w:val="0"/>
                          <w:divBdr>
                            <w:top w:val="none" w:sz="0" w:space="0" w:color="auto"/>
                            <w:left w:val="none" w:sz="0" w:space="0" w:color="auto"/>
                            <w:bottom w:val="none" w:sz="0" w:space="0" w:color="auto"/>
                            <w:right w:val="none" w:sz="0" w:space="0" w:color="auto"/>
                          </w:divBdr>
                          <w:divsChild>
                            <w:div w:id="436142243">
                              <w:marLeft w:val="0"/>
                              <w:marRight w:val="0"/>
                              <w:marTop w:val="0"/>
                              <w:marBottom w:val="0"/>
                              <w:divBdr>
                                <w:top w:val="none" w:sz="0" w:space="0" w:color="auto"/>
                                <w:left w:val="none" w:sz="0" w:space="0" w:color="auto"/>
                                <w:bottom w:val="none" w:sz="0" w:space="0" w:color="auto"/>
                                <w:right w:val="none" w:sz="0" w:space="0" w:color="auto"/>
                              </w:divBdr>
                              <w:divsChild>
                                <w:div w:id="40591290">
                                  <w:marLeft w:val="0"/>
                                  <w:marRight w:val="0"/>
                                  <w:marTop w:val="0"/>
                                  <w:marBottom w:val="0"/>
                                  <w:divBdr>
                                    <w:top w:val="none" w:sz="0" w:space="0" w:color="auto"/>
                                    <w:left w:val="none" w:sz="0" w:space="0" w:color="auto"/>
                                    <w:bottom w:val="none" w:sz="0" w:space="0" w:color="auto"/>
                                    <w:right w:val="none" w:sz="0" w:space="0" w:color="auto"/>
                                  </w:divBdr>
                                  <w:divsChild>
                                    <w:div w:id="780609072">
                                      <w:marLeft w:val="0"/>
                                      <w:marRight w:val="0"/>
                                      <w:marTop w:val="0"/>
                                      <w:marBottom w:val="0"/>
                                      <w:divBdr>
                                        <w:top w:val="none" w:sz="0" w:space="0" w:color="auto"/>
                                        <w:left w:val="none" w:sz="0" w:space="0" w:color="auto"/>
                                        <w:bottom w:val="none" w:sz="0" w:space="0" w:color="auto"/>
                                        <w:right w:val="none" w:sz="0" w:space="0" w:color="auto"/>
                                      </w:divBdr>
                                      <w:divsChild>
                                        <w:div w:id="80716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15358381">
      <w:bodyDiv w:val="1"/>
      <w:marLeft w:val="0"/>
      <w:marRight w:val="0"/>
      <w:marTop w:val="0"/>
      <w:marBottom w:val="0"/>
      <w:divBdr>
        <w:top w:val="none" w:sz="0" w:space="0" w:color="auto"/>
        <w:left w:val="none" w:sz="0" w:space="0" w:color="auto"/>
        <w:bottom w:val="none" w:sz="0" w:space="0" w:color="auto"/>
        <w:right w:val="none" w:sz="0" w:space="0" w:color="auto"/>
      </w:divBdr>
    </w:div>
    <w:div w:id="1117874125">
      <w:bodyDiv w:val="1"/>
      <w:marLeft w:val="0"/>
      <w:marRight w:val="0"/>
      <w:marTop w:val="0"/>
      <w:marBottom w:val="0"/>
      <w:divBdr>
        <w:top w:val="none" w:sz="0" w:space="0" w:color="auto"/>
        <w:left w:val="none" w:sz="0" w:space="0" w:color="auto"/>
        <w:bottom w:val="none" w:sz="0" w:space="0" w:color="auto"/>
        <w:right w:val="none" w:sz="0" w:space="0" w:color="auto"/>
      </w:divBdr>
    </w:div>
    <w:div w:id="1325861332">
      <w:bodyDiv w:val="1"/>
      <w:marLeft w:val="0"/>
      <w:marRight w:val="0"/>
      <w:marTop w:val="0"/>
      <w:marBottom w:val="0"/>
      <w:divBdr>
        <w:top w:val="none" w:sz="0" w:space="0" w:color="auto"/>
        <w:left w:val="none" w:sz="0" w:space="0" w:color="auto"/>
        <w:bottom w:val="none" w:sz="0" w:space="0" w:color="auto"/>
        <w:right w:val="none" w:sz="0" w:space="0" w:color="auto"/>
      </w:divBdr>
      <w:divsChild>
        <w:div w:id="658577562">
          <w:marLeft w:val="0"/>
          <w:marRight w:val="0"/>
          <w:marTop w:val="0"/>
          <w:marBottom w:val="0"/>
          <w:divBdr>
            <w:top w:val="none" w:sz="0" w:space="0" w:color="auto"/>
            <w:left w:val="none" w:sz="0" w:space="0" w:color="auto"/>
            <w:bottom w:val="none" w:sz="0" w:space="0" w:color="auto"/>
            <w:right w:val="none" w:sz="0" w:space="0" w:color="auto"/>
          </w:divBdr>
          <w:divsChild>
            <w:div w:id="154077282">
              <w:marLeft w:val="0"/>
              <w:marRight w:val="0"/>
              <w:marTop w:val="0"/>
              <w:marBottom w:val="0"/>
              <w:divBdr>
                <w:top w:val="none" w:sz="0" w:space="0" w:color="auto"/>
                <w:left w:val="none" w:sz="0" w:space="0" w:color="auto"/>
                <w:bottom w:val="none" w:sz="0" w:space="0" w:color="auto"/>
                <w:right w:val="none" w:sz="0" w:space="0" w:color="auto"/>
              </w:divBdr>
              <w:divsChild>
                <w:div w:id="1836262696">
                  <w:marLeft w:val="0"/>
                  <w:marRight w:val="0"/>
                  <w:marTop w:val="0"/>
                  <w:marBottom w:val="0"/>
                  <w:divBdr>
                    <w:top w:val="none" w:sz="0" w:space="0" w:color="auto"/>
                    <w:left w:val="none" w:sz="0" w:space="0" w:color="auto"/>
                    <w:bottom w:val="none" w:sz="0" w:space="0" w:color="auto"/>
                    <w:right w:val="none" w:sz="0" w:space="0" w:color="auto"/>
                  </w:divBdr>
                  <w:divsChild>
                    <w:div w:id="1761368300">
                      <w:marLeft w:val="0"/>
                      <w:marRight w:val="0"/>
                      <w:marTop w:val="0"/>
                      <w:marBottom w:val="0"/>
                      <w:divBdr>
                        <w:top w:val="none" w:sz="0" w:space="0" w:color="auto"/>
                        <w:left w:val="none" w:sz="0" w:space="0" w:color="auto"/>
                        <w:bottom w:val="none" w:sz="0" w:space="0" w:color="auto"/>
                        <w:right w:val="none" w:sz="0" w:space="0" w:color="auto"/>
                      </w:divBdr>
                      <w:divsChild>
                        <w:div w:id="182785445">
                          <w:marLeft w:val="0"/>
                          <w:marRight w:val="0"/>
                          <w:marTop w:val="0"/>
                          <w:marBottom w:val="0"/>
                          <w:divBdr>
                            <w:top w:val="none" w:sz="0" w:space="0" w:color="auto"/>
                            <w:left w:val="none" w:sz="0" w:space="0" w:color="auto"/>
                            <w:bottom w:val="none" w:sz="0" w:space="0" w:color="auto"/>
                            <w:right w:val="none" w:sz="0" w:space="0" w:color="auto"/>
                          </w:divBdr>
                          <w:divsChild>
                            <w:div w:id="968167599">
                              <w:marLeft w:val="0"/>
                              <w:marRight w:val="0"/>
                              <w:marTop w:val="0"/>
                              <w:marBottom w:val="0"/>
                              <w:divBdr>
                                <w:top w:val="none" w:sz="0" w:space="0" w:color="auto"/>
                                <w:left w:val="none" w:sz="0" w:space="0" w:color="auto"/>
                                <w:bottom w:val="none" w:sz="0" w:space="0" w:color="auto"/>
                                <w:right w:val="none" w:sz="0" w:space="0" w:color="auto"/>
                              </w:divBdr>
                              <w:divsChild>
                                <w:div w:id="1410228993">
                                  <w:marLeft w:val="0"/>
                                  <w:marRight w:val="0"/>
                                  <w:marTop w:val="0"/>
                                  <w:marBottom w:val="0"/>
                                  <w:divBdr>
                                    <w:top w:val="none" w:sz="0" w:space="0" w:color="auto"/>
                                    <w:left w:val="none" w:sz="0" w:space="0" w:color="auto"/>
                                    <w:bottom w:val="none" w:sz="0" w:space="0" w:color="auto"/>
                                    <w:right w:val="none" w:sz="0" w:space="0" w:color="auto"/>
                                  </w:divBdr>
                                  <w:divsChild>
                                    <w:div w:id="472794526">
                                      <w:marLeft w:val="0"/>
                                      <w:marRight w:val="0"/>
                                      <w:marTop w:val="0"/>
                                      <w:marBottom w:val="0"/>
                                      <w:divBdr>
                                        <w:top w:val="none" w:sz="0" w:space="0" w:color="auto"/>
                                        <w:left w:val="none" w:sz="0" w:space="0" w:color="auto"/>
                                        <w:bottom w:val="none" w:sz="0" w:space="0" w:color="auto"/>
                                        <w:right w:val="none" w:sz="0" w:space="0" w:color="auto"/>
                                      </w:divBdr>
                                      <w:divsChild>
                                        <w:div w:id="80624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7390463">
      <w:bodyDiv w:val="1"/>
      <w:marLeft w:val="0"/>
      <w:marRight w:val="0"/>
      <w:marTop w:val="0"/>
      <w:marBottom w:val="0"/>
      <w:divBdr>
        <w:top w:val="none" w:sz="0" w:space="0" w:color="auto"/>
        <w:left w:val="none" w:sz="0" w:space="0" w:color="auto"/>
        <w:bottom w:val="none" w:sz="0" w:space="0" w:color="auto"/>
        <w:right w:val="none" w:sz="0" w:space="0" w:color="auto"/>
      </w:divBdr>
      <w:divsChild>
        <w:div w:id="1933706980">
          <w:marLeft w:val="0"/>
          <w:marRight w:val="0"/>
          <w:marTop w:val="0"/>
          <w:marBottom w:val="0"/>
          <w:divBdr>
            <w:top w:val="none" w:sz="0" w:space="0" w:color="auto"/>
            <w:left w:val="none" w:sz="0" w:space="0" w:color="auto"/>
            <w:bottom w:val="none" w:sz="0" w:space="0" w:color="auto"/>
            <w:right w:val="none" w:sz="0" w:space="0" w:color="auto"/>
          </w:divBdr>
          <w:divsChild>
            <w:div w:id="1483277375">
              <w:marLeft w:val="0"/>
              <w:marRight w:val="0"/>
              <w:marTop w:val="0"/>
              <w:marBottom w:val="0"/>
              <w:divBdr>
                <w:top w:val="none" w:sz="0" w:space="0" w:color="auto"/>
                <w:left w:val="none" w:sz="0" w:space="0" w:color="auto"/>
                <w:bottom w:val="none" w:sz="0" w:space="0" w:color="auto"/>
                <w:right w:val="none" w:sz="0" w:space="0" w:color="auto"/>
              </w:divBdr>
              <w:divsChild>
                <w:div w:id="1398625411">
                  <w:marLeft w:val="0"/>
                  <w:marRight w:val="0"/>
                  <w:marTop w:val="0"/>
                  <w:marBottom w:val="0"/>
                  <w:divBdr>
                    <w:top w:val="none" w:sz="0" w:space="0" w:color="auto"/>
                    <w:left w:val="none" w:sz="0" w:space="0" w:color="auto"/>
                    <w:bottom w:val="none" w:sz="0" w:space="0" w:color="auto"/>
                    <w:right w:val="none" w:sz="0" w:space="0" w:color="auto"/>
                  </w:divBdr>
                  <w:divsChild>
                    <w:div w:id="613515095">
                      <w:marLeft w:val="0"/>
                      <w:marRight w:val="0"/>
                      <w:marTop w:val="0"/>
                      <w:marBottom w:val="0"/>
                      <w:divBdr>
                        <w:top w:val="none" w:sz="0" w:space="0" w:color="auto"/>
                        <w:left w:val="none" w:sz="0" w:space="0" w:color="auto"/>
                        <w:bottom w:val="none" w:sz="0" w:space="0" w:color="auto"/>
                        <w:right w:val="none" w:sz="0" w:space="0" w:color="auto"/>
                      </w:divBdr>
                      <w:divsChild>
                        <w:div w:id="233786958">
                          <w:marLeft w:val="0"/>
                          <w:marRight w:val="0"/>
                          <w:marTop w:val="0"/>
                          <w:marBottom w:val="0"/>
                          <w:divBdr>
                            <w:top w:val="none" w:sz="0" w:space="0" w:color="auto"/>
                            <w:left w:val="none" w:sz="0" w:space="0" w:color="auto"/>
                            <w:bottom w:val="none" w:sz="0" w:space="0" w:color="auto"/>
                            <w:right w:val="none" w:sz="0" w:space="0" w:color="auto"/>
                          </w:divBdr>
                          <w:divsChild>
                            <w:div w:id="697269274">
                              <w:marLeft w:val="0"/>
                              <w:marRight w:val="0"/>
                              <w:marTop w:val="0"/>
                              <w:marBottom w:val="0"/>
                              <w:divBdr>
                                <w:top w:val="none" w:sz="0" w:space="0" w:color="auto"/>
                                <w:left w:val="none" w:sz="0" w:space="0" w:color="auto"/>
                                <w:bottom w:val="none" w:sz="0" w:space="0" w:color="auto"/>
                                <w:right w:val="none" w:sz="0" w:space="0" w:color="auto"/>
                              </w:divBdr>
                              <w:divsChild>
                                <w:div w:id="2009669195">
                                  <w:marLeft w:val="0"/>
                                  <w:marRight w:val="0"/>
                                  <w:marTop w:val="0"/>
                                  <w:marBottom w:val="0"/>
                                  <w:divBdr>
                                    <w:top w:val="none" w:sz="0" w:space="0" w:color="auto"/>
                                    <w:left w:val="none" w:sz="0" w:space="0" w:color="auto"/>
                                    <w:bottom w:val="none" w:sz="0" w:space="0" w:color="auto"/>
                                    <w:right w:val="none" w:sz="0" w:space="0" w:color="auto"/>
                                  </w:divBdr>
                                  <w:divsChild>
                                    <w:div w:id="63381793">
                                      <w:marLeft w:val="0"/>
                                      <w:marRight w:val="0"/>
                                      <w:marTop w:val="0"/>
                                      <w:marBottom w:val="0"/>
                                      <w:divBdr>
                                        <w:top w:val="none" w:sz="0" w:space="0" w:color="auto"/>
                                        <w:left w:val="none" w:sz="0" w:space="0" w:color="auto"/>
                                        <w:bottom w:val="none" w:sz="0" w:space="0" w:color="auto"/>
                                        <w:right w:val="none" w:sz="0" w:space="0" w:color="auto"/>
                                      </w:divBdr>
                                      <w:divsChild>
                                        <w:div w:id="128693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9812001">
      <w:bodyDiv w:val="1"/>
      <w:marLeft w:val="0"/>
      <w:marRight w:val="0"/>
      <w:marTop w:val="0"/>
      <w:marBottom w:val="0"/>
      <w:divBdr>
        <w:top w:val="none" w:sz="0" w:space="0" w:color="auto"/>
        <w:left w:val="none" w:sz="0" w:space="0" w:color="auto"/>
        <w:bottom w:val="none" w:sz="0" w:space="0" w:color="auto"/>
        <w:right w:val="none" w:sz="0" w:space="0" w:color="auto"/>
      </w:divBdr>
    </w:div>
    <w:div w:id="1745905746">
      <w:bodyDiv w:val="1"/>
      <w:marLeft w:val="0"/>
      <w:marRight w:val="0"/>
      <w:marTop w:val="0"/>
      <w:marBottom w:val="0"/>
      <w:divBdr>
        <w:top w:val="none" w:sz="0" w:space="0" w:color="auto"/>
        <w:left w:val="none" w:sz="0" w:space="0" w:color="auto"/>
        <w:bottom w:val="none" w:sz="0" w:space="0" w:color="auto"/>
        <w:right w:val="none" w:sz="0" w:space="0" w:color="auto"/>
      </w:divBdr>
    </w:div>
    <w:div w:id="2007586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eader" Target="header5.xm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header" Target="header4.xml"/><Relationship Id="rId25" Type="http://schemas.openxmlformats.org/officeDocument/2006/relationships/header" Target="header12.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7.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1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10.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eader" Target="header9.xml"/><Relationship Id="rId27" Type="http://schemas.openxmlformats.org/officeDocument/2006/relationships/hyperlink" Target="http://www.deloitte.com.au"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3B226B-FE53-4956-8044-045B58688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15</Pages>
  <Words>4444</Words>
  <Characters>25336</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Deloitte Touche Tohmatsu Services, Inc.</Company>
  <LinksUpToDate>false</LinksUpToDate>
  <CharactersWithSpaces>29721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Iyer, Samantha (AU - Canberra)</dc:creator>
  <cp:lastModifiedBy>Cornes Sarah</cp:lastModifiedBy>
  <cp:revision>5</cp:revision>
  <cp:lastPrinted>2018-08-20T04:48:00Z</cp:lastPrinted>
  <dcterms:created xsi:type="dcterms:W3CDTF">2018-08-20T04:15:00Z</dcterms:created>
  <dcterms:modified xsi:type="dcterms:W3CDTF">2018-12-05T04:29:00Z</dcterms:modified>
</cp:coreProperties>
</file>