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E0D9" w14:textId="77777777" w:rsidR="00BC1F78" w:rsidRPr="00DD7D17" w:rsidRDefault="00BC1F78" w:rsidP="00AC4ADA">
      <w:pPr>
        <w:pStyle w:val="Title"/>
      </w:pPr>
      <w:r w:rsidRPr="00DD7D17">
        <w:t>Ministerial Policy Guideline</w:t>
      </w:r>
    </w:p>
    <w:p w14:paraId="1C7CB96E" w14:textId="77777777" w:rsidR="00FC1F02" w:rsidRPr="00DD7D17" w:rsidRDefault="00FC1F02" w:rsidP="00AC4ADA">
      <w:pPr>
        <w:pStyle w:val="Title"/>
      </w:pPr>
      <w:r w:rsidRPr="00DD7D17">
        <w:t>Regulatory Management of Caffeine in the Food Supply</w:t>
      </w:r>
    </w:p>
    <w:p w14:paraId="77E26735" w14:textId="77777777" w:rsidR="00BC1F78" w:rsidRPr="00DD7D17" w:rsidRDefault="00BC1F78" w:rsidP="00DD7D17">
      <w:pPr>
        <w:tabs>
          <w:tab w:val="left" w:pos="567"/>
        </w:tabs>
        <w:spacing w:after="120"/>
        <w:ind w:left="567" w:hanging="567"/>
        <w:rPr>
          <w:rFonts w:cs="Arial"/>
        </w:rPr>
      </w:pPr>
    </w:p>
    <w:p w14:paraId="439E4993" w14:textId="77777777" w:rsidR="00FC1F02" w:rsidRPr="00DD7D17" w:rsidRDefault="00DD7D17" w:rsidP="00AC4ADA">
      <w:pPr>
        <w:pStyle w:val="Heading1"/>
      </w:pPr>
      <w:r>
        <w:t>SCOPE/</w:t>
      </w:r>
      <w:r w:rsidRPr="00AC4ADA">
        <w:t>AIM</w:t>
      </w:r>
    </w:p>
    <w:p w14:paraId="27005861" w14:textId="77777777" w:rsidR="007066B1" w:rsidRDefault="007066B1" w:rsidP="007066B1">
      <w:pPr>
        <w:tabs>
          <w:tab w:val="left" w:pos="567"/>
        </w:tabs>
        <w:rPr>
          <w:rFonts w:cs="Arial"/>
        </w:rPr>
      </w:pPr>
      <w:r w:rsidRPr="00DD7D17">
        <w:rPr>
          <w:rFonts w:cs="Arial"/>
        </w:rPr>
        <w:t>This Policy Guideline provides guidance on the expectations of the Legislative and Governance Forum on Food Regulation (convening as the Australia and New Zealand Food Regulation Ministerial Council) for the regulatory management of caffeine in the food supply.</w:t>
      </w:r>
    </w:p>
    <w:p w14:paraId="0E6B292A" w14:textId="77777777" w:rsidR="00DD7D17" w:rsidRPr="00DD7D17" w:rsidRDefault="00DD7D17" w:rsidP="00DD7D17">
      <w:pPr>
        <w:tabs>
          <w:tab w:val="left" w:pos="567"/>
        </w:tabs>
        <w:rPr>
          <w:rFonts w:cs="Arial"/>
        </w:rPr>
      </w:pPr>
    </w:p>
    <w:p w14:paraId="4016E8AE" w14:textId="77777777" w:rsidR="00FC1F02" w:rsidRPr="00DD7D17" w:rsidRDefault="00DD7D17" w:rsidP="00AC4ADA">
      <w:pPr>
        <w:pStyle w:val="Heading1"/>
      </w:pPr>
      <w:r>
        <w:t xml:space="preserve">HIGH ORDER POLICY </w:t>
      </w:r>
      <w:r w:rsidRPr="00AC4ADA">
        <w:t>PRINCIPLES</w:t>
      </w:r>
    </w:p>
    <w:p w14:paraId="7778D55A" w14:textId="77777777" w:rsidR="007066B1" w:rsidRDefault="007066B1" w:rsidP="007066B1">
      <w:pPr>
        <w:tabs>
          <w:tab w:val="left" w:pos="567"/>
        </w:tabs>
        <w:rPr>
          <w:rFonts w:cs="Arial"/>
        </w:rPr>
      </w:pPr>
      <w:r w:rsidRPr="00DD7D17">
        <w:rPr>
          <w:rFonts w:cs="Arial"/>
        </w:rPr>
        <w:t xml:space="preserve">The Food Standards Australia New Zealand (FSANZ) Act 1991 establishes </w:t>
      </w:r>
      <w:proofErr w:type="gramStart"/>
      <w:r w:rsidRPr="00DD7D17">
        <w:rPr>
          <w:rFonts w:cs="Arial"/>
        </w:rPr>
        <w:t>a number of</w:t>
      </w:r>
      <w:proofErr w:type="gramEnd"/>
      <w:r w:rsidRPr="00DD7D17">
        <w:rPr>
          <w:rFonts w:cs="Arial"/>
        </w:rPr>
        <w:t xml:space="preserve"> objectives for FSANZ in developing or reviewing of food standards (section 18 of the FSANZ Act).</w:t>
      </w:r>
    </w:p>
    <w:p w14:paraId="719DD0EF" w14:textId="77777777" w:rsidR="007066B1" w:rsidRPr="00DD7D17" w:rsidRDefault="007066B1" w:rsidP="007066B1">
      <w:pPr>
        <w:tabs>
          <w:tab w:val="left" w:pos="567"/>
        </w:tabs>
        <w:rPr>
          <w:rFonts w:cs="Arial"/>
        </w:rPr>
      </w:pPr>
    </w:p>
    <w:p w14:paraId="4E6548C0" w14:textId="77777777" w:rsidR="007066B1" w:rsidRPr="00DD7D17" w:rsidRDefault="007066B1" w:rsidP="007066B1">
      <w:pPr>
        <w:tabs>
          <w:tab w:val="left" w:pos="567"/>
        </w:tabs>
        <w:spacing w:after="120"/>
        <w:rPr>
          <w:rFonts w:cs="Arial"/>
        </w:rPr>
      </w:pPr>
      <w:r w:rsidRPr="00DD7D17">
        <w:rPr>
          <w:rFonts w:cs="Arial"/>
        </w:rPr>
        <w:t xml:space="preserve">The FSANZ Act states that the objectives (in descending priority order) of the Authority in developing or reviewing food regulatory measures and variations of food regulatory measures are: </w:t>
      </w:r>
    </w:p>
    <w:p w14:paraId="1EA4C532" w14:textId="77777777" w:rsidR="007066B1" w:rsidRPr="00684265" w:rsidRDefault="007066B1" w:rsidP="007066B1">
      <w:pPr>
        <w:pStyle w:val="ListParagraph"/>
        <w:numPr>
          <w:ilvl w:val="0"/>
          <w:numId w:val="4"/>
        </w:numPr>
        <w:tabs>
          <w:tab w:val="left" w:pos="567"/>
        </w:tabs>
        <w:spacing w:after="120"/>
        <w:ind w:left="567" w:hanging="567"/>
        <w:contextualSpacing w:val="0"/>
        <w:rPr>
          <w:rFonts w:cs="Arial"/>
        </w:rPr>
      </w:pPr>
      <w:r w:rsidRPr="00684265">
        <w:rPr>
          <w:rFonts w:cs="Arial"/>
        </w:rPr>
        <w:t>the protection of public health and safety; and</w:t>
      </w:r>
    </w:p>
    <w:p w14:paraId="322DC1AB" w14:textId="77777777" w:rsidR="007066B1" w:rsidRPr="00684265" w:rsidRDefault="007066B1" w:rsidP="007066B1">
      <w:pPr>
        <w:pStyle w:val="ListParagraph"/>
        <w:numPr>
          <w:ilvl w:val="0"/>
          <w:numId w:val="4"/>
        </w:numPr>
        <w:tabs>
          <w:tab w:val="left" w:pos="567"/>
        </w:tabs>
        <w:spacing w:after="120"/>
        <w:ind w:left="567" w:hanging="567"/>
        <w:contextualSpacing w:val="0"/>
        <w:rPr>
          <w:rFonts w:cs="Arial"/>
        </w:rPr>
      </w:pPr>
      <w:r w:rsidRPr="00684265">
        <w:rPr>
          <w:rFonts w:cs="Arial"/>
        </w:rPr>
        <w:t>the provision of adequate information relating to food to enable consumers to make informed choices; and</w:t>
      </w:r>
    </w:p>
    <w:p w14:paraId="206B80EF" w14:textId="77777777" w:rsidR="007066B1" w:rsidRPr="00684265" w:rsidRDefault="007066B1" w:rsidP="007066B1">
      <w:pPr>
        <w:pStyle w:val="ListParagraph"/>
        <w:numPr>
          <w:ilvl w:val="0"/>
          <w:numId w:val="4"/>
        </w:numPr>
        <w:tabs>
          <w:tab w:val="left" w:pos="567"/>
        </w:tabs>
        <w:spacing w:after="120"/>
        <w:ind w:left="567" w:hanging="567"/>
        <w:contextualSpacing w:val="0"/>
        <w:rPr>
          <w:rFonts w:cs="Arial"/>
        </w:rPr>
      </w:pPr>
      <w:r w:rsidRPr="00684265">
        <w:rPr>
          <w:rFonts w:cs="Arial"/>
        </w:rPr>
        <w:t xml:space="preserve">the prevention of misleading or deceptive conduct. </w:t>
      </w:r>
    </w:p>
    <w:p w14:paraId="573E130F" w14:textId="77777777" w:rsidR="007066B1" w:rsidRPr="00DD7D17" w:rsidRDefault="007066B1" w:rsidP="007066B1">
      <w:pPr>
        <w:tabs>
          <w:tab w:val="left" w:pos="567"/>
        </w:tabs>
        <w:spacing w:after="120"/>
        <w:rPr>
          <w:rFonts w:cs="Arial"/>
        </w:rPr>
      </w:pPr>
      <w:r w:rsidRPr="00DD7D17">
        <w:rPr>
          <w:rFonts w:cs="Arial"/>
        </w:rPr>
        <w:t xml:space="preserve">The FSANZ Act states that in developing or reviewing food regulatory measures and variations of food regulatory measures, the Authority must also have regard to the following: </w:t>
      </w:r>
    </w:p>
    <w:p w14:paraId="036E162C" w14:textId="77777777" w:rsidR="007066B1" w:rsidRPr="00684265" w:rsidRDefault="007066B1" w:rsidP="007066B1">
      <w:pPr>
        <w:pStyle w:val="ListParagraph"/>
        <w:numPr>
          <w:ilvl w:val="0"/>
          <w:numId w:val="6"/>
        </w:numPr>
        <w:tabs>
          <w:tab w:val="left" w:pos="567"/>
        </w:tabs>
        <w:spacing w:after="120"/>
        <w:ind w:left="567" w:hanging="567"/>
        <w:contextualSpacing w:val="0"/>
        <w:rPr>
          <w:rFonts w:cs="Arial"/>
        </w:rPr>
      </w:pPr>
      <w:r w:rsidRPr="00684265">
        <w:rPr>
          <w:rFonts w:cs="Arial"/>
        </w:rPr>
        <w:t xml:space="preserve">the need for standards to be based on risk analysis using the best available scientific </w:t>
      </w:r>
      <w:proofErr w:type="gramStart"/>
      <w:r w:rsidRPr="00684265">
        <w:rPr>
          <w:rFonts w:cs="Arial"/>
        </w:rPr>
        <w:t>evidence;</w:t>
      </w:r>
      <w:proofErr w:type="gramEnd"/>
    </w:p>
    <w:p w14:paraId="315542CB" w14:textId="77777777" w:rsidR="007066B1" w:rsidRPr="00684265" w:rsidRDefault="007066B1" w:rsidP="007066B1">
      <w:pPr>
        <w:pStyle w:val="ListParagraph"/>
        <w:numPr>
          <w:ilvl w:val="0"/>
          <w:numId w:val="6"/>
        </w:numPr>
        <w:tabs>
          <w:tab w:val="left" w:pos="567"/>
        </w:tabs>
        <w:spacing w:after="120"/>
        <w:ind w:left="567" w:hanging="567"/>
        <w:contextualSpacing w:val="0"/>
        <w:rPr>
          <w:rFonts w:cs="Arial"/>
        </w:rPr>
      </w:pPr>
      <w:r w:rsidRPr="00684265">
        <w:rPr>
          <w:rFonts w:cs="Arial"/>
        </w:rPr>
        <w:t xml:space="preserve">the promotion of consistency between domestic and international food </w:t>
      </w:r>
      <w:proofErr w:type="gramStart"/>
      <w:r w:rsidRPr="00684265">
        <w:rPr>
          <w:rFonts w:cs="Arial"/>
        </w:rPr>
        <w:t>standards;</w:t>
      </w:r>
      <w:proofErr w:type="gramEnd"/>
    </w:p>
    <w:p w14:paraId="2EF0310D" w14:textId="77777777" w:rsidR="007066B1" w:rsidRPr="00684265" w:rsidRDefault="007066B1" w:rsidP="007066B1">
      <w:pPr>
        <w:pStyle w:val="ListParagraph"/>
        <w:numPr>
          <w:ilvl w:val="0"/>
          <w:numId w:val="6"/>
        </w:numPr>
        <w:tabs>
          <w:tab w:val="left" w:pos="567"/>
        </w:tabs>
        <w:spacing w:after="120"/>
        <w:ind w:left="567" w:hanging="567"/>
        <w:contextualSpacing w:val="0"/>
        <w:rPr>
          <w:rFonts w:cs="Arial"/>
        </w:rPr>
      </w:pPr>
      <w:r w:rsidRPr="00684265">
        <w:rPr>
          <w:rFonts w:cs="Arial"/>
        </w:rPr>
        <w:t xml:space="preserve">the desirability of an efficient and internationally competitive food </w:t>
      </w:r>
      <w:proofErr w:type="gramStart"/>
      <w:r w:rsidRPr="00684265">
        <w:rPr>
          <w:rFonts w:cs="Arial"/>
        </w:rPr>
        <w:t>industry;</w:t>
      </w:r>
      <w:proofErr w:type="gramEnd"/>
    </w:p>
    <w:p w14:paraId="4F968841" w14:textId="77777777" w:rsidR="007066B1" w:rsidRPr="00684265" w:rsidRDefault="007066B1" w:rsidP="007066B1">
      <w:pPr>
        <w:pStyle w:val="ListParagraph"/>
        <w:numPr>
          <w:ilvl w:val="0"/>
          <w:numId w:val="6"/>
        </w:numPr>
        <w:tabs>
          <w:tab w:val="left" w:pos="567"/>
        </w:tabs>
        <w:spacing w:after="120"/>
        <w:ind w:left="567" w:hanging="567"/>
        <w:contextualSpacing w:val="0"/>
        <w:rPr>
          <w:rFonts w:cs="Arial"/>
        </w:rPr>
      </w:pPr>
      <w:r w:rsidRPr="00684265">
        <w:rPr>
          <w:rFonts w:cs="Arial"/>
        </w:rPr>
        <w:t xml:space="preserve">the promotion of fair trading in </w:t>
      </w:r>
      <w:proofErr w:type="gramStart"/>
      <w:r w:rsidRPr="00684265">
        <w:rPr>
          <w:rFonts w:cs="Arial"/>
        </w:rPr>
        <w:t>food;</w:t>
      </w:r>
      <w:proofErr w:type="gramEnd"/>
    </w:p>
    <w:p w14:paraId="5CF5F8DB" w14:textId="77777777" w:rsidR="007066B1" w:rsidRPr="00684265" w:rsidRDefault="007066B1" w:rsidP="007066B1">
      <w:pPr>
        <w:pStyle w:val="ListParagraph"/>
        <w:numPr>
          <w:ilvl w:val="0"/>
          <w:numId w:val="6"/>
        </w:numPr>
        <w:tabs>
          <w:tab w:val="left" w:pos="567"/>
        </w:tabs>
        <w:spacing w:after="120"/>
        <w:ind w:left="567" w:hanging="567"/>
        <w:contextualSpacing w:val="0"/>
        <w:rPr>
          <w:rFonts w:cs="Arial"/>
        </w:rPr>
      </w:pPr>
      <w:r w:rsidRPr="00684265">
        <w:rPr>
          <w:rFonts w:cs="Arial"/>
        </w:rPr>
        <w:t xml:space="preserve">any written policy guidelines formulated by the Australian and New Zealand Food Regulation Ministerial Council (that was established by the Food Regulations Agreement in 2000). </w:t>
      </w:r>
    </w:p>
    <w:p w14:paraId="6358E231" w14:textId="77777777" w:rsidR="007066B1" w:rsidRPr="00DD7D17" w:rsidRDefault="007066B1" w:rsidP="007066B1">
      <w:pPr>
        <w:tabs>
          <w:tab w:val="left" w:pos="567"/>
        </w:tabs>
        <w:spacing w:after="120"/>
        <w:ind w:left="567" w:hanging="567"/>
        <w:rPr>
          <w:rFonts w:cs="Arial"/>
        </w:rPr>
      </w:pPr>
      <w:r w:rsidRPr="00DD7D17">
        <w:rPr>
          <w:rFonts w:cs="Arial"/>
        </w:rPr>
        <w:t xml:space="preserve">These objectives apply to the regulatory management of caffeine in the food supply. </w:t>
      </w:r>
    </w:p>
    <w:p w14:paraId="63EA5C92" w14:textId="77777777" w:rsidR="007066B1" w:rsidRPr="00DD7D17" w:rsidRDefault="007066B1" w:rsidP="007066B1">
      <w:pPr>
        <w:tabs>
          <w:tab w:val="left" w:pos="567"/>
        </w:tabs>
        <w:spacing w:after="120"/>
        <w:ind w:left="567" w:hanging="567"/>
        <w:rPr>
          <w:rFonts w:cs="Arial"/>
        </w:rPr>
      </w:pPr>
      <w:proofErr w:type="gramStart"/>
      <w:r w:rsidRPr="00DD7D17">
        <w:rPr>
          <w:rFonts w:cs="Arial"/>
        </w:rPr>
        <w:t>A number of</w:t>
      </w:r>
      <w:proofErr w:type="gramEnd"/>
      <w:r w:rsidRPr="00DD7D17">
        <w:rPr>
          <w:rFonts w:cs="Arial"/>
        </w:rPr>
        <w:t xml:space="preserve"> other policies and principles are also relevant, including: </w:t>
      </w:r>
    </w:p>
    <w:p w14:paraId="30EE4706" w14:textId="77777777" w:rsidR="007066B1" w:rsidRPr="00CD6DB4" w:rsidRDefault="007066B1" w:rsidP="007066B1">
      <w:pPr>
        <w:pStyle w:val="ListParagraph"/>
        <w:numPr>
          <w:ilvl w:val="0"/>
          <w:numId w:val="3"/>
        </w:numPr>
        <w:tabs>
          <w:tab w:val="left" w:pos="567"/>
        </w:tabs>
        <w:spacing w:after="120"/>
        <w:ind w:left="567" w:hanging="567"/>
        <w:contextualSpacing w:val="0"/>
        <w:rPr>
          <w:rFonts w:cs="Arial"/>
        </w:rPr>
      </w:pPr>
      <w:r w:rsidRPr="00CD6DB4">
        <w:rPr>
          <w:rFonts w:cs="Arial"/>
        </w:rPr>
        <w:t xml:space="preserve">the Council </w:t>
      </w:r>
      <w:proofErr w:type="gramStart"/>
      <w:r w:rsidRPr="00CD6DB4">
        <w:rPr>
          <w:rFonts w:cs="Arial"/>
        </w:rPr>
        <w:t>Of</w:t>
      </w:r>
      <w:proofErr w:type="gramEnd"/>
      <w:r w:rsidRPr="00CD6DB4">
        <w:rPr>
          <w:rFonts w:cs="Arial"/>
        </w:rPr>
        <w:t xml:space="preserve"> Australian Governments document ‘Principles and Guidelines for National Standard Setting and Regulatory Action by Australia and New Zealand Food  Regulatory Ministerial Council and Standard Setting Bodies (1995, amended 1997) (Australia only);</w:t>
      </w:r>
    </w:p>
    <w:p w14:paraId="40277FEE"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 xml:space="preserve">The Office of Best Practice Regulation’s Principles of Best Practice Regulation and Best Practice Regulation </w:t>
      </w:r>
      <w:proofErr w:type="gramStart"/>
      <w:r w:rsidRPr="00DD7D17">
        <w:rPr>
          <w:rFonts w:cs="Arial"/>
        </w:rPr>
        <w:t>Handbook;</w:t>
      </w:r>
      <w:proofErr w:type="gramEnd"/>
    </w:p>
    <w:p w14:paraId="4663A3A1"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New Zealand Code of Good Regulatory Practice (November 1997</w:t>
      </w:r>
      <w:proofErr w:type="gramStart"/>
      <w:r w:rsidRPr="00DD7D17">
        <w:rPr>
          <w:rFonts w:cs="Arial"/>
        </w:rPr>
        <w:t>);</w:t>
      </w:r>
      <w:proofErr w:type="gramEnd"/>
      <w:r w:rsidRPr="00DD7D17">
        <w:rPr>
          <w:rFonts w:cs="Arial"/>
        </w:rPr>
        <w:t xml:space="preserve"> </w:t>
      </w:r>
    </w:p>
    <w:p w14:paraId="77892CFA"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lastRenderedPageBreak/>
        <w:t xml:space="preserve">Overarching Strategic Statement for the Food Regulatory </w:t>
      </w:r>
      <w:proofErr w:type="gramStart"/>
      <w:r w:rsidRPr="00DD7D17">
        <w:rPr>
          <w:rFonts w:cs="Arial"/>
        </w:rPr>
        <w:t>System;</w:t>
      </w:r>
      <w:proofErr w:type="gramEnd"/>
    </w:p>
    <w:p w14:paraId="648F7CB0"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 xml:space="preserve">Policy Statement on the Interpretation of Public Health and Safety in Developing, Reviewing and Varying Food Regulatory </w:t>
      </w:r>
      <w:proofErr w:type="gramStart"/>
      <w:r w:rsidRPr="00DD7D17">
        <w:rPr>
          <w:rFonts w:cs="Arial"/>
        </w:rPr>
        <w:t>Measures;</w:t>
      </w:r>
      <w:proofErr w:type="gramEnd"/>
    </w:p>
    <w:p w14:paraId="6FAF4E2A"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 xml:space="preserve">the Agreement between the Government of Australia and the Government of New Zealand concerning a Joint Food Standards </w:t>
      </w:r>
      <w:proofErr w:type="gramStart"/>
      <w:r w:rsidRPr="00DD7D17">
        <w:rPr>
          <w:rFonts w:cs="Arial"/>
        </w:rPr>
        <w:t>System;</w:t>
      </w:r>
      <w:proofErr w:type="gramEnd"/>
      <w:r w:rsidRPr="00DD7D17">
        <w:rPr>
          <w:rFonts w:cs="Arial"/>
        </w:rPr>
        <w:t xml:space="preserve"> </w:t>
      </w:r>
    </w:p>
    <w:p w14:paraId="3356A67B"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 xml:space="preserve">relevant World Health Organization </w:t>
      </w:r>
      <w:proofErr w:type="gramStart"/>
      <w:r w:rsidRPr="00DD7D17">
        <w:rPr>
          <w:rFonts w:cs="Arial"/>
        </w:rPr>
        <w:t>agreements;</w:t>
      </w:r>
      <w:proofErr w:type="gramEnd"/>
      <w:r w:rsidRPr="00DD7D17">
        <w:rPr>
          <w:rFonts w:cs="Arial"/>
        </w:rPr>
        <w:t xml:space="preserve"> </w:t>
      </w:r>
    </w:p>
    <w:p w14:paraId="1E3D9507" w14:textId="77777777" w:rsidR="007066B1" w:rsidRPr="00DD7D17" w:rsidRDefault="007066B1" w:rsidP="007066B1">
      <w:pPr>
        <w:pStyle w:val="ListParagraph"/>
        <w:numPr>
          <w:ilvl w:val="0"/>
          <w:numId w:val="3"/>
        </w:numPr>
        <w:tabs>
          <w:tab w:val="left" w:pos="567"/>
        </w:tabs>
        <w:spacing w:after="120"/>
        <w:ind w:left="567" w:hanging="567"/>
        <w:contextualSpacing w:val="0"/>
        <w:rPr>
          <w:rFonts w:cs="Arial"/>
        </w:rPr>
      </w:pPr>
      <w:r w:rsidRPr="00DD7D17">
        <w:rPr>
          <w:rFonts w:cs="Arial"/>
        </w:rPr>
        <w:t xml:space="preserve">relevant World Trade Organization agreements, </w:t>
      </w:r>
      <w:proofErr w:type="gramStart"/>
      <w:r w:rsidRPr="00DD7D17">
        <w:rPr>
          <w:rFonts w:cs="Arial"/>
        </w:rPr>
        <w:t>standards</w:t>
      </w:r>
      <w:proofErr w:type="gramEnd"/>
      <w:r w:rsidRPr="00DD7D17">
        <w:rPr>
          <w:rFonts w:cs="Arial"/>
        </w:rPr>
        <w:t xml:space="preserve"> and guidelines; and </w:t>
      </w:r>
    </w:p>
    <w:p w14:paraId="3B8AE6F0" w14:textId="77777777" w:rsidR="007066B1" w:rsidRDefault="007066B1" w:rsidP="007066B1">
      <w:pPr>
        <w:pStyle w:val="ListParagraph"/>
        <w:numPr>
          <w:ilvl w:val="0"/>
          <w:numId w:val="3"/>
        </w:numPr>
        <w:tabs>
          <w:tab w:val="left" w:pos="567"/>
        </w:tabs>
        <w:ind w:left="567" w:hanging="567"/>
        <w:contextualSpacing w:val="0"/>
        <w:rPr>
          <w:rFonts w:cs="Arial"/>
        </w:rPr>
      </w:pPr>
      <w:r w:rsidRPr="00DD7D17">
        <w:rPr>
          <w:rFonts w:cs="Arial"/>
        </w:rPr>
        <w:t>Australia and New Zealand national nutrition and health promotion policies.</w:t>
      </w:r>
    </w:p>
    <w:p w14:paraId="2980DBF7" w14:textId="77777777" w:rsidR="0051041B" w:rsidRDefault="0051041B" w:rsidP="00AC4ADA"/>
    <w:p w14:paraId="4F835365" w14:textId="77777777" w:rsidR="00FC1F02" w:rsidRPr="00DD7D17" w:rsidRDefault="00BC1F78" w:rsidP="00AC4ADA">
      <w:pPr>
        <w:pStyle w:val="Heading1"/>
      </w:pPr>
      <w:r w:rsidRPr="00DD7D17">
        <w:t xml:space="preserve">SPECIFIC POLICY PRINCIPLES </w:t>
      </w:r>
    </w:p>
    <w:p w14:paraId="74EC6700" w14:textId="77777777" w:rsidR="007066B1" w:rsidRPr="00DD7D17" w:rsidRDefault="007066B1" w:rsidP="007066B1">
      <w:pPr>
        <w:tabs>
          <w:tab w:val="left" w:pos="567"/>
        </w:tabs>
        <w:spacing w:after="120"/>
        <w:ind w:left="567" w:hanging="567"/>
        <w:rPr>
          <w:rFonts w:cs="Arial"/>
        </w:rPr>
      </w:pPr>
      <w:r w:rsidRPr="00DD7D17">
        <w:rPr>
          <w:rFonts w:cs="Arial"/>
        </w:rPr>
        <w:t xml:space="preserve">The regulatory management of caffeine in the food supply should: </w:t>
      </w:r>
    </w:p>
    <w:p w14:paraId="2C3852C7" w14:textId="77777777" w:rsidR="007066B1" w:rsidRPr="00684265" w:rsidRDefault="007066B1" w:rsidP="007066B1">
      <w:pPr>
        <w:pStyle w:val="ListParagraph"/>
        <w:numPr>
          <w:ilvl w:val="0"/>
          <w:numId w:val="8"/>
        </w:numPr>
        <w:tabs>
          <w:tab w:val="left" w:pos="567"/>
        </w:tabs>
        <w:spacing w:after="120"/>
        <w:ind w:left="567" w:hanging="567"/>
        <w:contextualSpacing w:val="0"/>
        <w:rPr>
          <w:rFonts w:cs="Arial"/>
        </w:rPr>
      </w:pPr>
      <w:r w:rsidRPr="00684265">
        <w:rPr>
          <w:rFonts w:cs="Arial"/>
        </w:rPr>
        <w:t xml:space="preserve">be based on risk analysis ensuring consideration of general population and taking into account vulnerable population groups including children, adolescents, pregnant and lactating women and caffeine sensitive </w:t>
      </w:r>
      <w:proofErr w:type="gramStart"/>
      <w:r w:rsidRPr="00684265">
        <w:rPr>
          <w:rFonts w:cs="Arial"/>
        </w:rPr>
        <w:t>consumers;</w:t>
      </w:r>
      <w:proofErr w:type="gramEnd"/>
    </w:p>
    <w:p w14:paraId="07CC65CD" w14:textId="77777777" w:rsidR="007066B1" w:rsidRPr="00684265" w:rsidRDefault="007066B1" w:rsidP="007066B1">
      <w:pPr>
        <w:pStyle w:val="ListParagraph"/>
        <w:numPr>
          <w:ilvl w:val="0"/>
          <w:numId w:val="8"/>
        </w:numPr>
        <w:tabs>
          <w:tab w:val="left" w:pos="567"/>
        </w:tabs>
        <w:spacing w:after="120"/>
        <w:ind w:left="567" w:hanging="567"/>
        <w:contextualSpacing w:val="0"/>
        <w:rPr>
          <w:rFonts w:cs="Arial"/>
        </w:rPr>
      </w:pPr>
      <w:r w:rsidRPr="00684265">
        <w:rPr>
          <w:rFonts w:cs="Arial"/>
        </w:rPr>
        <w:t>consider exposure to caffeine from all dietary sources; and</w:t>
      </w:r>
    </w:p>
    <w:p w14:paraId="476A2437" w14:textId="77777777" w:rsidR="007066B1" w:rsidRPr="00684265" w:rsidRDefault="007066B1" w:rsidP="007066B1">
      <w:pPr>
        <w:pStyle w:val="ListParagraph"/>
        <w:numPr>
          <w:ilvl w:val="0"/>
          <w:numId w:val="8"/>
        </w:numPr>
        <w:tabs>
          <w:tab w:val="left" w:pos="567"/>
        </w:tabs>
        <w:ind w:left="567" w:hanging="567"/>
        <w:contextualSpacing w:val="0"/>
        <w:rPr>
          <w:rFonts w:cs="Arial"/>
        </w:rPr>
      </w:pPr>
      <w:r w:rsidRPr="00684265">
        <w:rPr>
          <w:rFonts w:cs="Arial"/>
        </w:rPr>
        <w:t>be informed by emerging evidence and the regulation of caffeine in overseas jurisdictions.</w:t>
      </w:r>
    </w:p>
    <w:p w14:paraId="430D497F" w14:textId="77777777" w:rsidR="0051041B" w:rsidRDefault="0051041B" w:rsidP="00AC4ADA"/>
    <w:p w14:paraId="6FC95ECE" w14:textId="77777777" w:rsidR="00FC1F02" w:rsidRPr="00DD7D17" w:rsidRDefault="00BC1F78" w:rsidP="00AC4ADA">
      <w:pPr>
        <w:pStyle w:val="Heading1"/>
      </w:pPr>
      <w:r w:rsidRPr="00DD7D17">
        <w:t xml:space="preserve">ADDITIONAL POLICY GUIDANCE </w:t>
      </w:r>
    </w:p>
    <w:p w14:paraId="3EFBDFB4" w14:textId="77777777" w:rsidR="007066B1" w:rsidRDefault="007066B1" w:rsidP="007066B1">
      <w:pPr>
        <w:tabs>
          <w:tab w:val="left" w:pos="567"/>
        </w:tabs>
        <w:rPr>
          <w:rFonts w:cs="Arial"/>
        </w:rPr>
      </w:pPr>
      <w:r w:rsidRPr="00DD7D17">
        <w:rPr>
          <w:rFonts w:cs="Arial"/>
        </w:rPr>
        <w:t>FSANZ is encouraged to work with research agencies to monitor caffeine consumption across the population, including consumption by vulnerable population groups.</w:t>
      </w:r>
    </w:p>
    <w:p w14:paraId="5FC1D69A" w14:textId="77777777" w:rsidR="007066B1" w:rsidRDefault="007066B1" w:rsidP="007066B1">
      <w:pPr>
        <w:tabs>
          <w:tab w:val="left" w:pos="567"/>
        </w:tabs>
        <w:rPr>
          <w:rFonts w:cs="Arial"/>
        </w:rPr>
      </w:pPr>
    </w:p>
    <w:p w14:paraId="2A52C676" w14:textId="77777777" w:rsidR="007066B1" w:rsidRPr="00DD7D17" w:rsidRDefault="007066B1" w:rsidP="007066B1">
      <w:pPr>
        <w:tabs>
          <w:tab w:val="left" w:pos="567"/>
        </w:tabs>
        <w:rPr>
          <w:rFonts w:cs="Arial"/>
        </w:rPr>
      </w:pPr>
      <w:r w:rsidRPr="00DD7D17">
        <w:rPr>
          <w:rFonts w:cs="Arial"/>
        </w:rPr>
        <w:t>Regulatory management of caffeine in the food supply may include regulatory and non-regulatory risk management approaches.</w:t>
      </w:r>
    </w:p>
    <w:p w14:paraId="543AAD78" w14:textId="32BAAFED" w:rsidR="006B284D" w:rsidRPr="00DD7D17" w:rsidRDefault="006B284D" w:rsidP="007066B1">
      <w:pPr>
        <w:tabs>
          <w:tab w:val="left" w:pos="567"/>
        </w:tabs>
        <w:rPr>
          <w:rFonts w:cs="Arial"/>
        </w:rPr>
      </w:pPr>
    </w:p>
    <w:sectPr w:rsidR="006B284D" w:rsidRPr="00DD7D17" w:rsidSect="0056304F">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A9DA" w14:textId="77777777" w:rsidR="0056304F" w:rsidRDefault="0056304F" w:rsidP="0056304F">
      <w:r>
        <w:separator/>
      </w:r>
    </w:p>
  </w:endnote>
  <w:endnote w:type="continuationSeparator" w:id="0">
    <w:p w14:paraId="53249060" w14:textId="77777777" w:rsidR="0056304F" w:rsidRDefault="0056304F" w:rsidP="0056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B5D9" w14:textId="77777777" w:rsidR="0056304F" w:rsidRDefault="0056304F" w:rsidP="0056304F">
      <w:r>
        <w:separator/>
      </w:r>
    </w:p>
  </w:footnote>
  <w:footnote w:type="continuationSeparator" w:id="0">
    <w:p w14:paraId="05F66835" w14:textId="77777777" w:rsidR="0056304F" w:rsidRDefault="0056304F" w:rsidP="0056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9D2"/>
    <w:multiLevelType w:val="hybridMultilevel"/>
    <w:tmpl w:val="A322E176"/>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D05A26"/>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C855C65"/>
    <w:multiLevelType w:val="hybridMultilevel"/>
    <w:tmpl w:val="BB38D502"/>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243932"/>
    <w:multiLevelType w:val="hybridMultilevel"/>
    <w:tmpl w:val="B44A14F2"/>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490A41"/>
    <w:multiLevelType w:val="hybridMultilevel"/>
    <w:tmpl w:val="422014B8"/>
    <w:lvl w:ilvl="0" w:tplc="BFB6203E">
      <w:start w:val="1"/>
      <w:numFmt w:val="lowerLetter"/>
      <w:pStyle w:val="Listalphabe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2BC57A4"/>
    <w:multiLevelType w:val="hybridMultilevel"/>
    <w:tmpl w:val="1EC6F7F6"/>
    <w:lvl w:ilvl="0" w:tplc="9C8E5CD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DC2F81"/>
    <w:multiLevelType w:val="hybridMultilevel"/>
    <w:tmpl w:val="13AE6C4A"/>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CD7792"/>
    <w:multiLevelType w:val="singleLevel"/>
    <w:tmpl w:val="9FA2AD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687B03C4"/>
    <w:multiLevelType w:val="hybridMultilevel"/>
    <w:tmpl w:val="5F64F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A196AD2"/>
    <w:multiLevelType w:val="hybridMultilevel"/>
    <w:tmpl w:val="7A1624F4"/>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9"/>
  </w:num>
  <w:num w:numId="5">
    <w:abstractNumId w:val="5"/>
  </w:num>
  <w:num w:numId="6">
    <w:abstractNumId w:val="0"/>
  </w:num>
  <w:num w:numId="7">
    <w:abstractNumId w:val="3"/>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02"/>
    <w:rsid w:val="00003504"/>
    <w:rsid w:val="00124778"/>
    <w:rsid w:val="00183056"/>
    <w:rsid w:val="001A1E53"/>
    <w:rsid w:val="001C475F"/>
    <w:rsid w:val="00203909"/>
    <w:rsid w:val="00246CBB"/>
    <w:rsid w:val="0026678A"/>
    <w:rsid w:val="002B0235"/>
    <w:rsid w:val="002E410D"/>
    <w:rsid w:val="002F43FE"/>
    <w:rsid w:val="003F0298"/>
    <w:rsid w:val="004335EA"/>
    <w:rsid w:val="00443CE6"/>
    <w:rsid w:val="00502F80"/>
    <w:rsid w:val="0051041B"/>
    <w:rsid w:val="00553C8F"/>
    <w:rsid w:val="0056304F"/>
    <w:rsid w:val="00592842"/>
    <w:rsid w:val="005B7D5B"/>
    <w:rsid w:val="006130D8"/>
    <w:rsid w:val="006134BC"/>
    <w:rsid w:val="00684265"/>
    <w:rsid w:val="00686F81"/>
    <w:rsid w:val="006B284D"/>
    <w:rsid w:val="007066B1"/>
    <w:rsid w:val="008155D3"/>
    <w:rsid w:val="0084042B"/>
    <w:rsid w:val="00841F9F"/>
    <w:rsid w:val="009010A3"/>
    <w:rsid w:val="009041E6"/>
    <w:rsid w:val="00973225"/>
    <w:rsid w:val="00990689"/>
    <w:rsid w:val="00990788"/>
    <w:rsid w:val="009F45C3"/>
    <w:rsid w:val="00A85A6F"/>
    <w:rsid w:val="00AC4ADA"/>
    <w:rsid w:val="00B2035F"/>
    <w:rsid w:val="00B42087"/>
    <w:rsid w:val="00BC1F78"/>
    <w:rsid w:val="00C27261"/>
    <w:rsid w:val="00C77D12"/>
    <w:rsid w:val="00CD6DB4"/>
    <w:rsid w:val="00D47722"/>
    <w:rsid w:val="00D66E85"/>
    <w:rsid w:val="00D7224B"/>
    <w:rsid w:val="00DD7D17"/>
    <w:rsid w:val="00F024C0"/>
    <w:rsid w:val="00F20087"/>
    <w:rsid w:val="00F41872"/>
    <w:rsid w:val="00FA14B1"/>
    <w:rsid w:val="00FC1F02"/>
    <w:rsid w:val="00FC5D5A"/>
    <w:rsid w:val="00FF2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269EF9"/>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17"/>
    <w:pPr>
      <w:spacing w:after="0" w:line="240" w:lineRule="auto"/>
    </w:pPr>
    <w:rPr>
      <w:rFonts w:ascii="Arial" w:eastAsia="Times New Roman" w:hAnsi="Arial" w:cs="Times New Roman"/>
      <w:sz w:val="24"/>
      <w:szCs w:val="20"/>
    </w:rPr>
  </w:style>
  <w:style w:type="paragraph" w:styleId="Heading1">
    <w:name w:val="heading 1"/>
    <w:next w:val="Normal"/>
    <w:link w:val="Heading1Char"/>
    <w:qFormat/>
    <w:rsid w:val="00AC4ADA"/>
    <w:pPr>
      <w:keepNext/>
      <w:spacing w:after="120" w:line="240" w:lineRule="auto"/>
      <w:outlineLvl w:val="0"/>
    </w:pPr>
    <w:rPr>
      <w:rFonts w:ascii="Arial" w:eastAsia="Times New Roman" w:hAnsi="Arial" w:cs="Times New Roman"/>
      <w:b/>
      <w:kern w:val="28"/>
      <w:sz w:val="24"/>
      <w:szCs w:val="20"/>
    </w:rPr>
  </w:style>
  <w:style w:type="paragraph" w:styleId="Heading2">
    <w:name w:val="heading 2"/>
    <w:basedOn w:val="Normal"/>
    <w:next w:val="Normal"/>
    <w:link w:val="Heading2Char"/>
    <w:qFormat/>
    <w:rsid w:val="00BC1F78"/>
    <w:pPr>
      <w:jc w:val="center"/>
      <w:outlineLvl w:val="1"/>
    </w:pPr>
    <w:rPr>
      <w:rFonts w:cs="Arial"/>
      <w:b/>
      <w:sz w:val="28"/>
      <w:szCs w:val="28"/>
    </w:rPr>
  </w:style>
  <w:style w:type="paragraph" w:styleId="Heading3">
    <w:name w:val="heading 3"/>
    <w:basedOn w:val="Normal"/>
    <w:next w:val="Normal"/>
    <w:link w:val="Heading3Char"/>
    <w:qFormat/>
    <w:rsid w:val="00DD7D17"/>
    <w:pPr>
      <w:spacing w:after="120"/>
      <w:outlineLvl w:val="2"/>
    </w:pPr>
    <w:rPr>
      <w:rFonts w:cs="Arial"/>
      <w:b/>
    </w:rPr>
  </w:style>
  <w:style w:type="paragraph" w:styleId="Heading4">
    <w:name w:val="heading 4"/>
    <w:basedOn w:val="Normal"/>
    <w:next w:val="Normal"/>
    <w:link w:val="Heading4Char"/>
    <w:qFormat/>
    <w:rsid w:val="00FC1F02"/>
    <w:pPr>
      <w:keepNext/>
      <w:spacing w:after="60"/>
      <w:outlineLvl w:val="3"/>
    </w:pPr>
    <w:rPr>
      <w:rFonts w:ascii="Arial Narrow" w:hAnsi="Arial Narrow"/>
      <w:i/>
    </w:rPr>
  </w:style>
  <w:style w:type="paragraph" w:styleId="Heading5">
    <w:name w:val="heading 5"/>
    <w:basedOn w:val="Normal"/>
    <w:next w:val="Normal"/>
    <w:link w:val="Heading5Char"/>
    <w:semiHidden/>
    <w:unhideWhenUsed/>
    <w:qFormat/>
    <w:rsid w:val="00FC1F02"/>
    <w:pPr>
      <w:numPr>
        <w:ilvl w:val="4"/>
        <w:numId w:val="2"/>
      </w:numPr>
      <w:spacing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C1F02"/>
    <w:pPr>
      <w:numPr>
        <w:ilvl w:val="5"/>
        <w:numId w:val="2"/>
      </w:numPr>
      <w:spacing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C1F02"/>
    <w:pPr>
      <w:numPr>
        <w:ilvl w:val="6"/>
        <w:numId w:val="2"/>
      </w:numPr>
      <w:spacing w:after="60"/>
      <w:outlineLvl w:val="6"/>
    </w:pPr>
    <w:rPr>
      <w:rFonts w:ascii="Calibri" w:hAnsi="Calibri"/>
      <w:szCs w:val="24"/>
    </w:rPr>
  </w:style>
  <w:style w:type="paragraph" w:styleId="Heading8">
    <w:name w:val="heading 8"/>
    <w:basedOn w:val="Normal"/>
    <w:next w:val="Normal"/>
    <w:link w:val="Heading8Char"/>
    <w:semiHidden/>
    <w:unhideWhenUsed/>
    <w:qFormat/>
    <w:rsid w:val="00FC1F02"/>
    <w:pPr>
      <w:numPr>
        <w:ilvl w:val="7"/>
        <w:numId w:val="2"/>
      </w:numPr>
      <w:spacing w:after="60"/>
      <w:outlineLvl w:val="7"/>
    </w:pPr>
    <w:rPr>
      <w:rFonts w:ascii="Calibri" w:hAnsi="Calibri"/>
      <w:i/>
      <w:iCs/>
      <w:szCs w:val="24"/>
    </w:rPr>
  </w:style>
  <w:style w:type="paragraph" w:styleId="Heading9">
    <w:name w:val="heading 9"/>
    <w:basedOn w:val="Normal"/>
    <w:next w:val="Normal"/>
    <w:link w:val="Heading9Char"/>
    <w:semiHidden/>
    <w:unhideWhenUsed/>
    <w:qFormat/>
    <w:rsid w:val="00FC1F02"/>
    <w:pPr>
      <w:numPr>
        <w:ilvl w:val="8"/>
        <w:numId w:val="2"/>
      </w:num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ADA"/>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BC1F78"/>
    <w:rPr>
      <w:rFonts w:ascii="Arial" w:eastAsia="Times New Roman" w:hAnsi="Arial" w:cs="Arial"/>
      <w:b/>
      <w:sz w:val="28"/>
      <w:szCs w:val="28"/>
    </w:rPr>
  </w:style>
  <w:style w:type="character" w:customStyle="1" w:styleId="Heading3Char">
    <w:name w:val="Heading 3 Char"/>
    <w:basedOn w:val="DefaultParagraphFont"/>
    <w:link w:val="Heading3"/>
    <w:rsid w:val="00DD7D17"/>
    <w:rPr>
      <w:rFonts w:ascii="Arial" w:eastAsia="Times New Roman" w:hAnsi="Arial" w:cs="Arial"/>
      <w:b/>
      <w:sz w:val="24"/>
      <w:szCs w:val="20"/>
    </w:rPr>
  </w:style>
  <w:style w:type="character" w:customStyle="1" w:styleId="Heading4Char">
    <w:name w:val="Heading 4 Char"/>
    <w:basedOn w:val="DefaultParagraphFont"/>
    <w:link w:val="Heading4"/>
    <w:rsid w:val="00FC1F02"/>
    <w:rPr>
      <w:rFonts w:ascii="Arial Narrow" w:eastAsia="Times New Roman" w:hAnsi="Arial Narrow" w:cs="Times New Roman"/>
      <w:i/>
      <w:sz w:val="24"/>
      <w:szCs w:val="20"/>
    </w:rPr>
  </w:style>
  <w:style w:type="character" w:customStyle="1" w:styleId="Heading5Char">
    <w:name w:val="Heading 5 Char"/>
    <w:basedOn w:val="DefaultParagraphFont"/>
    <w:link w:val="Heading5"/>
    <w:semiHidden/>
    <w:rsid w:val="00FC1F0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FC1F02"/>
    <w:rPr>
      <w:rFonts w:ascii="Calibri" w:eastAsia="Times New Roman" w:hAnsi="Calibri" w:cs="Times New Roman"/>
      <w:b/>
      <w:bCs/>
    </w:rPr>
  </w:style>
  <w:style w:type="character" w:customStyle="1" w:styleId="Heading7Char">
    <w:name w:val="Heading 7 Char"/>
    <w:basedOn w:val="DefaultParagraphFont"/>
    <w:link w:val="Heading7"/>
    <w:semiHidden/>
    <w:rsid w:val="00FC1F0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FC1F0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FC1F02"/>
    <w:rPr>
      <w:rFonts w:ascii="Cambria" w:eastAsia="Times New Roman" w:hAnsi="Cambria" w:cs="Times New Roman"/>
    </w:rPr>
  </w:style>
  <w:style w:type="paragraph" w:styleId="ListBullet">
    <w:name w:val="List Bullet"/>
    <w:basedOn w:val="Normal"/>
    <w:autoRedefine/>
    <w:rsid w:val="00B2035F"/>
    <w:pPr>
      <w:numPr>
        <w:numId w:val="1"/>
      </w:numPr>
      <w:spacing w:after="60"/>
      <w:ind w:left="567" w:hanging="567"/>
    </w:pPr>
  </w:style>
  <w:style w:type="character" w:customStyle="1" w:styleId="Italic">
    <w:name w:val="Italic"/>
    <w:basedOn w:val="DefaultParagraphFont"/>
    <w:rsid w:val="00FC1F02"/>
    <w:rPr>
      <w:i/>
    </w:rPr>
  </w:style>
  <w:style w:type="character" w:customStyle="1" w:styleId="BoldItalic">
    <w:name w:val="Bold Italic"/>
    <w:basedOn w:val="DefaultParagraphFont"/>
    <w:rsid w:val="00FC1F02"/>
    <w:rPr>
      <w:b/>
      <w:i/>
    </w:rPr>
  </w:style>
  <w:style w:type="character" w:styleId="CommentReference">
    <w:name w:val="annotation reference"/>
    <w:basedOn w:val="DefaultParagraphFont"/>
    <w:uiPriority w:val="99"/>
    <w:semiHidden/>
    <w:unhideWhenUsed/>
    <w:rsid w:val="00FC1F02"/>
    <w:rPr>
      <w:sz w:val="16"/>
      <w:szCs w:val="16"/>
    </w:rPr>
  </w:style>
  <w:style w:type="paragraph" w:styleId="CommentText">
    <w:name w:val="annotation text"/>
    <w:basedOn w:val="Normal"/>
    <w:link w:val="CommentTextChar"/>
    <w:uiPriority w:val="99"/>
    <w:semiHidden/>
    <w:unhideWhenUsed/>
    <w:rsid w:val="00FC1F02"/>
    <w:rPr>
      <w:sz w:val="20"/>
    </w:rPr>
  </w:style>
  <w:style w:type="character" w:customStyle="1" w:styleId="CommentTextChar">
    <w:name w:val="Comment Text Char"/>
    <w:basedOn w:val="DefaultParagraphFont"/>
    <w:link w:val="CommentText"/>
    <w:uiPriority w:val="99"/>
    <w:semiHidden/>
    <w:rsid w:val="00FC1F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C1F02"/>
    <w:rPr>
      <w:rFonts w:ascii="Tahoma" w:hAnsi="Tahoma" w:cs="Tahoma"/>
      <w:sz w:val="16"/>
      <w:szCs w:val="16"/>
    </w:rPr>
  </w:style>
  <w:style w:type="character" w:customStyle="1" w:styleId="BalloonTextChar">
    <w:name w:val="Balloon Text Char"/>
    <w:basedOn w:val="DefaultParagraphFont"/>
    <w:link w:val="BalloonText"/>
    <w:uiPriority w:val="99"/>
    <w:semiHidden/>
    <w:rsid w:val="00FC1F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C1F02"/>
    <w:rPr>
      <w:b/>
      <w:bCs/>
    </w:rPr>
  </w:style>
  <w:style w:type="character" w:customStyle="1" w:styleId="CommentSubjectChar">
    <w:name w:val="Comment Subject Char"/>
    <w:basedOn w:val="CommentTextChar"/>
    <w:link w:val="CommentSubject"/>
    <w:uiPriority w:val="99"/>
    <w:semiHidden/>
    <w:rsid w:val="00FC1F0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6304F"/>
    <w:pPr>
      <w:tabs>
        <w:tab w:val="center" w:pos="4513"/>
        <w:tab w:val="right" w:pos="9026"/>
      </w:tabs>
    </w:pPr>
  </w:style>
  <w:style w:type="character" w:customStyle="1" w:styleId="HeaderChar">
    <w:name w:val="Header Char"/>
    <w:basedOn w:val="DefaultParagraphFont"/>
    <w:link w:val="Header"/>
    <w:uiPriority w:val="99"/>
    <w:rsid w:val="0056304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6304F"/>
    <w:pPr>
      <w:tabs>
        <w:tab w:val="center" w:pos="4513"/>
        <w:tab w:val="right" w:pos="9026"/>
      </w:tabs>
    </w:pPr>
  </w:style>
  <w:style w:type="character" w:customStyle="1" w:styleId="FooterChar">
    <w:name w:val="Footer Char"/>
    <w:basedOn w:val="DefaultParagraphFont"/>
    <w:link w:val="Footer"/>
    <w:uiPriority w:val="99"/>
    <w:rsid w:val="0056304F"/>
    <w:rPr>
      <w:rFonts w:ascii="Times New Roman" w:eastAsia="Times New Roman" w:hAnsi="Times New Roman" w:cs="Times New Roman"/>
      <w:sz w:val="24"/>
      <w:szCs w:val="20"/>
    </w:rPr>
  </w:style>
  <w:style w:type="paragraph" w:styleId="ListParagraph">
    <w:name w:val="List Paragraph"/>
    <w:basedOn w:val="Normal"/>
    <w:uiPriority w:val="34"/>
    <w:qFormat/>
    <w:rsid w:val="00CD6DB4"/>
    <w:pPr>
      <w:ind w:left="720"/>
      <w:contextualSpacing/>
    </w:pPr>
  </w:style>
  <w:style w:type="paragraph" w:styleId="Title">
    <w:name w:val="Title"/>
    <w:basedOn w:val="Normal"/>
    <w:next w:val="Normal"/>
    <w:link w:val="TitleChar"/>
    <w:uiPriority w:val="10"/>
    <w:qFormat/>
    <w:rsid w:val="00AC4ADA"/>
    <w:pPr>
      <w:contextualSpacing/>
      <w:jc w:val="center"/>
    </w:pPr>
    <w:rPr>
      <w:rFonts w:eastAsiaTheme="majorEastAsia" w:cstheme="majorBidi"/>
      <w:b/>
      <w:kern w:val="28"/>
      <w:sz w:val="28"/>
      <w:szCs w:val="56"/>
    </w:rPr>
  </w:style>
  <w:style w:type="character" w:customStyle="1" w:styleId="TitleChar">
    <w:name w:val="Title Char"/>
    <w:basedOn w:val="DefaultParagraphFont"/>
    <w:link w:val="Title"/>
    <w:uiPriority w:val="10"/>
    <w:rsid w:val="00AC4ADA"/>
    <w:rPr>
      <w:rFonts w:ascii="Arial" w:eastAsiaTheme="majorEastAsia" w:hAnsi="Arial" w:cstheme="majorBidi"/>
      <w:b/>
      <w:kern w:val="28"/>
      <w:sz w:val="28"/>
      <w:szCs w:val="56"/>
    </w:rPr>
  </w:style>
  <w:style w:type="paragraph" w:customStyle="1" w:styleId="Listalphabet">
    <w:name w:val="List alphabet"/>
    <w:basedOn w:val="ListParagraph"/>
    <w:qFormat/>
    <w:rsid w:val="007066B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0504B9D2-27F4-4A1E-9B95-6D5F5C382386}">
  <ds:schemaRefs>
    <ds:schemaRef ds:uri="http://schemas.openxmlformats.org/officeDocument/2006/bibliography"/>
  </ds:schemaRefs>
</ds:datastoreItem>
</file>

<file path=customXml/itemProps2.xml><?xml version="1.0" encoding="utf-8"?>
<ds:datastoreItem xmlns:ds="http://schemas.openxmlformats.org/officeDocument/2006/customXml" ds:itemID="{DFA278FC-7D56-490F-B006-26B37280D701}"/>
</file>

<file path=customXml/itemProps3.xml><?xml version="1.0" encoding="utf-8"?>
<ds:datastoreItem xmlns:ds="http://schemas.openxmlformats.org/officeDocument/2006/customXml" ds:itemID="{150BB5B2-613C-4E54-A638-37F9E4411AE0}"/>
</file>

<file path=customXml/itemProps4.xml><?xml version="1.0" encoding="utf-8"?>
<ds:datastoreItem xmlns:ds="http://schemas.openxmlformats.org/officeDocument/2006/customXml" ds:itemID="{40BAF574-6735-4D39-BD5C-24023908E295}"/>
</file>

<file path=docProps/app.xml><?xml version="1.0" encoding="utf-8"?>
<Properties xmlns="http://schemas.openxmlformats.org/officeDocument/2006/extended-properties" xmlns:vt="http://schemas.openxmlformats.org/officeDocument/2006/docPropsVTypes">
  <Template>Normal.dotm</Template>
  <TotalTime>25</TotalTime>
  <Pages>2</Pages>
  <Words>505</Words>
  <Characters>3009</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Policy guideline on the addition of caffeine to foods</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the addition of caffeine to foods</dc:title>
  <dc:subject>Policy and regulation</dc:subject>
  <dc:creator>Australia and New Zealand Food Regulation Ministerial Council</dc:creator>
  <cp:keywords>food safety; consumer choice, caffeine sensitivity</cp:keywords>
  <cp:lastModifiedBy>MORRISON, Lisa</cp:lastModifiedBy>
  <cp:revision>7</cp:revision>
  <cp:lastPrinted>2014-02-17T00:59:00Z</cp:lastPrinted>
  <dcterms:created xsi:type="dcterms:W3CDTF">2023-03-21T23:14:00Z</dcterms:created>
  <dcterms:modified xsi:type="dcterms:W3CDTF">2023-03-22T02:02:00Z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