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27D1" w14:textId="77777777" w:rsidR="00AE2CDA" w:rsidRPr="001651E9" w:rsidRDefault="009A7895" w:rsidP="001651E9">
      <w:pPr>
        <w:pStyle w:val="Title"/>
      </w:pPr>
      <w:r w:rsidRPr="001651E9">
        <w:t xml:space="preserve">TERMS OF REFERENCE FOR THE </w:t>
      </w:r>
    </w:p>
    <w:p w14:paraId="0F8B8648" w14:textId="688E26CB" w:rsidR="009A7895" w:rsidRPr="001651E9" w:rsidRDefault="009A7895" w:rsidP="001651E9">
      <w:pPr>
        <w:pStyle w:val="Title"/>
      </w:pPr>
      <w:r w:rsidRPr="001651E9">
        <w:t>IMPLEMENTATION SUBCOMMITTEE FOR FOOD REGULATION</w:t>
      </w:r>
    </w:p>
    <w:p w14:paraId="598CA782" w14:textId="6D586372" w:rsidR="00606E38" w:rsidRDefault="00606E38" w:rsidP="00C07FB9">
      <w:pPr>
        <w:pStyle w:val="Subtitle"/>
      </w:pPr>
      <w:r w:rsidRPr="00C07FB9">
        <w:t xml:space="preserve">Endorsed by </w:t>
      </w:r>
      <w:r w:rsidR="00EC09BC" w:rsidRPr="00C07FB9">
        <w:t xml:space="preserve">the </w:t>
      </w:r>
      <w:r w:rsidRPr="00C07FB9">
        <w:t>F</w:t>
      </w:r>
      <w:r w:rsidR="00EC09BC" w:rsidRPr="00C07FB9">
        <w:t xml:space="preserve">ood </w:t>
      </w:r>
      <w:r w:rsidRPr="00C07FB9">
        <w:t>R</w:t>
      </w:r>
      <w:r w:rsidR="00EC09BC" w:rsidRPr="00C07FB9">
        <w:t xml:space="preserve">egulation </w:t>
      </w:r>
      <w:r w:rsidRPr="00C07FB9">
        <w:t>S</w:t>
      </w:r>
      <w:r w:rsidR="00EC09BC" w:rsidRPr="00C07FB9">
        <w:t xml:space="preserve">tanding </w:t>
      </w:r>
      <w:r w:rsidRPr="00C07FB9">
        <w:t>C</w:t>
      </w:r>
      <w:r w:rsidR="00EC09BC" w:rsidRPr="00C07FB9">
        <w:t>ommittee (FRSC)</w:t>
      </w:r>
      <w:r w:rsidRPr="00C07FB9">
        <w:t xml:space="preserve"> on</w:t>
      </w:r>
      <w:r w:rsidR="00B42E36" w:rsidRPr="00C07FB9">
        <w:t xml:space="preserve"> </w:t>
      </w:r>
      <w:r w:rsidR="00C05519" w:rsidRPr="00C07FB9">
        <w:t>7 May 2020</w:t>
      </w:r>
    </w:p>
    <w:p w14:paraId="014BE7AE" w14:textId="43B34E0B" w:rsidR="00516AE8" w:rsidRPr="00BF49A9" w:rsidRDefault="00BE5502" w:rsidP="004B6A4A">
      <w:pPr>
        <w:pStyle w:val="Heading1"/>
        <w:rPr>
          <w:rFonts w:eastAsia="Times New Roman"/>
        </w:rPr>
      </w:pPr>
      <w:r>
        <w:rPr>
          <w:rFonts w:eastAsia="Times New Roman"/>
        </w:rPr>
        <w:t>P</w:t>
      </w:r>
      <w:r w:rsidR="009D45DC">
        <w:rPr>
          <w:rFonts w:eastAsia="Times New Roman"/>
        </w:rPr>
        <w:t>urpose</w:t>
      </w:r>
    </w:p>
    <w:p w14:paraId="21A4B486" w14:textId="183E5D24" w:rsidR="005918D4" w:rsidRPr="001E50CB" w:rsidRDefault="009D45DC" w:rsidP="00E23905">
      <w:pPr>
        <w:spacing w:before="180" w:after="120" w:line="240" w:lineRule="auto"/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The Implementation Subcommittee for Food Regulation (</w:t>
      </w:r>
      <w:r w:rsidR="005B01B2" w:rsidRPr="001E50CB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ISFR</w:t>
      </w:r>
      <w:r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)</w:t>
      </w:r>
      <w:r w:rsidR="005B01B2" w:rsidRPr="001E50CB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 is a subcommittee </w:t>
      </w:r>
      <w:r w:rsidR="002E3355" w:rsidRPr="001E50CB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established by </w:t>
      </w:r>
      <w:r w:rsidR="005B01B2" w:rsidRPr="001E50CB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FRSC</w:t>
      </w:r>
      <w:r w:rsidR="00543D1C" w:rsidRPr="001E50CB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 </w:t>
      </w:r>
      <w:r w:rsidR="00F80FF1" w:rsidRPr="001E50CB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to support </w:t>
      </w:r>
      <w:r w:rsidR="002E3355" w:rsidRPr="001E50CB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it</w:t>
      </w:r>
      <w:r w:rsidR="00F80FF1" w:rsidRPr="001E50CB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 in its purpose </w:t>
      </w:r>
      <w:r w:rsidR="008F7E35" w:rsidRPr="001E50CB">
        <w:rPr>
          <w:rFonts w:ascii="Times New Roman" w:hAnsi="Times New Roman" w:cs="Times New Roman"/>
          <w:sz w:val="24"/>
          <w:szCs w:val="24"/>
        </w:rPr>
        <w:t>of ensuring</w:t>
      </w:r>
      <w:r w:rsidR="00F80FF1" w:rsidRPr="001E50CB">
        <w:rPr>
          <w:rFonts w:ascii="Times New Roman" w:hAnsi="Times New Roman" w:cs="Times New Roman"/>
          <w:sz w:val="24"/>
          <w:szCs w:val="24"/>
        </w:rPr>
        <w:t xml:space="preserve"> a nationally consistent approach to the implementation and enforcement of food standards.</w:t>
      </w:r>
      <w:r w:rsidR="00F80FF1" w:rsidRPr="001E50C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E3355" w:rsidRPr="001E50CB">
        <w:rPr>
          <w:rFonts w:ascii="Times New Roman" w:hAnsi="Times New Roman" w:cs="Times New Roman"/>
          <w:sz w:val="24"/>
          <w:szCs w:val="24"/>
        </w:rPr>
        <w:t xml:space="preserve"> In supporting FRSC, </w:t>
      </w:r>
      <w:r w:rsidR="002E3355" w:rsidRPr="001E50CB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t</w:t>
      </w:r>
      <w:r w:rsidR="00516AE8" w:rsidRPr="001E50CB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he role of </w:t>
      </w:r>
      <w:r w:rsidR="00D20427" w:rsidRPr="001E50CB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the </w:t>
      </w:r>
      <w:r w:rsidR="005B01B2" w:rsidRPr="001E50CB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ISFR </w:t>
      </w:r>
      <w:r w:rsidR="00516AE8" w:rsidRPr="001E50CB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is to</w:t>
      </w:r>
      <w:r w:rsidR="005918D4" w:rsidRPr="001E50CB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:</w:t>
      </w:r>
    </w:p>
    <w:p w14:paraId="205545FC" w14:textId="6F237DA8" w:rsidR="00EA4BB7" w:rsidRDefault="00516AE8" w:rsidP="00CE32DE">
      <w:pPr>
        <w:pStyle w:val="ListParagraph"/>
        <w:numPr>
          <w:ilvl w:val="0"/>
          <w:numId w:val="6"/>
        </w:numPr>
        <w:spacing w:before="12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</w:pPr>
      <w:r w:rsidRP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develop consistent approaches across jurisdictions </w:t>
      </w:r>
      <w:r w:rsidR="00B65146" w:rsidRP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f</w:t>
      </w:r>
      <w:r w:rsidRP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o</w:t>
      </w:r>
      <w:r w:rsidR="00B65146" w:rsidRP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r implementation</w:t>
      </w:r>
      <w:r w:rsidR="00EA4BB7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, monitoring, compliance</w:t>
      </w:r>
      <w:r w:rsidR="00B65146" w:rsidRP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 and </w:t>
      </w:r>
      <w:r w:rsidR="00EA4BB7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enforcement </w:t>
      </w:r>
      <w:r w:rsidR="005C37E3" w:rsidRP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with</w:t>
      </w:r>
      <w:r w:rsidRP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 the Australia</w:t>
      </w:r>
      <w:r w:rsidR="004F0510" w:rsidRP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 </w:t>
      </w:r>
      <w:r w:rsidR="00C51F0F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and </w:t>
      </w:r>
      <w:r w:rsidRP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New Zealand </w:t>
      </w:r>
      <w:r w:rsidR="00EC09BC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F</w:t>
      </w:r>
      <w:r w:rsidRP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ood </w:t>
      </w:r>
      <w:r w:rsidR="00EC09BC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R</w:t>
      </w:r>
      <w:r w:rsidRP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egulation </w:t>
      </w:r>
      <w:r w:rsidR="00EC09BC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S</w:t>
      </w:r>
      <w:r w:rsidRP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ystem</w:t>
      </w:r>
      <w:r w:rsidR="00EC09BC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;</w:t>
      </w:r>
    </w:p>
    <w:p w14:paraId="12FF94AA" w14:textId="583A2D63" w:rsidR="00EA4BB7" w:rsidRPr="00DC18C7" w:rsidRDefault="00EA4BB7" w:rsidP="00CE32DE">
      <w:pPr>
        <w:pStyle w:val="ListParagraph"/>
        <w:numPr>
          <w:ilvl w:val="0"/>
          <w:numId w:val="6"/>
        </w:numPr>
        <w:spacing w:before="12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</w:pPr>
      <w:r w:rsidRP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contribute to intelligence (data, information and evidence) gathering by the </w:t>
      </w:r>
      <w:r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F</w:t>
      </w:r>
      <w:r w:rsidRP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R</w:t>
      </w:r>
      <w:r w:rsidRPr="00DC18C7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egulation </w:t>
      </w:r>
      <w:r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S</w:t>
      </w:r>
      <w:r w:rsidRPr="00DC18C7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ystem</w:t>
      </w:r>
      <w:r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;</w:t>
      </w:r>
    </w:p>
    <w:p w14:paraId="72ED1770" w14:textId="03FCCCEF" w:rsidR="005918D4" w:rsidRPr="00BF49A9" w:rsidRDefault="005918D4" w:rsidP="00CE32DE">
      <w:pPr>
        <w:pStyle w:val="ListParagraph"/>
        <w:numPr>
          <w:ilvl w:val="0"/>
          <w:numId w:val="6"/>
        </w:numPr>
        <w:spacing w:before="12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</w:pPr>
      <w:r w:rsidRPr="00DC18C7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provide</w:t>
      </w:r>
      <w:r w:rsidR="00E378AF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 advice and</w:t>
      </w:r>
      <w:r w:rsidRPr="00DC18C7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 input to the development </w:t>
      </w:r>
      <w:r w:rsidR="00E378AF" w:rsidRPr="00E13687">
        <w:rPr>
          <w:rFonts w:ascii="Times New Roman" w:hAnsi="Times New Roman" w:cs="Times New Roman"/>
          <w:spacing w:val="-4"/>
          <w:sz w:val="24"/>
          <w:szCs w:val="24"/>
        </w:rPr>
        <w:t xml:space="preserve">and monitoring </w:t>
      </w:r>
      <w:r w:rsidRPr="00E13687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of </w:t>
      </w:r>
      <w:r w:rsidR="00FB01B7" w:rsidRPr="00E13687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FRSC </w:t>
      </w:r>
      <w:r w:rsidRPr="00E13687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policies in relation to implementation</w:t>
      </w:r>
      <w:r w:rsidR="00E378AF" w:rsidRPr="00E13687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 and </w:t>
      </w:r>
      <w:r w:rsidR="00E378AF" w:rsidRPr="00E13687">
        <w:rPr>
          <w:rFonts w:ascii="Times New Roman" w:hAnsi="Times New Roman" w:cs="Times New Roman"/>
          <w:spacing w:val="-4"/>
          <w:sz w:val="24"/>
          <w:szCs w:val="24"/>
        </w:rPr>
        <w:t>national / bi-national consistency</w:t>
      </w:r>
      <w:r w:rsidRPr="00E13687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 matters</w:t>
      </w:r>
      <w:r w:rsidR="00EC09BC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;</w:t>
      </w:r>
    </w:p>
    <w:p w14:paraId="0CA906AC" w14:textId="54E1EB61" w:rsidR="001D2E3E" w:rsidRPr="00B42E36" w:rsidRDefault="001D2E3E" w:rsidP="00CE32DE">
      <w:pPr>
        <w:pStyle w:val="ListParagraph"/>
        <w:numPr>
          <w:ilvl w:val="0"/>
          <w:numId w:val="6"/>
        </w:numPr>
        <w:spacing w:before="12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</w:pPr>
      <w:r w:rsidRPr="00BF49A9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contribute to the evaluation and review of policy established by the </w:t>
      </w:r>
      <w:r w:rsid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Australia and New</w:t>
      </w:r>
      <w:r w:rsidR="00405E5A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 </w:t>
      </w:r>
      <w:r w:rsid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Zealand Ministerial </w:t>
      </w:r>
      <w:r w:rsidRP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Forum </w:t>
      </w:r>
      <w:r w:rsid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on Food Regulation (the Forum) </w:t>
      </w:r>
      <w:r w:rsidRPr="00B42E36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and standards developed by </w:t>
      </w:r>
      <w:r w:rsidR="00B42E36" w:rsidRPr="00365ACF">
        <w:rPr>
          <w:rFonts w:ascii="Times New Roman" w:eastAsia="Times New Roman" w:hAnsi="Times New Roman" w:cs="Times New Roman"/>
          <w:sz w:val="24"/>
          <w:szCs w:val="24"/>
          <w:lang w:eastAsia="en-AU"/>
        </w:rPr>
        <w:t>Food Standards Australia New Zealand</w:t>
      </w:r>
      <w:r w:rsidR="00B42E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(FSANZ)</w:t>
      </w:r>
      <w:r w:rsidR="00EC09BC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;</w:t>
      </w:r>
    </w:p>
    <w:p w14:paraId="61FA9D66" w14:textId="3B685F2C" w:rsidR="002E3355" w:rsidRPr="00BF49A9" w:rsidRDefault="004763BA" w:rsidP="00CE32DE">
      <w:pPr>
        <w:pStyle w:val="ListParagraph"/>
        <w:numPr>
          <w:ilvl w:val="0"/>
          <w:numId w:val="6"/>
        </w:numPr>
        <w:spacing w:before="12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</w:pPr>
      <w:r w:rsidRPr="00977008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coordinate jurisdiction-based communication and engagement</w:t>
      </w:r>
      <w:r w:rsidR="00EC09BC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 and provide consolidated feedback to FRSC</w:t>
      </w:r>
      <w:r w:rsidR="00EC09BC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;</w:t>
      </w:r>
      <w:r w:rsidR="0085529D" w:rsidRPr="00BF49A9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 and</w:t>
      </w:r>
    </w:p>
    <w:p w14:paraId="667549DD" w14:textId="77777777" w:rsidR="001D2E3E" w:rsidRPr="00BF49A9" w:rsidRDefault="001D2E3E" w:rsidP="00CE32DE">
      <w:pPr>
        <w:pStyle w:val="ListParagraph"/>
        <w:numPr>
          <w:ilvl w:val="0"/>
          <w:numId w:val="6"/>
        </w:numPr>
        <w:spacing w:before="12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</w:pPr>
      <w:r w:rsidRPr="00BF49A9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undertake other work agreed by FRSC.</w:t>
      </w:r>
    </w:p>
    <w:p w14:paraId="501C88F0" w14:textId="682C0C09" w:rsidR="002C25E0" w:rsidRPr="00534E04" w:rsidRDefault="00534E04" w:rsidP="00E23905">
      <w:pPr>
        <w:spacing w:before="180" w:after="0" w:line="240" w:lineRule="auto"/>
        <w:ind w:left="62"/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</w:pPr>
      <w:r w:rsidRPr="00FC63EA">
        <w:rPr>
          <w:rFonts w:ascii="Times New Roman" w:hAnsi="Times New Roman" w:cs="Times New Roman"/>
          <w:color w:val="222222"/>
          <w:sz w:val="24"/>
          <w:szCs w:val="24"/>
        </w:rPr>
        <w:t xml:space="preserve">ISFR's role applies equally to imported, exported and domestic food </w:t>
      </w:r>
      <w:r w:rsidRPr="00FC63EA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and </w:t>
      </w:r>
      <w:r w:rsidR="00735D02" w:rsidRPr="00FC63EA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across the whole food supply chain</w:t>
      </w:r>
      <w:r w:rsidR="00516AE8" w:rsidRPr="00FC63EA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.</w:t>
      </w:r>
    </w:p>
    <w:p w14:paraId="106A60B4" w14:textId="0E686D33" w:rsidR="00516AE8" w:rsidRPr="00BF49A9" w:rsidRDefault="00516AE8" w:rsidP="004B6A4A">
      <w:pPr>
        <w:pStyle w:val="Heading1"/>
        <w:rPr>
          <w:rFonts w:eastAsia="Times New Roman"/>
          <w:lang w:eastAsia="en-AU"/>
        </w:rPr>
      </w:pPr>
      <w:bookmarkStart w:id="0" w:name="_Toc361666292"/>
      <w:bookmarkStart w:id="1" w:name="_Toc361666470"/>
      <w:bookmarkStart w:id="2" w:name="_Toc361666747"/>
      <w:bookmarkStart w:id="3" w:name="_Toc361667445"/>
      <w:bookmarkStart w:id="4" w:name="_Toc362771351"/>
      <w:bookmarkStart w:id="5" w:name="_Toc362773024"/>
      <w:bookmarkStart w:id="6" w:name="_Toc362776736"/>
      <w:r w:rsidRPr="00BF49A9">
        <w:rPr>
          <w:rFonts w:eastAsia="Times New Roman"/>
          <w:lang w:eastAsia="en-AU"/>
        </w:rPr>
        <w:t>S</w:t>
      </w:r>
      <w:r w:rsidR="009D45DC">
        <w:rPr>
          <w:rFonts w:eastAsia="Times New Roman"/>
          <w:lang w:eastAsia="en-AU"/>
        </w:rPr>
        <w:t>cope</w:t>
      </w:r>
      <w:bookmarkEnd w:id="0"/>
      <w:bookmarkEnd w:id="1"/>
      <w:bookmarkEnd w:id="2"/>
      <w:bookmarkEnd w:id="3"/>
      <w:bookmarkEnd w:id="4"/>
      <w:bookmarkEnd w:id="5"/>
      <w:bookmarkEnd w:id="6"/>
    </w:p>
    <w:p w14:paraId="683A35AE" w14:textId="4AC0FF4F" w:rsidR="00516AE8" w:rsidRPr="00DC18C7" w:rsidRDefault="00516AE8" w:rsidP="00E23905">
      <w:pPr>
        <w:tabs>
          <w:tab w:val="left" w:pos="1418"/>
        </w:tabs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ISFR’s primary task is to </w:t>
      </w:r>
      <w:r w:rsidR="00E57FDE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promote </w:t>
      </w:r>
      <w:r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</w:t>
      </w:r>
      <w:r w:rsidR="00E57FDE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facilitate </w:t>
      </w:r>
      <w:r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consistent, bi-national </w:t>
      </w:r>
      <w:r w:rsidR="00DC18C7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>(where applicable)</w:t>
      </w:r>
      <w:r w:rsid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>approach</w:t>
      </w:r>
      <w:r w:rsidR="005C37E3"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>es</w:t>
      </w:r>
      <w:r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implementation</w:t>
      </w:r>
      <w:r w:rsidR="00A342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</w:t>
      </w:r>
      <w:r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compliance </w:t>
      </w:r>
      <w:r w:rsidR="005C37E3"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>with</w:t>
      </w:r>
      <w:r w:rsidR="00A342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enforcement of</w:t>
      </w:r>
      <w:r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Australia </w:t>
      </w:r>
      <w:r w:rsidR="00C51F0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</w:t>
      </w:r>
      <w:r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>New</w:t>
      </w:r>
      <w:r w:rsidR="00C51F0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Zealand </w:t>
      </w:r>
      <w:r w:rsidR="00EC09BC">
        <w:rPr>
          <w:rFonts w:ascii="Times New Roman" w:eastAsia="Times New Roman" w:hAnsi="Times New Roman" w:cs="Times New Roman"/>
          <w:sz w:val="24"/>
          <w:szCs w:val="24"/>
          <w:lang w:eastAsia="en-AU"/>
        </w:rPr>
        <w:t>F</w:t>
      </w:r>
      <w:r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ood </w:t>
      </w:r>
      <w:r w:rsidR="00EC09BC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egulation </w:t>
      </w:r>
      <w:r w:rsidR="00EC09BC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>ystem. This will apply to the following:</w:t>
      </w:r>
    </w:p>
    <w:p w14:paraId="1C2A4C06" w14:textId="518882C5" w:rsidR="00516AE8" w:rsidRPr="00B42E36" w:rsidRDefault="00405E5A" w:rsidP="00CE32DE">
      <w:pPr>
        <w:pStyle w:val="ListParagraph"/>
        <w:numPr>
          <w:ilvl w:val="0"/>
          <w:numId w:val="4"/>
        </w:numPr>
        <w:tabs>
          <w:tab w:val="left" w:pos="1418"/>
        </w:tabs>
        <w:spacing w:before="12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516AE8"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nterpretation and application of food standards developed by </w:t>
      </w:r>
      <w:r w:rsidR="00516AE8" w:rsidRPr="00B42E36">
        <w:rPr>
          <w:rFonts w:ascii="Times New Roman" w:eastAsia="Times New Roman" w:hAnsi="Times New Roman" w:cs="Times New Roman"/>
          <w:sz w:val="24"/>
          <w:szCs w:val="24"/>
          <w:lang w:eastAsia="en-AU"/>
        </w:rPr>
        <w:t>FSANZ, but not to administrative frameworks used by jurisdictions to implement food standards</w:t>
      </w:r>
      <w:r w:rsidR="004845C2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</w:p>
    <w:p w14:paraId="1DB346AB" w14:textId="2CC68685" w:rsidR="00516AE8" w:rsidRPr="00B42E36" w:rsidRDefault="00405E5A" w:rsidP="00CE32DE">
      <w:pPr>
        <w:pStyle w:val="ListParagraph"/>
        <w:numPr>
          <w:ilvl w:val="0"/>
          <w:numId w:val="4"/>
        </w:numPr>
        <w:tabs>
          <w:tab w:val="left" w:pos="1418"/>
        </w:tabs>
        <w:spacing w:before="12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516AE8" w:rsidRPr="00B42E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mplementation of policies </w:t>
      </w:r>
      <w:r w:rsid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endorsed </w:t>
      </w:r>
      <w:r w:rsidR="00516AE8" w:rsidRPr="00B42E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by </w:t>
      </w:r>
      <w:r w:rsidR="00B42E36">
        <w:rPr>
          <w:rFonts w:ascii="Times New Roman" w:eastAsia="Times New Roman" w:hAnsi="Times New Roman" w:cs="Times New Roman"/>
          <w:sz w:val="24"/>
          <w:szCs w:val="24"/>
          <w:lang w:eastAsia="en-AU"/>
        </w:rPr>
        <w:t>the Forum</w:t>
      </w:r>
      <w:r w:rsidR="00E13687">
        <w:rPr>
          <w:rFonts w:ascii="Times New Roman" w:eastAsia="Times New Roman" w:hAnsi="Times New Roman" w:cs="Times New Roman"/>
          <w:sz w:val="24"/>
          <w:szCs w:val="24"/>
          <w:lang w:eastAsia="en-AU"/>
        </w:rPr>
        <w:t>; and</w:t>
      </w:r>
    </w:p>
    <w:p w14:paraId="01AAC25A" w14:textId="4379C0C5" w:rsidR="00516AE8" w:rsidRPr="00B42E36" w:rsidRDefault="00405E5A" w:rsidP="00CE32DE">
      <w:pPr>
        <w:pStyle w:val="ListParagraph"/>
        <w:numPr>
          <w:ilvl w:val="0"/>
          <w:numId w:val="4"/>
        </w:numPr>
        <w:tabs>
          <w:tab w:val="left" w:pos="1418"/>
        </w:tabs>
        <w:spacing w:before="12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o</w:t>
      </w:r>
      <w:r w:rsidR="00516AE8" w:rsidRPr="00B42E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ther matters as </w:t>
      </w:r>
      <w:r w:rsidR="00D20427" w:rsidRPr="00B42E36">
        <w:rPr>
          <w:rFonts w:ascii="Times New Roman" w:eastAsia="Times New Roman" w:hAnsi="Times New Roman" w:cs="Times New Roman"/>
          <w:sz w:val="24"/>
          <w:szCs w:val="24"/>
          <w:lang w:eastAsia="en-AU"/>
        </w:rPr>
        <w:t>requested</w:t>
      </w:r>
      <w:r w:rsidR="00516AE8" w:rsidRPr="00B42E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by FRSC or agreed by ISFR.</w:t>
      </w:r>
    </w:p>
    <w:p w14:paraId="72BBA5E9" w14:textId="561E6928" w:rsidR="00516AE8" w:rsidRPr="00DC18C7" w:rsidRDefault="00516AE8" w:rsidP="00E23905">
      <w:pPr>
        <w:keepLines/>
        <w:tabs>
          <w:tab w:val="left" w:pos="1418"/>
        </w:tabs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pursuing its work, ISFR may develop, or assist </w:t>
      </w:r>
      <w:r w:rsidR="00B65146"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>to</w:t>
      </w:r>
      <w:r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develop guidelines t</w:t>
      </w:r>
      <w:r w:rsidR="00B65146"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>hat</w:t>
      </w:r>
      <w:r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facilitate consistent implementation and compliance of food regulation by jurisdictions, or assist industry comply with legislative obligations (e.g. food standards developed by</w:t>
      </w:r>
      <w:r w:rsidR="00B42E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D2E3E" w:rsidRPr="00B42E36">
        <w:rPr>
          <w:rFonts w:ascii="Times New Roman" w:eastAsia="Times New Roman" w:hAnsi="Times New Roman" w:cs="Times New Roman"/>
          <w:sz w:val="24"/>
          <w:szCs w:val="24"/>
          <w:lang w:eastAsia="en-AU"/>
        </w:rPr>
        <w:t>FSANZ</w:t>
      </w:r>
      <w:r w:rsidR="00EC09BC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42E36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841819" w:rsidRPr="00B42E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B42E36">
        <w:rPr>
          <w:rFonts w:ascii="Times New Roman" w:eastAsia="Times New Roman" w:hAnsi="Times New Roman" w:cs="Times New Roman"/>
          <w:sz w:val="24"/>
          <w:szCs w:val="24"/>
          <w:lang w:eastAsia="en-AU"/>
        </w:rPr>
        <w:t>Guidelines may also</w:t>
      </w:r>
      <w:r w:rsidR="00B65146"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 developed for administrative and </w:t>
      </w:r>
      <w:r w:rsidR="00BE5502">
        <w:rPr>
          <w:rFonts w:ascii="Times New Roman" w:eastAsia="Times New Roman" w:hAnsi="Times New Roman" w:cs="Times New Roman"/>
          <w:sz w:val="24"/>
          <w:szCs w:val="24"/>
          <w:lang w:eastAsia="en-AU"/>
        </w:rPr>
        <w:t>operational purposes.</w:t>
      </w:r>
    </w:p>
    <w:p w14:paraId="2FDCAB46" w14:textId="070867BE" w:rsidR="00BF49A9" w:rsidRDefault="00BF49A9" w:rsidP="00CE32DE">
      <w:pPr>
        <w:pStyle w:val="CommentText"/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ISFR </w:t>
      </w:r>
      <w:r w:rsidR="004763BA">
        <w:rPr>
          <w:rFonts w:ascii="Times New Roman" w:eastAsia="Times New Roman" w:hAnsi="Times New Roman" w:cs="Times New Roman"/>
          <w:sz w:val="24"/>
          <w:szCs w:val="24"/>
          <w:lang w:eastAsia="en-AU"/>
        </w:rPr>
        <w:t>c</w:t>
      </w:r>
      <w:r w:rsidR="004763BA" w:rsidRPr="00E57FDE">
        <w:rPr>
          <w:rFonts w:ascii="Times New Roman" w:eastAsia="Times New Roman" w:hAnsi="Times New Roman" w:cs="Times New Roman"/>
          <w:sz w:val="24"/>
          <w:szCs w:val="24"/>
          <w:lang w:eastAsia="en-AU"/>
        </w:rPr>
        <w:t>ontribut</w:t>
      </w:r>
      <w:r w:rsidR="00E57FDE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4763BA" w:rsidRPr="00E57FDE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E57F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intelligence </w:t>
      </w:r>
      <w:r w:rsidR="008F46B4" w:rsidRPr="00E57F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gathering </w:t>
      </w:r>
      <w:r w:rsidRPr="00E57F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(data, information and evidence) by the </w:t>
      </w:r>
      <w:r w:rsidR="00E57FDE">
        <w:rPr>
          <w:rFonts w:ascii="Times New Roman" w:eastAsia="Times New Roman" w:hAnsi="Times New Roman" w:cs="Times New Roman"/>
          <w:sz w:val="24"/>
          <w:szCs w:val="24"/>
          <w:lang w:eastAsia="en-AU"/>
        </w:rPr>
        <w:t>F</w:t>
      </w:r>
      <w:r w:rsidRPr="00E57F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ood </w:t>
      </w:r>
      <w:r w:rsidR="00E57FDE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egulation </w:t>
      </w:r>
      <w:r w:rsidR="00E57FDE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>ystem that informs</w:t>
      </w:r>
      <w:r w:rsidR="00E57FDE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decision making. It inform</w:t>
      </w:r>
      <w:r w:rsidR="0046021E" w:rsidRPr="00FC63E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</w:t>
      </w:r>
      <w:r w:rsidR="00E57FDE" w:rsidRPr="00FC63E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E57FDE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>the effective implementation,</w:t>
      </w:r>
      <w:r w:rsidR="00E57FDE" w:rsidRPr="00087C9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monitoring and review of nationally agreed standards.</w:t>
      </w:r>
    </w:p>
    <w:p w14:paraId="3FA36376" w14:textId="3D13C0FF" w:rsidR="00DC18C7" w:rsidRDefault="00AD6AC0" w:rsidP="00E23905">
      <w:pPr>
        <w:tabs>
          <w:tab w:val="left" w:pos="1418"/>
        </w:tabs>
        <w:spacing w:before="180" w:after="0" w:line="240" w:lineRule="auto"/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</w:pPr>
      <w:r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ISFR </w:t>
      </w:r>
      <w:r w:rsid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provides </w:t>
      </w:r>
      <w:r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>input</w:t>
      </w:r>
      <w:r w:rsid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relating to implementation issues </w:t>
      </w:r>
      <w:r w:rsidR="004763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early </w:t>
      </w:r>
      <w:r w:rsid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during </w:t>
      </w:r>
      <w:r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development of policies and </w:t>
      </w:r>
      <w:r w:rsidRPr="00DC18C7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contribut</w:t>
      </w:r>
      <w:r w:rsidR="00FC63EA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es</w:t>
      </w:r>
      <w:r w:rsidRPr="00DC18C7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 to the evaluation and review of policy and standards</w:t>
      </w:r>
      <w:r w:rsidR="00534E04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.</w:t>
      </w:r>
    </w:p>
    <w:p w14:paraId="0CF76BC0" w14:textId="49847302" w:rsidR="00BF49A9" w:rsidRDefault="0062101D" w:rsidP="00E23905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During implementation and </w:t>
      </w:r>
      <w:r w:rsidR="00BF49A9" w:rsidRPr="00DC18C7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evaluation of policy and standards</w:t>
      </w:r>
      <w:r w:rsidR="00BF49A9"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763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ISFR </w:t>
      </w:r>
      <w:r w:rsidR="004763BA" w:rsidRPr="00365ACF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coordinate</w:t>
      </w:r>
      <w:r w:rsidR="004845C2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>s</w:t>
      </w:r>
      <w:r w:rsidR="004763BA" w:rsidRPr="00365ACF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 jurisdiction-based communication and engagement</w:t>
      </w:r>
      <w:r w:rsidR="00E753B7"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>, listen</w:t>
      </w:r>
      <w:r w:rsidR="004845C2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E753B7" w:rsidRPr="00DC18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stakeholder feedback and </w:t>
      </w:r>
      <w:r w:rsidR="004763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provides </w:t>
      </w:r>
      <w:r w:rsidR="004763BA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consolidated </w:t>
      </w:r>
      <w:r w:rsidR="00E753B7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>feedback to FRSC.</w:t>
      </w:r>
      <w:r w:rsidR="00E378AF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E378AF" w:rsidRPr="00E13687">
        <w:rPr>
          <w:rFonts w:ascii="Times New Roman" w:hAnsi="Times New Roman" w:cs="Times New Roman"/>
          <w:sz w:val="24"/>
          <w:szCs w:val="24"/>
          <w:lang w:eastAsia="en-AU"/>
        </w:rPr>
        <w:t xml:space="preserve">This can include advice on </w:t>
      </w:r>
      <w:r w:rsidR="004845C2" w:rsidRPr="00E13687">
        <w:rPr>
          <w:rFonts w:ascii="Times New Roman" w:hAnsi="Times New Roman" w:cs="Times New Roman"/>
          <w:sz w:val="24"/>
          <w:szCs w:val="24"/>
          <w:lang w:eastAsia="en-AU"/>
        </w:rPr>
        <w:t xml:space="preserve">improvement opportunities as well as </w:t>
      </w:r>
      <w:r w:rsidR="00E378AF" w:rsidRPr="00E13687">
        <w:rPr>
          <w:rFonts w:ascii="Times New Roman" w:hAnsi="Times New Roman" w:cs="Times New Roman"/>
          <w:sz w:val="24"/>
          <w:szCs w:val="24"/>
          <w:lang w:eastAsia="en-AU"/>
        </w:rPr>
        <w:t>progress towards achieving greater consistency.</w:t>
      </w:r>
    </w:p>
    <w:p w14:paraId="0F41E703" w14:textId="0E8E1039" w:rsidR="00516AE8" w:rsidRPr="00BF49A9" w:rsidRDefault="009D45DC" w:rsidP="004B6A4A">
      <w:pPr>
        <w:pStyle w:val="Heading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Membership</w:t>
      </w:r>
    </w:p>
    <w:p w14:paraId="5E49B42C" w14:textId="73C29CC3" w:rsidR="00516AE8" w:rsidRPr="00BF49A9" w:rsidRDefault="00516AE8" w:rsidP="00E23905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ISFR members will </w:t>
      </w:r>
      <w:r w:rsidR="000D3A94"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have </w:t>
      </w:r>
      <w:r w:rsidR="00B65146"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DF5FC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authority </w:t>
      </w:r>
      <w:r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>to make and implement decisions about compliance and enforcement issues in their jurisdictions.</w:t>
      </w:r>
      <w:r w:rsidR="00841819"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>The membership will comprise:</w:t>
      </w:r>
    </w:p>
    <w:p w14:paraId="4C91F07F" w14:textId="0C04DDC7" w:rsidR="00516AE8" w:rsidRPr="00BF49A9" w:rsidRDefault="00516AE8" w:rsidP="00CE32DE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One </w:t>
      </w:r>
      <w:r w:rsidR="00EC09BC">
        <w:rPr>
          <w:rFonts w:ascii="Times New Roman" w:eastAsia="Times New Roman" w:hAnsi="Times New Roman" w:cs="Times New Roman"/>
          <w:sz w:val="24"/>
          <w:szCs w:val="24"/>
          <w:lang w:eastAsia="en-AU"/>
        </w:rPr>
        <w:t>Australian Government</w:t>
      </w:r>
      <w:r w:rsidR="00EC09BC"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>representative from each of the following;</w:t>
      </w:r>
    </w:p>
    <w:p w14:paraId="15C42349" w14:textId="14C949A9" w:rsidR="00516AE8" w:rsidRPr="00BF49A9" w:rsidRDefault="00651347" w:rsidP="00CE32DE">
      <w:pPr>
        <w:numPr>
          <w:ilvl w:val="0"/>
          <w:numId w:val="1"/>
        </w:numPr>
        <w:tabs>
          <w:tab w:val="clear" w:pos="1080"/>
        </w:tabs>
        <w:spacing w:before="60"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>Department of Health</w:t>
      </w:r>
      <w:r w:rsidR="00E13687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</w:p>
    <w:p w14:paraId="208A779F" w14:textId="5485B6A4" w:rsidR="005B2B5F" w:rsidRPr="00BF49A9" w:rsidRDefault="00516AE8" w:rsidP="00CE32DE">
      <w:pPr>
        <w:numPr>
          <w:ilvl w:val="0"/>
          <w:numId w:val="1"/>
        </w:numPr>
        <w:tabs>
          <w:tab w:val="clear" w:pos="1080"/>
        </w:tabs>
        <w:spacing w:before="60"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>Department of Agriculture</w:t>
      </w:r>
      <w:r w:rsidR="00EA4BB7" w:rsidRPr="00EA4BB7">
        <w:rPr>
          <w:rFonts w:ascii="Times New Roman" w:eastAsia="Times New Roman" w:hAnsi="Times New Roman" w:cs="Times New Roman"/>
          <w:sz w:val="24"/>
          <w:szCs w:val="24"/>
          <w:lang w:eastAsia="en-AU"/>
        </w:rPr>
        <w:t>, Water and the Environment</w:t>
      </w:r>
      <w:r w:rsidR="00B65146"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</w:p>
    <w:p w14:paraId="7B1BC8E7" w14:textId="1FEEDFC8" w:rsidR="00D20427" w:rsidRPr="00BF49A9" w:rsidRDefault="004845C2" w:rsidP="00CE32DE">
      <w:pPr>
        <w:numPr>
          <w:ilvl w:val="0"/>
          <w:numId w:val="1"/>
        </w:numPr>
        <w:tabs>
          <w:tab w:val="clear" w:pos="1080"/>
        </w:tabs>
        <w:spacing w:before="60"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FSANZ</w:t>
      </w:r>
      <w:r w:rsidR="00E13687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</w:p>
    <w:p w14:paraId="73F74452" w14:textId="47561BE5" w:rsidR="00516AE8" w:rsidRPr="00BF49A9" w:rsidRDefault="00516AE8" w:rsidP="00CE32DE">
      <w:pPr>
        <w:pStyle w:val="ListParagraph"/>
        <w:numPr>
          <w:ilvl w:val="0"/>
          <w:numId w:val="3"/>
        </w:numPr>
        <w:spacing w:before="12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Maximum of two representatives from each </w:t>
      </w:r>
      <w:r w:rsidR="00EC09BC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>tate/</w:t>
      </w:r>
      <w:r w:rsidR="00EC09BC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E13687">
        <w:rPr>
          <w:rFonts w:ascii="Times New Roman" w:eastAsia="Times New Roman" w:hAnsi="Times New Roman" w:cs="Times New Roman"/>
          <w:sz w:val="24"/>
          <w:szCs w:val="24"/>
          <w:lang w:eastAsia="en-AU"/>
        </w:rPr>
        <w:t>erritory and New Zealand; and</w:t>
      </w:r>
    </w:p>
    <w:p w14:paraId="7004E81C" w14:textId="77777777" w:rsidR="00516AE8" w:rsidRPr="00BF49A9" w:rsidRDefault="00516AE8" w:rsidP="00CE32DE">
      <w:pPr>
        <w:pStyle w:val="ListParagraph"/>
        <w:numPr>
          <w:ilvl w:val="0"/>
          <w:numId w:val="3"/>
        </w:numPr>
        <w:spacing w:before="12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49A9">
        <w:rPr>
          <w:rFonts w:ascii="Times New Roman" w:eastAsia="Times New Roman" w:hAnsi="Times New Roman" w:cs="Times New Roman"/>
          <w:sz w:val="24"/>
          <w:szCs w:val="24"/>
          <w:lang w:eastAsia="en-AU"/>
        </w:rPr>
        <w:t>One representative from the Australian Local Government Association.</w:t>
      </w:r>
    </w:p>
    <w:p w14:paraId="2778972D" w14:textId="4D3BD48A" w:rsidR="00516AE8" w:rsidRPr="00C277B3" w:rsidRDefault="00651347" w:rsidP="00E23905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FRSC </w:t>
      </w:r>
      <w:r w:rsidR="00516AE8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will appoint the </w:t>
      </w:r>
      <w:r w:rsidR="00C277B3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ISFR </w:t>
      </w:r>
      <w:r w:rsidR="00516AE8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>Chair</w:t>
      </w:r>
      <w:r w:rsidR="00E40E8C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Deputy Chair</w:t>
      </w:r>
      <w:r w:rsidR="00516AE8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who may be independent of the above membership. </w:t>
      </w:r>
      <w:r w:rsidR="00E40E8C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ISFR is supported by the Food Regulation Secretariat and a </w:t>
      </w:r>
      <w:r w:rsidR="00BC2F12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E40E8C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enior </w:t>
      </w:r>
      <w:r w:rsidR="00BC2F12">
        <w:rPr>
          <w:rFonts w:ascii="Times New Roman" w:eastAsia="Times New Roman" w:hAnsi="Times New Roman" w:cs="Times New Roman"/>
          <w:sz w:val="24"/>
          <w:szCs w:val="24"/>
          <w:lang w:eastAsia="en-AU"/>
        </w:rPr>
        <w:t>P</w:t>
      </w:r>
      <w:r w:rsidR="00E40E8C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roject </w:t>
      </w:r>
      <w:r w:rsidR="00BC2F12">
        <w:rPr>
          <w:rFonts w:ascii="Times New Roman" w:eastAsia="Times New Roman" w:hAnsi="Times New Roman" w:cs="Times New Roman"/>
          <w:sz w:val="24"/>
          <w:szCs w:val="24"/>
          <w:lang w:eastAsia="en-AU"/>
        </w:rPr>
        <w:t>O</w:t>
      </w:r>
      <w:r w:rsidR="00E40E8C" w:rsidRPr="00FC63EA">
        <w:rPr>
          <w:rFonts w:ascii="Times New Roman" w:eastAsia="Times New Roman" w:hAnsi="Times New Roman" w:cs="Times New Roman"/>
          <w:sz w:val="24"/>
          <w:szCs w:val="24"/>
          <w:lang w:eastAsia="en-AU"/>
        </w:rPr>
        <w:t>fficer.</w:t>
      </w:r>
    </w:p>
    <w:p w14:paraId="0775EF6A" w14:textId="11EEFF09" w:rsidR="001D2E3E" w:rsidRPr="00DC18C7" w:rsidRDefault="009D45DC" w:rsidP="004B6A4A">
      <w:pPr>
        <w:pStyle w:val="Heading1"/>
      </w:pPr>
      <w:r>
        <w:t>Planning and Reporting</w:t>
      </w:r>
    </w:p>
    <w:p w14:paraId="73002339" w14:textId="345221DC" w:rsidR="00234B84" w:rsidRPr="00C277B3" w:rsidRDefault="00234B84" w:rsidP="00E23905">
      <w:pPr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 w:rsidRPr="00E753B7">
        <w:rPr>
          <w:rFonts w:ascii="Times New Roman" w:hAnsi="Times New Roman" w:cs="Times New Roman"/>
          <w:sz w:val="24"/>
          <w:szCs w:val="24"/>
        </w:rPr>
        <w:t xml:space="preserve">ISFR members will contribute to </w:t>
      </w:r>
      <w:r w:rsidR="00273562" w:rsidRPr="00E753B7">
        <w:rPr>
          <w:rFonts w:ascii="Times New Roman" w:hAnsi="Times New Roman" w:cs="Times New Roman"/>
          <w:sz w:val="24"/>
          <w:szCs w:val="24"/>
        </w:rPr>
        <w:t>the</w:t>
      </w:r>
      <w:r w:rsidR="00C277B3">
        <w:rPr>
          <w:rFonts w:ascii="Times New Roman" w:hAnsi="Times New Roman" w:cs="Times New Roman"/>
          <w:sz w:val="24"/>
          <w:szCs w:val="24"/>
        </w:rPr>
        <w:t xml:space="preserve"> </w:t>
      </w:r>
      <w:r w:rsidR="00622796">
        <w:rPr>
          <w:rFonts w:ascii="Times New Roman" w:hAnsi="Times New Roman" w:cs="Times New Roman"/>
          <w:sz w:val="24"/>
          <w:szCs w:val="24"/>
        </w:rPr>
        <w:t xml:space="preserve">whole of </w:t>
      </w:r>
      <w:r w:rsidR="004845C2">
        <w:rPr>
          <w:rFonts w:ascii="Times New Roman" w:hAnsi="Times New Roman" w:cs="Times New Roman"/>
          <w:sz w:val="24"/>
          <w:szCs w:val="24"/>
        </w:rPr>
        <w:t>F</w:t>
      </w:r>
      <w:r w:rsidR="00C277B3">
        <w:rPr>
          <w:rFonts w:ascii="Times New Roman" w:hAnsi="Times New Roman" w:cs="Times New Roman"/>
          <w:sz w:val="24"/>
          <w:szCs w:val="24"/>
        </w:rPr>
        <w:t xml:space="preserve">ood </w:t>
      </w:r>
      <w:r w:rsidR="004845C2">
        <w:rPr>
          <w:rFonts w:ascii="Times New Roman" w:hAnsi="Times New Roman" w:cs="Times New Roman"/>
          <w:sz w:val="24"/>
          <w:szCs w:val="24"/>
        </w:rPr>
        <w:t>R</w:t>
      </w:r>
      <w:r w:rsidR="00C277B3">
        <w:rPr>
          <w:rFonts w:ascii="Times New Roman" w:hAnsi="Times New Roman" w:cs="Times New Roman"/>
          <w:sz w:val="24"/>
          <w:szCs w:val="24"/>
        </w:rPr>
        <w:t xml:space="preserve">egulation </w:t>
      </w:r>
      <w:r w:rsidR="004845C2">
        <w:rPr>
          <w:rFonts w:ascii="Times New Roman" w:hAnsi="Times New Roman" w:cs="Times New Roman"/>
          <w:sz w:val="24"/>
          <w:szCs w:val="24"/>
        </w:rPr>
        <w:t>S</w:t>
      </w:r>
      <w:r w:rsidR="00C277B3">
        <w:rPr>
          <w:rFonts w:ascii="Times New Roman" w:hAnsi="Times New Roman" w:cs="Times New Roman"/>
          <w:sz w:val="24"/>
          <w:szCs w:val="24"/>
        </w:rPr>
        <w:t xml:space="preserve">ystem </w:t>
      </w:r>
      <w:r w:rsidRPr="00C277B3">
        <w:rPr>
          <w:rFonts w:ascii="Times New Roman" w:hAnsi="Times New Roman" w:cs="Times New Roman"/>
          <w:sz w:val="24"/>
          <w:szCs w:val="24"/>
        </w:rPr>
        <w:t xml:space="preserve">planning that establishes </w:t>
      </w:r>
      <w:r w:rsidR="00273562" w:rsidRPr="00C277B3">
        <w:rPr>
          <w:rFonts w:ascii="Times New Roman" w:hAnsi="Times New Roman" w:cs="Times New Roman"/>
          <w:sz w:val="24"/>
          <w:szCs w:val="24"/>
        </w:rPr>
        <w:t>the</w:t>
      </w:r>
      <w:r w:rsidRPr="00C277B3">
        <w:rPr>
          <w:rFonts w:ascii="Times New Roman" w:hAnsi="Times New Roman" w:cs="Times New Roman"/>
          <w:sz w:val="24"/>
          <w:szCs w:val="24"/>
        </w:rPr>
        <w:t xml:space="preserve"> annual </w:t>
      </w:r>
      <w:r w:rsidR="004845C2">
        <w:rPr>
          <w:rFonts w:ascii="Times New Roman" w:hAnsi="Times New Roman" w:cs="Times New Roman"/>
          <w:sz w:val="24"/>
          <w:szCs w:val="24"/>
        </w:rPr>
        <w:t>F</w:t>
      </w:r>
      <w:r w:rsidRPr="00C277B3">
        <w:rPr>
          <w:rFonts w:ascii="Times New Roman" w:hAnsi="Times New Roman" w:cs="Times New Roman"/>
          <w:sz w:val="24"/>
          <w:szCs w:val="24"/>
        </w:rPr>
        <w:t xml:space="preserve">ood </w:t>
      </w:r>
      <w:r w:rsidR="004845C2">
        <w:rPr>
          <w:rFonts w:ascii="Times New Roman" w:hAnsi="Times New Roman" w:cs="Times New Roman"/>
          <w:sz w:val="24"/>
          <w:szCs w:val="24"/>
        </w:rPr>
        <w:t>R</w:t>
      </w:r>
      <w:r w:rsidRPr="00C277B3">
        <w:rPr>
          <w:rFonts w:ascii="Times New Roman" w:hAnsi="Times New Roman" w:cs="Times New Roman"/>
          <w:sz w:val="24"/>
          <w:szCs w:val="24"/>
        </w:rPr>
        <w:t xml:space="preserve">egulation </w:t>
      </w:r>
      <w:r w:rsidR="004845C2">
        <w:rPr>
          <w:rFonts w:ascii="Times New Roman" w:hAnsi="Times New Roman" w:cs="Times New Roman"/>
          <w:sz w:val="24"/>
          <w:szCs w:val="24"/>
        </w:rPr>
        <w:t>S</w:t>
      </w:r>
      <w:r w:rsidRPr="00C277B3">
        <w:rPr>
          <w:rFonts w:ascii="Times New Roman" w:hAnsi="Times New Roman" w:cs="Times New Roman"/>
          <w:sz w:val="24"/>
          <w:szCs w:val="24"/>
        </w:rPr>
        <w:t>ystem work plan</w:t>
      </w:r>
      <w:r w:rsidR="00273562" w:rsidRPr="00C277B3">
        <w:rPr>
          <w:rFonts w:ascii="Times New Roman" w:hAnsi="Times New Roman" w:cs="Times New Roman"/>
          <w:sz w:val="24"/>
          <w:szCs w:val="24"/>
        </w:rPr>
        <w:t xml:space="preserve">. FRSC agreed </w:t>
      </w:r>
      <w:r w:rsidR="00C277B3">
        <w:rPr>
          <w:rFonts w:ascii="Times New Roman" w:hAnsi="Times New Roman" w:cs="Times New Roman"/>
          <w:sz w:val="24"/>
          <w:szCs w:val="24"/>
        </w:rPr>
        <w:t xml:space="preserve">ISFR </w:t>
      </w:r>
      <w:proofErr w:type="gramStart"/>
      <w:r w:rsidR="008F46B4">
        <w:rPr>
          <w:rFonts w:ascii="Times New Roman" w:hAnsi="Times New Roman" w:cs="Times New Roman"/>
          <w:sz w:val="24"/>
          <w:szCs w:val="24"/>
        </w:rPr>
        <w:t>activities</w:t>
      </w:r>
      <w:proofErr w:type="gramEnd"/>
      <w:r w:rsidR="008F46B4">
        <w:rPr>
          <w:rFonts w:ascii="Times New Roman" w:hAnsi="Times New Roman" w:cs="Times New Roman"/>
          <w:sz w:val="24"/>
          <w:szCs w:val="24"/>
        </w:rPr>
        <w:t xml:space="preserve"> </w:t>
      </w:r>
      <w:r w:rsidR="00C277B3">
        <w:rPr>
          <w:rFonts w:ascii="Times New Roman" w:hAnsi="Times New Roman" w:cs="Times New Roman"/>
          <w:sz w:val="24"/>
          <w:szCs w:val="24"/>
        </w:rPr>
        <w:t>and these Terms of Reference</w:t>
      </w:r>
      <w:r w:rsidR="00273562" w:rsidRPr="00C277B3">
        <w:rPr>
          <w:rFonts w:ascii="Times New Roman" w:hAnsi="Times New Roman" w:cs="Times New Roman"/>
          <w:sz w:val="24"/>
          <w:szCs w:val="24"/>
        </w:rPr>
        <w:t xml:space="preserve"> will form the basis of regular reporting by ISFR to FRSC.</w:t>
      </w:r>
    </w:p>
    <w:p w14:paraId="22F9216E" w14:textId="1C3C643B" w:rsidR="007429D5" w:rsidRPr="00DC18C7" w:rsidRDefault="009D45DC" w:rsidP="004B6A4A">
      <w:pPr>
        <w:pStyle w:val="Heading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Operational Rules</w:t>
      </w:r>
    </w:p>
    <w:p w14:paraId="4ECB9247" w14:textId="4DE9BCED" w:rsidR="00273562" w:rsidRPr="00C277B3" w:rsidRDefault="00273562" w:rsidP="00E23905">
      <w:pPr>
        <w:tabs>
          <w:tab w:val="num" w:pos="2153"/>
        </w:tabs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753B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ISFR’s operational rules are detailed in the </w:t>
      </w:r>
      <w:r w:rsidR="00C277B3">
        <w:rPr>
          <w:rFonts w:ascii="Times New Roman" w:eastAsia="Times New Roman" w:hAnsi="Times New Roman" w:cs="Times New Roman"/>
          <w:sz w:val="24"/>
          <w:szCs w:val="24"/>
          <w:lang w:eastAsia="en-AU"/>
        </w:rPr>
        <w:t>O</w:t>
      </w:r>
      <w:r w:rsidR="00C277B3" w:rsidRPr="00C277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perating </w:t>
      </w:r>
      <w:r w:rsidR="00C277B3">
        <w:rPr>
          <w:rFonts w:ascii="Times New Roman" w:eastAsia="Times New Roman" w:hAnsi="Times New Roman" w:cs="Times New Roman"/>
          <w:sz w:val="24"/>
          <w:szCs w:val="24"/>
          <w:lang w:eastAsia="en-AU"/>
        </w:rPr>
        <w:t>P</w:t>
      </w:r>
      <w:r w:rsidR="00C277B3" w:rsidRPr="00C277B3">
        <w:rPr>
          <w:rFonts w:ascii="Times New Roman" w:eastAsia="Times New Roman" w:hAnsi="Times New Roman" w:cs="Times New Roman"/>
          <w:sz w:val="24"/>
          <w:szCs w:val="24"/>
          <w:lang w:eastAsia="en-AU"/>
        </w:rPr>
        <w:t>rocedures</w:t>
      </w:r>
      <w:r w:rsidR="00C277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277B3" w:rsidRPr="00C277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</w:t>
      </w:r>
      <w:r w:rsidR="00C277B3">
        <w:rPr>
          <w:rFonts w:ascii="Times New Roman" w:eastAsia="Times New Roman" w:hAnsi="Times New Roman" w:cs="Times New Roman"/>
          <w:sz w:val="24"/>
          <w:szCs w:val="24"/>
          <w:lang w:eastAsia="en-AU"/>
        </w:rPr>
        <w:t>ISFR.</w:t>
      </w:r>
    </w:p>
    <w:sectPr w:rsidR="00273562" w:rsidRPr="00C277B3" w:rsidSect="007C3A2A">
      <w:footerReference w:type="default" r:id="rId11"/>
      <w:pgSz w:w="12240" w:h="15840"/>
      <w:pgMar w:top="1276" w:right="1800" w:bottom="1134" w:left="180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466D" w14:textId="77777777" w:rsidR="00CD2405" w:rsidRDefault="00CD2405" w:rsidP="000B2634">
      <w:pPr>
        <w:spacing w:after="0" w:line="240" w:lineRule="auto"/>
      </w:pPr>
      <w:r>
        <w:separator/>
      </w:r>
    </w:p>
  </w:endnote>
  <w:endnote w:type="continuationSeparator" w:id="0">
    <w:p w14:paraId="26D023EF" w14:textId="77777777" w:rsidR="00CD2405" w:rsidRDefault="00CD2405" w:rsidP="000B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E2BB" w14:textId="7BDA41CC" w:rsidR="007F5348" w:rsidRPr="008D5380" w:rsidRDefault="00000000" w:rsidP="001B47ED">
    <w:pPr>
      <w:pStyle w:val="Header"/>
      <w:spacing w:line="240" w:lineRule="auto"/>
      <w:jc w:val="right"/>
      <w:rPr>
        <w:rFonts w:ascii="Times New Roman" w:hAnsi="Times New Roman" w:cs="Times New Roman"/>
        <w:sz w:val="20"/>
        <w:szCs w:val="20"/>
      </w:rPr>
    </w:pPr>
    <w:sdt>
      <w:sdtPr>
        <w:id w:val="35000000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0"/>
          <w:szCs w:val="20"/>
        </w:rPr>
      </w:sdtEndPr>
      <w:sdtContent>
        <w:r w:rsidR="007F5348" w:rsidRPr="008D53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F5348" w:rsidRPr="008D538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7F5348" w:rsidRPr="008D53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1D0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7F5348" w:rsidRPr="008D538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E997" w14:textId="77777777" w:rsidR="00CD2405" w:rsidRDefault="00CD2405" w:rsidP="000B2634">
      <w:pPr>
        <w:spacing w:after="0" w:line="240" w:lineRule="auto"/>
      </w:pPr>
      <w:r>
        <w:separator/>
      </w:r>
    </w:p>
  </w:footnote>
  <w:footnote w:type="continuationSeparator" w:id="0">
    <w:p w14:paraId="6BF5AC87" w14:textId="77777777" w:rsidR="00CD2405" w:rsidRDefault="00CD2405" w:rsidP="000B2634">
      <w:pPr>
        <w:spacing w:after="0" w:line="240" w:lineRule="auto"/>
      </w:pPr>
      <w:r>
        <w:continuationSeparator/>
      </w:r>
    </w:p>
  </w:footnote>
  <w:footnote w:id="1">
    <w:p w14:paraId="62B9322A" w14:textId="77777777" w:rsidR="00F80FF1" w:rsidRDefault="00F80FF1" w:rsidP="00F80FF1">
      <w:pPr>
        <w:pStyle w:val="FootnoteText"/>
      </w:pPr>
      <w:r>
        <w:rPr>
          <w:rStyle w:val="FootnoteReference"/>
        </w:rPr>
        <w:footnoteRef/>
      </w:r>
      <w:r>
        <w:t xml:space="preserve"> Food Regulation Agreement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2CB4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F4C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269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8FF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DE2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7CA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C02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ECC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649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0F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C6A46"/>
    <w:multiLevelType w:val="hybridMultilevel"/>
    <w:tmpl w:val="76109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62D98"/>
    <w:multiLevelType w:val="hybridMultilevel"/>
    <w:tmpl w:val="9ED2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E0A41"/>
    <w:multiLevelType w:val="hybridMultilevel"/>
    <w:tmpl w:val="FB9405DA"/>
    <w:lvl w:ilvl="0" w:tplc="18E0C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E24620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15B28"/>
    <w:multiLevelType w:val="hybridMultilevel"/>
    <w:tmpl w:val="F94692AA"/>
    <w:lvl w:ilvl="0" w:tplc="EAF67DF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84077DB"/>
    <w:multiLevelType w:val="multilevel"/>
    <w:tmpl w:val="11184BDA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>
      <w:start w:val="3"/>
      <w:numFmt w:val="bullet"/>
      <w:lvlText w:val="•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>
      <w:start w:val="3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E36274"/>
    <w:multiLevelType w:val="hybridMultilevel"/>
    <w:tmpl w:val="1E0E4096"/>
    <w:lvl w:ilvl="0" w:tplc="109C7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41E2B"/>
    <w:multiLevelType w:val="hybridMultilevel"/>
    <w:tmpl w:val="28B0536E"/>
    <w:lvl w:ilvl="0" w:tplc="64BAA1EC">
      <w:start w:val="1"/>
      <w:numFmt w:val="bullet"/>
      <w:lvlText w:val=""/>
      <w:lvlJc w:val="left"/>
      <w:pPr>
        <w:ind w:left="143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 w16cid:durableId="1573813344">
    <w:abstractNumId w:val="14"/>
  </w:num>
  <w:num w:numId="2" w16cid:durableId="695665666">
    <w:abstractNumId w:val="11"/>
  </w:num>
  <w:num w:numId="3" w16cid:durableId="222644010">
    <w:abstractNumId w:val="15"/>
  </w:num>
  <w:num w:numId="4" w16cid:durableId="491483200">
    <w:abstractNumId w:val="12"/>
  </w:num>
  <w:num w:numId="5" w16cid:durableId="412313766">
    <w:abstractNumId w:val="10"/>
  </w:num>
  <w:num w:numId="6" w16cid:durableId="406272596">
    <w:abstractNumId w:val="13"/>
  </w:num>
  <w:num w:numId="7" w16cid:durableId="1122648916">
    <w:abstractNumId w:val="16"/>
  </w:num>
  <w:num w:numId="8" w16cid:durableId="1351953493">
    <w:abstractNumId w:val="9"/>
  </w:num>
  <w:num w:numId="9" w16cid:durableId="1990788017">
    <w:abstractNumId w:val="7"/>
  </w:num>
  <w:num w:numId="10" w16cid:durableId="924605880">
    <w:abstractNumId w:val="6"/>
  </w:num>
  <w:num w:numId="11" w16cid:durableId="2146194930">
    <w:abstractNumId w:val="5"/>
  </w:num>
  <w:num w:numId="12" w16cid:durableId="166941977">
    <w:abstractNumId w:val="4"/>
  </w:num>
  <w:num w:numId="13" w16cid:durableId="376784599">
    <w:abstractNumId w:val="8"/>
  </w:num>
  <w:num w:numId="14" w16cid:durableId="194344899">
    <w:abstractNumId w:val="3"/>
  </w:num>
  <w:num w:numId="15" w16cid:durableId="1297490067">
    <w:abstractNumId w:val="2"/>
  </w:num>
  <w:num w:numId="16" w16cid:durableId="1242564817">
    <w:abstractNumId w:val="1"/>
  </w:num>
  <w:num w:numId="17" w16cid:durableId="169641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E8"/>
    <w:rsid w:val="000025A4"/>
    <w:rsid w:val="00005F0C"/>
    <w:rsid w:val="00055338"/>
    <w:rsid w:val="00087C92"/>
    <w:rsid w:val="000B2634"/>
    <w:rsid w:val="000D3A94"/>
    <w:rsid w:val="000F3B05"/>
    <w:rsid w:val="00100120"/>
    <w:rsid w:val="00115A73"/>
    <w:rsid w:val="001651E9"/>
    <w:rsid w:val="00183271"/>
    <w:rsid w:val="001A68BE"/>
    <w:rsid w:val="001B47ED"/>
    <w:rsid w:val="001B725F"/>
    <w:rsid w:val="001D138C"/>
    <w:rsid w:val="001D2E3E"/>
    <w:rsid w:val="001D3204"/>
    <w:rsid w:val="001D76B9"/>
    <w:rsid w:val="001E03CC"/>
    <w:rsid w:val="001E50CB"/>
    <w:rsid w:val="00230FD7"/>
    <w:rsid w:val="00234B84"/>
    <w:rsid w:val="00273562"/>
    <w:rsid w:val="002C25E0"/>
    <w:rsid w:val="002E279A"/>
    <w:rsid w:val="002E3355"/>
    <w:rsid w:val="002E6B96"/>
    <w:rsid w:val="00317C47"/>
    <w:rsid w:val="00372427"/>
    <w:rsid w:val="00374423"/>
    <w:rsid w:val="00385D52"/>
    <w:rsid w:val="00401F39"/>
    <w:rsid w:val="00405B4D"/>
    <w:rsid w:val="00405E5A"/>
    <w:rsid w:val="004160B2"/>
    <w:rsid w:val="00434EE1"/>
    <w:rsid w:val="00444E67"/>
    <w:rsid w:val="0046021E"/>
    <w:rsid w:val="004763BA"/>
    <w:rsid w:val="004845C2"/>
    <w:rsid w:val="0049752C"/>
    <w:rsid w:val="004B6071"/>
    <w:rsid w:val="004B6A4A"/>
    <w:rsid w:val="004E60CB"/>
    <w:rsid w:val="004E699C"/>
    <w:rsid w:val="004E737C"/>
    <w:rsid w:val="004F0510"/>
    <w:rsid w:val="004F3F92"/>
    <w:rsid w:val="00512AA3"/>
    <w:rsid w:val="00513F30"/>
    <w:rsid w:val="00516AE8"/>
    <w:rsid w:val="00517336"/>
    <w:rsid w:val="00526C9A"/>
    <w:rsid w:val="00534E04"/>
    <w:rsid w:val="00537DC4"/>
    <w:rsid w:val="00543D1C"/>
    <w:rsid w:val="005654E7"/>
    <w:rsid w:val="005918D4"/>
    <w:rsid w:val="005B01B2"/>
    <w:rsid w:val="005B15E3"/>
    <w:rsid w:val="005B2B5F"/>
    <w:rsid w:val="005C37E3"/>
    <w:rsid w:val="005E7FCB"/>
    <w:rsid w:val="005F4C17"/>
    <w:rsid w:val="005F6A92"/>
    <w:rsid w:val="006038EE"/>
    <w:rsid w:val="00606E38"/>
    <w:rsid w:val="006203B7"/>
    <w:rsid w:val="0062101D"/>
    <w:rsid w:val="00622796"/>
    <w:rsid w:val="00651347"/>
    <w:rsid w:val="00663298"/>
    <w:rsid w:val="00671C40"/>
    <w:rsid w:val="00677F5C"/>
    <w:rsid w:val="00695D86"/>
    <w:rsid w:val="006A1667"/>
    <w:rsid w:val="006A4351"/>
    <w:rsid w:val="006A758A"/>
    <w:rsid w:val="006E7E79"/>
    <w:rsid w:val="00723F8F"/>
    <w:rsid w:val="00725560"/>
    <w:rsid w:val="00735D02"/>
    <w:rsid w:val="00736920"/>
    <w:rsid w:val="00741394"/>
    <w:rsid w:val="007429D5"/>
    <w:rsid w:val="007578F5"/>
    <w:rsid w:val="007C3A2A"/>
    <w:rsid w:val="007F5348"/>
    <w:rsid w:val="007F6EB6"/>
    <w:rsid w:val="00841819"/>
    <w:rsid w:val="0085529D"/>
    <w:rsid w:val="00877D31"/>
    <w:rsid w:val="00894D32"/>
    <w:rsid w:val="00896DCB"/>
    <w:rsid w:val="008A0D02"/>
    <w:rsid w:val="008A3670"/>
    <w:rsid w:val="008B360B"/>
    <w:rsid w:val="008D5380"/>
    <w:rsid w:val="008F46B4"/>
    <w:rsid w:val="008F7E35"/>
    <w:rsid w:val="009004EC"/>
    <w:rsid w:val="00906277"/>
    <w:rsid w:val="00913EC6"/>
    <w:rsid w:val="00971D06"/>
    <w:rsid w:val="00973A43"/>
    <w:rsid w:val="00977008"/>
    <w:rsid w:val="009868EB"/>
    <w:rsid w:val="00995CFB"/>
    <w:rsid w:val="009A7895"/>
    <w:rsid w:val="009B101E"/>
    <w:rsid w:val="009D45DC"/>
    <w:rsid w:val="009D569E"/>
    <w:rsid w:val="00A342FB"/>
    <w:rsid w:val="00A37A1E"/>
    <w:rsid w:val="00A47042"/>
    <w:rsid w:val="00A47A10"/>
    <w:rsid w:val="00A640F6"/>
    <w:rsid w:val="00A65539"/>
    <w:rsid w:val="00A81072"/>
    <w:rsid w:val="00A9790B"/>
    <w:rsid w:val="00AA4528"/>
    <w:rsid w:val="00AD170F"/>
    <w:rsid w:val="00AD6AC0"/>
    <w:rsid w:val="00AE2CDA"/>
    <w:rsid w:val="00B30BF3"/>
    <w:rsid w:val="00B42E36"/>
    <w:rsid w:val="00B44DB1"/>
    <w:rsid w:val="00B552B3"/>
    <w:rsid w:val="00B552E3"/>
    <w:rsid w:val="00B600CC"/>
    <w:rsid w:val="00B61F59"/>
    <w:rsid w:val="00B65146"/>
    <w:rsid w:val="00B77EE9"/>
    <w:rsid w:val="00B80470"/>
    <w:rsid w:val="00BC2F12"/>
    <w:rsid w:val="00BE2358"/>
    <w:rsid w:val="00BE5502"/>
    <w:rsid w:val="00BF49A9"/>
    <w:rsid w:val="00C05519"/>
    <w:rsid w:val="00C07FB9"/>
    <w:rsid w:val="00C1624E"/>
    <w:rsid w:val="00C277B3"/>
    <w:rsid w:val="00C36F77"/>
    <w:rsid w:val="00C40AF7"/>
    <w:rsid w:val="00C51F0F"/>
    <w:rsid w:val="00C556C7"/>
    <w:rsid w:val="00C71BD6"/>
    <w:rsid w:val="00C72F85"/>
    <w:rsid w:val="00C9111B"/>
    <w:rsid w:val="00CA1B64"/>
    <w:rsid w:val="00CD2405"/>
    <w:rsid w:val="00CE32DE"/>
    <w:rsid w:val="00D20427"/>
    <w:rsid w:val="00D328FE"/>
    <w:rsid w:val="00D54D72"/>
    <w:rsid w:val="00DA4510"/>
    <w:rsid w:val="00DC18C7"/>
    <w:rsid w:val="00DD3B6F"/>
    <w:rsid w:val="00DE3F54"/>
    <w:rsid w:val="00DE498F"/>
    <w:rsid w:val="00DF5FCD"/>
    <w:rsid w:val="00E05BD8"/>
    <w:rsid w:val="00E13687"/>
    <w:rsid w:val="00E23905"/>
    <w:rsid w:val="00E352D9"/>
    <w:rsid w:val="00E378AF"/>
    <w:rsid w:val="00E40E8C"/>
    <w:rsid w:val="00E57FDE"/>
    <w:rsid w:val="00E753B7"/>
    <w:rsid w:val="00E7683A"/>
    <w:rsid w:val="00EA4BB7"/>
    <w:rsid w:val="00EC09BC"/>
    <w:rsid w:val="00F13CE9"/>
    <w:rsid w:val="00F80FF1"/>
    <w:rsid w:val="00FA550E"/>
    <w:rsid w:val="00FA77FA"/>
    <w:rsid w:val="00FB01B7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F426E"/>
  <w15:docId w15:val="{5185377E-B168-4B13-A8C2-182F3813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D02"/>
    <w:pPr>
      <w:spacing w:after="200" w:line="276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qFormat/>
    <w:rsid w:val="001D76B9"/>
    <w:pPr>
      <w:keepNext/>
      <w:keepLines/>
      <w:spacing w:before="180" w:after="12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71C4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color w:val="000000" w:themeColor="text1"/>
    </w:rPr>
  </w:style>
  <w:style w:type="paragraph" w:customStyle="1" w:styleId="Default">
    <w:name w:val="Default"/>
    <w:rsid w:val="00516A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6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E8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rsid w:val="00516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E8"/>
    <w:rPr>
      <w:rFonts w:ascii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516AE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5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4E6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69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99C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E6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699C"/>
    <w:rPr>
      <w:rFonts w:asciiTheme="minorHAnsi" w:hAnsiTheme="minorHAnsi" w:cstheme="minorBid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80FF1"/>
    <w:pPr>
      <w:spacing w:after="0" w:line="240" w:lineRule="auto"/>
    </w:pPr>
    <w:rPr>
      <w:sz w:val="20"/>
      <w:szCs w:val="20"/>
      <w:lang w:val="en-N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FF1"/>
    <w:rPr>
      <w:rFonts w:asciiTheme="minorHAnsi" w:hAnsiTheme="minorHAnsi" w:cstheme="minorBidi"/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unhideWhenUsed/>
    <w:rsid w:val="00F80FF1"/>
    <w:rPr>
      <w:vertAlign w:val="superscript"/>
    </w:rPr>
  </w:style>
  <w:style w:type="paragraph" w:styleId="Revision">
    <w:name w:val="Revision"/>
    <w:hidden/>
    <w:uiPriority w:val="99"/>
    <w:semiHidden/>
    <w:rsid w:val="00BF49A9"/>
    <w:rPr>
      <w:rFonts w:asciiTheme="minorHAnsi" w:hAnsiTheme="minorHAnsi" w:cstheme="minorBidi"/>
    </w:rPr>
  </w:style>
  <w:style w:type="character" w:styleId="Hyperlink">
    <w:name w:val="Hyperlink"/>
    <w:basedOn w:val="DefaultParagraphFont"/>
    <w:unhideWhenUsed/>
    <w:rsid w:val="00DE3F5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9868EB"/>
    <w:pPr>
      <w:spacing w:before="120"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rsid w:val="009868EB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rsid w:val="001D76B9"/>
    <w:rPr>
      <w:rFonts w:ascii="Times New Roman" w:eastAsiaTheme="majorEastAsia" w:hAnsi="Times New Roman" w:cstheme="majorBidi"/>
      <w:b/>
      <w:sz w:val="24"/>
      <w:szCs w:val="32"/>
    </w:rPr>
  </w:style>
  <w:style w:type="paragraph" w:styleId="Subtitle">
    <w:name w:val="Subtitle"/>
    <w:basedOn w:val="Normal"/>
    <w:next w:val="Normal"/>
    <w:link w:val="SubtitleChar"/>
    <w:qFormat/>
    <w:rsid w:val="009868EB"/>
    <w:pPr>
      <w:numPr>
        <w:ilvl w:val="1"/>
      </w:numPr>
      <w:spacing w:before="140" w:after="0"/>
    </w:pPr>
    <w:rPr>
      <w:rFonts w:ascii="Times New Roman" w:eastAsiaTheme="minorEastAsia" w:hAnsi="Times New Roman"/>
      <w:i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9868EB"/>
    <w:rPr>
      <w:rFonts w:ascii="Times New Roman" w:eastAsiaTheme="minorEastAsia" w:hAnsi="Times New Roman" w:cstheme="minorBidi"/>
      <w:i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487dd-ec90-4f99-8970-1318e5f29791" xsi:nil="true"/>
    <Status xmlns="dcf7b372-aaaa-46d8-9da6-ade9aab953df" xsi:nil="true"/>
    <lcf76f155ced4ddcb4097134ff3c332f xmlns="dcf7b372-aaaa-46d8-9da6-ade9aab953df">
      <Terms xmlns="http://schemas.microsoft.com/office/infopath/2007/PartnerControls"/>
    </lcf76f155ced4ddcb4097134ff3c332f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Peerreviewed_x003f_ xmlns="dcf7b372-aaaa-46d8-9da6-ade9aab953df">false</Peerreviewed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43" ma:contentTypeDescription="Create a new document." ma:contentTypeScope="" ma:versionID="2ad65dcd2287509892a5262dc0626b5d">
  <xsd:schema xmlns:xsd="http://www.w3.org/2001/XMLSchema" xmlns:xs="http://www.w3.org/2001/XMLSchema" xmlns:p="http://schemas.microsoft.com/office/2006/metadata/properties" xmlns:ns2="dcf7b372-aaaa-46d8-9da6-ade9aab953df" xmlns:ns3="236487dd-ec90-4f99-8970-1318e5f29791" targetNamespace="http://schemas.microsoft.com/office/2006/metadata/properties" ma:root="true" ma:fieldsID="68b8e78cdb2e0c6e71dafa509c2a0510" ns2:_="" ns3:_="">
    <xsd:import namespace="dcf7b372-aaaa-46d8-9da6-ade9aab953df"/>
    <xsd:import namespace="236487dd-ec90-4f99-8970-1318e5f29791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Peerreviewed_x003f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Reviewer" ma:index="3" nillable="true" ma:displayName="Use case" ma:description="Who is reviewing the content to ensure it is current, accurate and relevant?" ma:format="Dropdown" ma:internalName="Reviewer" ma:readOnly="false">
      <xsd:simpleType>
        <xsd:restriction base="dms:Text">
          <xsd:maxLength value="255"/>
        </xsd:restriction>
      </xsd:simpleType>
    </xsd:element>
    <xsd:element name="Status" ma:index="4" nillable="true" ma:displayName="Status" ma:format="Dropdown" ma:internalName="Status" ma:readOnly="false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5" nillable="true" ma:displayName="Subtypes" ma:description="Subtypes available to the template&#10;" ma:format="Dropdown" ma:internalName="Subtypes" ma:readOnly="false">
      <xsd:simpleType>
        <xsd:restriction base="dms:Note">
          <xsd:maxLength value="255"/>
        </xsd:restriction>
      </xsd:simpleType>
    </xsd:element>
    <xsd:element name="URLpattern" ma:index="6" nillable="true" ma:displayName="URL pattern" ma:description="The URL pattern to be followed for all objects of this type" ma:format="Dropdown" ma:internalName="URLpattern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erreviewed_x003f_" ma:index="28" nillable="true" ma:displayName="SME reviewed?" ma:default="0" ma:format="Dropdown" ma:internalName="Peerreviewed_x003f_">
      <xsd:simpleType>
        <xsd:restriction base="dms:Boolea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ac229c01-420d-4fb4-94f6-2b9ca1e2fb91}" ma:internalName="TaxCatchAll" ma:readOnly="false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71003-5EE6-48AC-BBD0-5A328746E2F0}">
  <ds:schemaRefs>
    <ds:schemaRef ds:uri="http://schemas.microsoft.com/office/2006/metadata/properties"/>
    <ds:schemaRef ds:uri="http://schemas.microsoft.com/office/infopath/2007/PartnerControls"/>
    <ds:schemaRef ds:uri="236487dd-ec90-4f99-8970-1318e5f29791"/>
    <ds:schemaRef ds:uri="dcf7b372-aaaa-46d8-9da6-ade9aab953df"/>
  </ds:schemaRefs>
</ds:datastoreItem>
</file>

<file path=customXml/itemProps2.xml><?xml version="1.0" encoding="utf-8"?>
<ds:datastoreItem xmlns:ds="http://schemas.openxmlformats.org/officeDocument/2006/customXml" ds:itemID="{8B8E0837-98F9-455C-846F-FF37C209E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FDE2A-28A3-4C45-8865-41A0F221AD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59853C-896D-41EB-AF3F-9568362F3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Subcommittee on Food Regulation – Terms of reference</vt:lpstr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Subcommittee on Food Regulation – Terms of reference</dc:title>
  <dc:subject>Policy and regulation</dc:subject>
  <dc:creator>Implementation Subcommittee for Food Regulation</dc:creator>
  <cp:keywords>purpose; scope; membership; planning; reporting; operational rules; national consistency; food standards; implementation; enforcement</cp:keywords>
  <cp:lastModifiedBy>MORRISON, Lisa</cp:lastModifiedBy>
  <cp:revision>27</cp:revision>
  <cp:lastPrinted>2020-01-07T07:38:00Z</cp:lastPrinted>
  <dcterms:created xsi:type="dcterms:W3CDTF">2023-08-09T06:55:00Z</dcterms:created>
  <dcterms:modified xsi:type="dcterms:W3CDTF">2023-08-15T00:06:00Z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0x010100BA217076F0871349BCBE5A6EC7EEC4B3</vt:lpwstr>
  </property>
  <property fmtid="{D5CDD505-2E9C-101B-9397-08002B2CF9AE}" pid="9" name="MediaServiceImageTags">
    <vt:lpwstr/>
  </property>
</Properties>
</file>