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A2C4" w14:textId="77777777" w:rsidR="001C1C41" w:rsidRPr="00E600B3" w:rsidRDefault="001C1C41" w:rsidP="001C1C41">
      <w:pPr>
        <w:pStyle w:val="MincoHeading"/>
        <w:rPr>
          <w:rFonts w:asciiTheme="minorHAnsi" w:hAnsiTheme="minorHAnsi" w:cs="Arial"/>
        </w:rPr>
      </w:pPr>
      <w:r w:rsidRPr="00E600B3">
        <w:rPr>
          <w:rFonts w:asciiTheme="minorHAnsi" w:hAnsiTheme="minorHAnsi" w:cs="Arial"/>
        </w:rPr>
        <w:t>Legislative and Governance Forum on Food Regulation (FoFR)</w:t>
      </w:r>
    </w:p>
    <w:p w14:paraId="6A99B601" w14:textId="65BC5A69" w:rsidR="001C1C41" w:rsidRPr="00A06720" w:rsidRDefault="001C1C41" w:rsidP="00A06720">
      <w:pPr>
        <w:jc w:val="center"/>
        <w:rPr>
          <w:b/>
          <w:i/>
          <w:iCs/>
        </w:rPr>
      </w:pPr>
      <w:r w:rsidRPr="0029587C">
        <w:rPr>
          <w:rFonts w:asciiTheme="minorHAnsi" w:hAnsiTheme="minorHAnsi" w:cstheme="minorHAnsi"/>
          <w:i/>
          <w:iCs/>
          <w:sz w:val="24"/>
          <w:szCs w:val="24"/>
        </w:rPr>
        <w:t>Convening as the Australia and New Zealand Food Regulation Ministerial Council</w:t>
      </w:r>
      <w:r w:rsidR="00A06720" w:rsidRPr="0029587C">
        <w:rPr>
          <w:rFonts w:asciiTheme="minorHAnsi" w:hAnsiTheme="minorHAnsi" w:cstheme="minorHAnsi"/>
          <w:i/>
          <w:iCs/>
        </w:rPr>
        <w:br/>
      </w:r>
      <w:r w:rsidRPr="00A06720">
        <w:rPr>
          <w:rFonts w:asciiTheme="minorHAnsi" w:hAnsiTheme="minorHAnsi" w:cs="Arial"/>
          <w:b/>
          <w:bCs/>
        </w:rPr>
        <w:t>The document was endorsed on 13 December 2013</w:t>
      </w:r>
    </w:p>
    <w:p w14:paraId="59E068C1" w14:textId="77777777" w:rsidR="002A10D7" w:rsidRPr="00E600B3" w:rsidRDefault="002A10D7" w:rsidP="00317D91">
      <w:pPr>
        <w:pStyle w:val="Title"/>
      </w:pPr>
      <w:r w:rsidRPr="00E600B3">
        <w:t>Policy Statement</w:t>
      </w:r>
    </w:p>
    <w:p w14:paraId="111F8CD5" w14:textId="77777777" w:rsidR="002A10D7" w:rsidRPr="00BC30AD" w:rsidRDefault="002A10D7" w:rsidP="002A10D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154EE54" w14:textId="6FE1EF3C" w:rsidR="002A10D7" w:rsidRPr="00025BE8" w:rsidRDefault="002A10D7" w:rsidP="00025BE8">
      <w:pPr>
        <w:pStyle w:val="Default"/>
        <w:spacing w:after="120"/>
        <w:jc w:val="center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b/>
          <w:bCs/>
          <w:color w:val="auto"/>
        </w:rPr>
        <w:t>The Interpretation of Public Health and Safety in Developing, Reviewing and Varying Food Regulatory Measures</w:t>
      </w:r>
    </w:p>
    <w:p w14:paraId="0247D760" w14:textId="5A247FDE" w:rsidR="007F586D" w:rsidRPr="00E600B3" w:rsidRDefault="007F586D" w:rsidP="00B230EC">
      <w:pPr>
        <w:pStyle w:val="Heading1"/>
      </w:pPr>
      <w:r w:rsidRPr="00E600B3">
        <w:t xml:space="preserve">SCOPE/AIM </w:t>
      </w:r>
    </w:p>
    <w:p w14:paraId="191E1C99" w14:textId="77777777" w:rsidR="007F586D" w:rsidRPr="00E600B3" w:rsidRDefault="007F586D" w:rsidP="007F586D">
      <w:pPr>
        <w:pStyle w:val="Default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color w:val="auto"/>
        </w:rPr>
        <w:t>The primary objective of the Australia and New Zealand Food Regulation System is to protect public health and safety.</w:t>
      </w:r>
    </w:p>
    <w:p w14:paraId="1AEE41D4" w14:textId="11EE2185" w:rsidR="007F586D" w:rsidRPr="00F01F01" w:rsidRDefault="007F586D" w:rsidP="00F01F01">
      <w:pPr>
        <w:pStyle w:val="Default"/>
        <w:spacing w:before="120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color w:val="auto"/>
        </w:rPr>
        <w:t>The aim of this Policy Statement is to clarify how public health and safety should be interpreted by</w:t>
      </w:r>
      <w:r w:rsidR="00274604" w:rsidRPr="00E600B3">
        <w:rPr>
          <w:rFonts w:asciiTheme="minorHAnsi" w:hAnsiTheme="minorHAnsi"/>
          <w:color w:val="auto"/>
        </w:rPr>
        <w:t xml:space="preserve"> Food Standards Australia New Zealand (</w:t>
      </w:r>
      <w:r w:rsidRPr="00E600B3">
        <w:rPr>
          <w:rFonts w:asciiTheme="minorHAnsi" w:hAnsiTheme="minorHAnsi"/>
          <w:color w:val="auto"/>
        </w:rPr>
        <w:t>FSANZ</w:t>
      </w:r>
      <w:r w:rsidR="00274604" w:rsidRPr="00E600B3">
        <w:rPr>
          <w:rFonts w:asciiTheme="minorHAnsi" w:hAnsiTheme="minorHAnsi"/>
          <w:color w:val="auto"/>
        </w:rPr>
        <w:t>)</w:t>
      </w:r>
      <w:r w:rsidRPr="00E600B3">
        <w:rPr>
          <w:rFonts w:asciiTheme="minorHAnsi" w:hAnsiTheme="minorHAnsi"/>
          <w:color w:val="auto"/>
        </w:rPr>
        <w:t xml:space="preserve"> given the broad definition of public health which covers matters outside the remit of FSANZ.</w:t>
      </w:r>
    </w:p>
    <w:p w14:paraId="4160327D" w14:textId="77777777" w:rsidR="007F586D" w:rsidRPr="00E600B3" w:rsidRDefault="007F586D" w:rsidP="00B230EC">
      <w:pPr>
        <w:pStyle w:val="Heading1"/>
      </w:pPr>
      <w:r w:rsidRPr="00E600B3">
        <w:t xml:space="preserve">CONTEXT </w:t>
      </w:r>
    </w:p>
    <w:p w14:paraId="227DC266" w14:textId="5E323D3E" w:rsidR="006A68BA" w:rsidRPr="00E600B3" w:rsidRDefault="006A68BA" w:rsidP="006A68BA">
      <w:pPr>
        <w:pStyle w:val="Default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color w:val="auto"/>
        </w:rPr>
        <w:t>The ‘Overarching Strategic Statement for the Food Regulatory System’ (Overarching Statement) that provides the strategic context for the Australian and New Zealand food regulation s</w:t>
      </w:r>
      <w:r w:rsidR="00864DF1">
        <w:rPr>
          <w:rFonts w:asciiTheme="minorHAnsi" w:hAnsiTheme="minorHAnsi"/>
          <w:color w:val="auto"/>
        </w:rPr>
        <w:t xml:space="preserve">ystem was endorsed in May 2008.  </w:t>
      </w:r>
      <w:r w:rsidRPr="00E600B3">
        <w:rPr>
          <w:rFonts w:asciiTheme="minorHAnsi" w:hAnsiTheme="minorHAnsi"/>
          <w:color w:val="auto"/>
        </w:rPr>
        <w:t xml:space="preserve">The document articulates the scope and objectives of the food regulation system and recognises public health </w:t>
      </w:r>
      <w:r w:rsidR="007F586D" w:rsidRPr="00E600B3">
        <w:rPr>
          <w:rFonts w:asciiTheme="minorHAnsi" w:hAnsiTheme="minorHAnsi"/>
          <w:color w:val="auto"/>
        </w:rPr>
        <w:t>as</w:t>
      </w:r>
      <w:r w:rsidRPr="00E600B3">
        <w:rPr>
          <w:rFonts w:asciiTheme="minorHAnsi" w:hAnsiTheme="minorHAnsi"/>
          <w:color w:val="auto"/>
        </w:rPr>
        <w:t xml:space="preserve"> ‘the organised response by society to protect and promote health, and to prevent illness, injury and disability</w:t>
      </w:r>
      <w:r w:rsidR="00176F1D" w:rsidRPr="00E600B3">
        <w:rPr>
          <w:rFonts w:asciiTheme="minorHAnsi" w:hAnsiTheme="minorHAnsi"/>
          <w:color w:val="auto"/>
        </w:rPr>
        <w:t>.</w:t>
      </w:r>
    </w:p>
    <w:p w14:paraId="4D97867D" w14:textId="77777777" w:rsidR="00176F1D" w:rsidRPr="00E600B3" w:rsidRDefault="002A10D7" w:rsidP="00BC30AD">
      <w:pPr>
        <w:pStyle w:val="Default"/>
        <w:spacing w:before="120"/>
        <w:rPr>
          <w:rFonts w:asciiTheme="minorHAnsi" w:hAnsiTheme="minorHAnsi"/>
        </w:rPr>
      </w:pPr>
      <w:r w:rsidRPr="00E600B3">
        <w:rPr>
          <w:rFonts w:asciiTheme="minorHAnsi" w:hAnsiTheme="minorHAnsi"/>
          <w:color w:val="auto"/>
        </w:rPr>
        <w:t xml:space="preserve">The Overarching Statement </w:t>
      </w:r>
      <w:r w:rsidR="00176F1D" w:rsidRPr="00E600B3">
        <w:rPr>
          <w:rFonts w:asciiTheme="minorHAnsi" w:hAnsiTheme="minorHAnsi"/>
          <w:color w:val="auto"/>
        </w:rPr>
        <w:t>further acknowledges that f</w:t>
      </w:r>
      <w:r w:rsidR="000D4C33" w:rsidRPr="00E600B3">
        <w:rPr>
          <w:rFonts w:asciiTheme="minorHAnsi" w:hAnsiTheme="minorHAnsi"/>
          <w:color w:val="auto"/>
        </w:rPr>
        <w:t>ood regulation, as one facet of a range of strategies, may play an important role in preventing and reducing disease, illness and disability</w:t>
      </w:r>
      <w:r w:rsidR="00176F1D" w:rsidRPr="00E600B3">
        <w:rPr>
          <w:rFonts w:asciiTheme="minorHAnsi" w:hAnsiTheme="minorHAnsi"/>
          <w:color w:val="auto"/>
        </w:rPr>
        <w:t xml:space="preserve"> and that d</w:t>
      </w:r>
      <w:r w:rsidR="00176F1D" w:rsidRPr="00E600B3">
        <w:rPr>
          <w:rFonts w:asciiTheme="minorHAnsi" w:hAnsiTheme="minorHAnsi"/>
        </w:rPr>
        <w:t xml:space="preserve">epending on the </w:t>
      </w:r>
      <w:proofErr w:type="gramStart"/>
      <w:r w:rsidR="00176F1D" w:rsidRPr="00E600B3">
        <w:rPr>
          <w:rFonts w:asciiTheme="minorHAnsi" w:hAnsiTheme="minorHAnsi"/>
        </w:rPr>
        <w:t>particular public</w:t>
      </w:r>
      <w:proofErr w:type="gramEnd"/>
      <w:r w:rsidR="00176F1D" w:rsidRPr="00E600B3">
        <w:rPr>
          <w:rFonts w:asciiTheme="minorHAnsi" w:hAnsiTheme="minorHAnsi"/>
        </w:rPr>
        <w:t xml:space="preserve"> health issue to be addressed: </w:t>
      </w:r>
    </w:p>
    <w:p w14:paraId="490F5588" w14:textId="77777777" w:rsidR="00176F1D" w:rsidRPr="00E600B3" w:rsidRDefault="00176F1D" w:rsidP="00176F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en-AU"/>
        </w:rPr>
      </w:pPr>
      <w:r w:rsidRPr="00E600B3">
        <w:rPr>
          <w:rFonts w:asciiTheme="minorHAnsi" w:hAnsiTheme="minorHAnsi" w:cs="Arial"/>
          <w:color w:val="000000"/>
          <w:sz w:val="24"/>
          <w:szCs w:val="24"/>
          <w:lang w:eastAsia="en-AU"/>
        </w:rPr>
        <w:t xml:space="preserve">there may be a strong role for food regulation; </w:t>
      </w:r>
    </w:p>
    <w:p w14:paraId="6C51205D" w14:textId="77777777" w:rsidR="00176F1D" w:rsidRPr="00E600B3" w:rsidRDefault="00176F1D" w:rsidP="00176F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en-AU"/>
        </w:rPr>
      </w:pPr>
      <w:r w:rsidRPr="00E600B3">
        <w:rPr>
          <w:rFonts w:asciiTheme="minorHAnsi" w:hAnsiTheme="minorHAnsi" w:cs="Arial"/>
          <w:color w:val="000000"/>
          <w:sz w:val="24"/>
          <w:szCs w:val="24"/>
          <w:lang w:eastAsia="en-AU"/>
        </w:rPr>
        <w:t xml:space="preserve">there may be no role for food regulation; or </w:t>
      </w:r>
    </w:p>
    <w:p w14:paraId="427FFD66" w14:textId="10DA5D24" w:rsidR="000D4C33" w:rsidRPr="008113D8" w:rsidRDefault="00176F1D" w:rsidP="00176F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en-AU"/>
        </w:rPr>
      </w:pPr>
      <w:r w:rsidRPr="00E600B3">
        <w:rPr>
          <w:rFonts w:asciiTheme="minorHAnsi" w:hAnsiTheme="minorHAnsi" w:cs="Arial"/>
          <w:color w:val="000000"/>
          <w:sz w:val="24"/>
          <w:szCs w:val="24"/>
          <w:lang w:eastAsia="en-AU"/>
        </w:rPr>
        <w:t xml:space="preserve">food regulation may play a supporting role as a component of coordinated, multi-sectoral and population-wide strategies aimed at diet-related determinants of public health. </w:t>
      </w:r>
    </w:p>
    <w:p w14:paraId="43291BEE" w14:textId="77777777" w:rsidR="00164620" w:rsidRPr="00F01F01" w:rsidRDefault="00AB1CDB" w:rsidP="00F01F01">
      <w:pPr>
        <w:pStyle w:val="Heading1"/>
      </w:pPr>
      <w:r w:rsidRPr="00F01F01">
        <w:t>INTERPRETATION OF PUBLIC HEALTH</w:t>
      </w:r>
    </w:p>
    <w:p w14:paraId="1B214631" w14:textId="77777777" w:rsidR="005911C2" w:rsidRPr="00E600B3" w:rsidRDefault="005911C2" w:rsidP="005911C2">
      <w:pPr>
        <w:pStyle w:val="Default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color w:val="auto"/>
        </w:rPr>
        <w:t>Public health and safety in relation to food refers to all those aspects of food consumption that could adversely affect the general population or a particular community’s health either in the short term or long term, including preventable diet-related disease, illness and disability as well as acute food safety concerns.</w:t>
      </w:r>
    </w:p>
    <w:p w14:paraId="668E7946" w14:textId="77777777" w:rsidR="007F586D" w:rsidRPr="00E600B3" w:rsidRDefault="007F586D" w:rsidP="00BC30AD">
      <w:pPr>
        <w:pStyle w:val="Default"/>
        <w:spacing w:before="120"/>
        <w:rPr>
          <w:rFonts w:asciiTheme="minorHAnsi" w:hAnsiTheme="minorHAnsi"/>
        </w:rPr>
      </w:pPr>
      <w:r w:rsidRPr="00E600B3">
        <w:rPr>
          <w:rFonts w:asciiTheme="minorHAnsi" w:hAnsiTheme="minorHAnsi"/>
          <w:color w:val="auto"/>
        </w:rPr>
        <w:t xml:space="preserve">For the purposes of this Policy Statement, FSANZ should utilise the </w:t>
      </w:r>
      <w:r w:rsidRPr="00E600B3">
        <w:rPr>
          <w:rFonts w:asciiTheme="minorHAnsi" w:hAnsiTheme="minorHAnsi"/>
          <w:iCs/>
        </w:rPr>
        <w:t>Overarching Statement</w:t>
      </w:r>
      <w:r w:rsidRPr="00E600B3">
        <w:rPr>
          <w:rFonts w:asciiTheme="minorHAnsi" w:hAnsiTheme="minorHAnsi"/>
          <w:i/>
          <w:iCs/>
        </w:rPr>
        <w:t xml:space="preserve"> </w:t>
      </w:r>
      <w:r w:rsidRPr="00E600B3">
        <w:rPr>
          <w:rFonts w:asciiTheme="minorHAnsi" w:hAnsiTheme="minorHAnsi"/>
          <w:color w:val="auto"/>
        </w:rPr>
        <w:t xml:space="preserve">to clarify the interpretation of public health and safety during the development and review of food </w:t>
      </w:r>
      <w:r w:rsidR="005911C2" w:rsidRPr="00E600B3">
        <w:rPr>
          <w:rFonts w:asciiTheme="minorHAnsi" w:hAnsiTheme="minorHAnsi"/>
          <w:color w:val="auto"/>
        </w:rPr>
        <w:t>regulatory measures</w:t>
      </w:r>
      <w:r w:rsidRPr="00E600B3">
        <w:rPr>
          <w:rFonts w:asciiTheme="minorHAnsi" w:hAnsiTheme="minorHAnsi"/>
          <w:color w:val="auto"/>
        </w:rPr>
        <w:t>.</w:t>
      </w:r>
      <w:r w:rsidRPr="00E600B3">
        <w:rPr>
          <w:rFonts w:asciiTheme="minorHAnsi" w:hAnsiTheme="minorHAnsi"/>
        </w:rPr>
        <w:t xml:space="preserve"> </w:t>
      </w:r>
    </w:p>
    <w:p w14:paraId="02CF6A78" w14:textId="6F6A6ADE" w:rsidR="007F586D" w:rsidRPr="00E600B3" w:rsidRDefault="007F586D" w:rsidP="00BC30AD">
      <w:pPr>
        <w:pStyle w:val="Default"/>
        <w:spacing w:before="120"/>
        <w:rPr>
          <w:rFonts w:asciiTheme="minorHAnsi" w:hAnsiTheme="minorHAnsi"/>
          <w:color w:val="auto"/>
        </w:rPr>
      </w:pPr>
      <w:r w:rsidRPr="00E600B3">
        <w:rPr>
          <w:rFonts w:asciiTheme="minorHAnsi" w:hAnsiTheme="minorHAnsi"/>
          <w:color w:val="auto"/>
        </w:rPr>
        <w:t xml:space="preserve">The work of FSANZ </w:t>
      </w:r>
      <w:r w:rsidR="005911C2" w:rsidRPr="00E600B3">
        <w:rPr>
          <w:rFonts w:asciiTheme="minorHAnsi" w:hAnsiTheme="minorHAnsi"/>
          <w:color w:val="auto"/>
        </w:rPr>
        <w:t xml:space="preserve">complements </w:t>
      </w:r>
      <w:r w:rsidRPr="00E600B3">
        <w:rPr>
          <w:rFonts w:asciiTheme="minorHAnsi" w:hAnsiTheme="minorHAnsi"/>
          <w:color w:val="auto"/>
        </w:rPr>
        <w:t>the roles of other key public health agencies within Australia and New Zealand.</w:t>
      </w:r>
      <w:r w:rsidR="00864DF1">
        <w:rPr>
          <w:rFonts w:asciiTheme="minorHAnsi" w:hAnsiTheme="minorHAnsi"/>
          <w:color w:val="auto"/>
        </w:rPr>
        <w:t xml:space="preserve"> </w:t>
      </w:r>
      <w:r w:rsidRPr="00E600B3">
        <w:rPr>
          <w:rFonts w:asciiTheme="minorHAnsi" w:hAnsiTheme="minorHAnsi"/>
          <w:color w:val="auto"/>
        </w:rPr>
        <w:t>FSANZ take</w:t>
      </w:r>
      <w:r w:rsidR="005911C2" w:rsidRPr="00E600B3">
        <w:rPr>
          <w:rFonts w:asciiTheme="minorHAnsi" w:hAnsiTheme="minorHAnsi"/>
          <w:color w:val="auto"/>
        </w:rPr>
        <w:t>s</w:t>
      </w:r>
      <w:r w:rsidRPr="00E600B3">
        <w:rPr>
          <w:rFonts w:asciiTheme="minorHAnsi" w:hAnsiTheme="minorHAnsi"/>
          <w:color w:val="auto"/>
        </w:rPr>
        <w:t xml:space="preserve"> into consideration both long-term health impacts and immediate health risks in the development and review of food </w:t>
      </w:r>
      <w:r w:rsidR="005911C2" w:rsidRPr="00E600B3">
        <w:rPr>
          <w:rFonts w:asciiTheme="minorHAnsi" w:hAnsiTheme="minorHAnsi"/>
          <w:color w:val="auto"/>
        </w:rPr>
        <w:t>regulatory measures</w:t>
      </w:r>
      <w:r w:rsidRPr="00E600B3">
        <w:rPr>
          <w:rFonts w:asciiTheme="minorHAnsi" w:hAnsiTheme="minorHAnsi"/>
          <w:color w:val="auto"/>
        </w:rPr>
        <w:t>.</w:t>
      </w:r>
    </w:p>
    <w:sectPr w:rsidR="007F586D" w:rsidRPr="00E600B3" w:rsidSect="00864DF1">
      <w:headerReference w:type="default" r:id="rId8"/>
      <w:pgSz w:w="11907" w:h="16839"/>
      <w:pgMar w:top="1134" w:right="1134" w:bottom="851" w:left="1440" w:header="85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F7B8" w14:textId="77777777" w:rsidR="00155D5C" w:rsidRDefault="00155D5C" w:rsidP="00164620">
      <w:pPr>
        <w:spacing w:after="0" w:line="240" w:lineRule="auto"/>
      </w:pPr>
      <w:r>
        <w:separator/>
      </w:r>
    </w:p>
  </w:endnote>
  <w:endnote w:type="continuationSeparator" w:id="0">
    <w:p w14:paraId="11804F23" w14:textId="77777777" w:rsidR="00155D5C" w:rsidRDefault="00155D5C" w:rsidP="001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7D04" w14:textId="77777777" w:rsidR="00155D5C" w:rsidRDefault="00155D5C" w:rsidP="00164620">
      <w:pPr>
        <w:spacing w:after="0" w:line="240" w:lineRule="auto"/>
      </w:pPr>
      <w:r>
        <w:separator/>
      </w:r>
    </w:p>
  </w:footnote>
  <w:footnote w:type="continuationSeparator" w:id="0">
    <w:p w14:paraId="4F4EAB15" w14:textId="77777777" w:rsidR="00155D5C" w:rsidRDefault="00155D5C" w:rsidP="0016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6331" w14:textId="77777777" w:rsidR="005355D2" w:rsidRPr="00304022" w:rsidRDefault="00BC30AD" w:rsidP="001C1C41">
    <w:pPr>
      <w:pStyle w:val="Header"/>
      <w:tabs>
        <w:tab w:val="clear" w:pos="9026"/>
        <w:tab w:val="right" w:pos="9356"/>
      </w:tabs>
      <w:spacing w:after="0" w:line="240" w:lineRule="auto"/>
      <w:jc w:val="center"/>
      <w:rPr>
        <w:rFonts w:ascii="Times New Roman" w:hAnsi="Times New Roman"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FF0000"/>
        <w:spacing w:val="-2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13C29A"/>
    <w:multiLevelType w:val="hybridMultilevel"/>
    <w:tmpl w:val="3D3E0B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24622"/>
    <w:multiLevelType w:val="hybridMultilevel"/>
    <w:tmpl w:val="8C8A06F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DF3CBE"/>
    <w:multiLevelType w:val="hybridMultilevel"/>
    <w:tmpl w:val="4B8C9410"/>
    <w:lvl w:ilvl="0" w:tplc="27846300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524FB"/>
    <w:multiLevelType w:val="hybridMultilevel"/>
    <w:tmpl w:val="E84C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61F0"/>
    <w:multiLevelType w:val="hybridMultilevel"/>
    <w:tmpl w:val="3EEC80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1A7A22"/>
    <w:multiLevelType w:val="hybridMultilevel"/>
    <w:tmpl w:val="6D491C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EC177BC"/>
    <w:multiLevelType w:val="hybridMultilevel"/>
    <w:tmpl w:val="6BA2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80528">
    <w:abstractNumId w:val="0"/>
  </w:num>
  <w:num w:numId="2" w16cid:durableId="711346747">
    <w:abstractNumId w:val="4"/>
  </w:num>
  <w:num w:numId="3" w16cid:durableId="16740702">
    <w:abstractNumId w:val="5"/>
  </w:num>
  <w:num w:numId="4" w16cid:durableId="2134976478">
    <w:abstractNumId w:val="3"/>
  </w:num>
  <w:num w:numId="5" w16cid:durableId="202833967">
    <w:abstractNumId w:val="6"/>
  </w:num>
  <w:num w:numId="6" w16cid:durableId="1084181075">
    <w:abstractNumId w:val="1"/>
  </w:num>
  <w:num w:numId="7" w16cid:durableId="109918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56"/>
    <w:rsid w:val="00025BE8"/>
    <w:rsid w:val="00027D06"/>
    <w:rsid w:val="00097BA9"/>
    <w:rsid w:val="000A1B87"/>
    <w:rsid w:val="000C0CA3"/>
    <w:rsid w:val="000D4C33"/>
    <w:rsid w:val="00117D8C"/>
    <w:rsid w:val="001403AA"/>
    <w:rsid w:val="00155D5C"/>
    <w:rsid w:val="00164620"/>
    <w:rsid w:val="00176F1D"/>
    <w:rsid w:val="001B78ED"/>
    <w:rsid w:val="001C1C41"/>
    <w:rsid w:val="001D1A38"/>
    <w:rsid w:val="00253082"/>
    <w:rsid w:val="00255F90"/>
    <w:rsid w:val="00274604"/>
    <w:rsid w:val="00290D2B"/>
    <w:rsid w:val="0029587C"/>
    <w:rsid w:val="00297A51"/>
    <w:rsid w:val="002A10D7"/>
    <w:rsid w:val="002C5D33"/>
    <w:rsid w:val="00304022"/>
    <w:rsid w:val="00317D91"/>
    <w:rsid w:val="00334EA7"/>
    <w:rsid w:val="003A1AA7"/>
    <w:rsid w:val="00462D9F"/>
    <w:rsid w:val="004670CC"/>
    <w:rsid w:val="004B3BEC"/>
    <w:rsid w:val="005355D2"/>
    <w:rsid w:val="00563956"/>
    <w:rsid w:val="005911C2"/>
    <w:rsid w:val="00604352"/>
    <w:rsid w:val="006529E9"/>
    <w:rsid w:val="006A68BA"/>
    <w:rsid w:val="007377E0"/>
    <w:rsid w:val="007F586D"/>
    <w:rsid w:val="008113D8"/>
    <w:rsid w:val="0086457E"/>
    <w:rsid w:val="00864DF1"/>
    <w:rsid w:val="008C3B57"/>
    <w:rsid w:val="008F5443"/>
    <w:rsid w:val="00976970"/>
    <w:rsid w:val="009C4CED"/>
    <w:rsid w:val="00A06720"/>
    <w:rsid w:val="00AA1F80"/>
    <w:rsid w:val="00AB1CDB"/>
    <w:rsid w:val="00AD612A"/>
    <w:rsid w:val="00AE2A41"/>
    <w:rsid w:val="00B212E4"/>
    <w:rsid w:val="00B230EC"/>
    <w:rsid w:val="00BC30AD"/>
    <w:rsid w:val="00BF1DD1"/>
    <w:rsid w:val="00C6487F"/>
    <w:rsid w:val="00CF1958"/>
    <w:rsid w:val="00D94A71"/>
    <w:rsid w:val="00DB73E1"/>
    <w:rsid w:val="00DF08C7"/>
    <w:rsid w:val="00E600B3"/>
    <w:rsid w:val="00E96E86"/>
    <w:rsid w:val="00EB067E"/>
    <w:rsid w:val="00ED28C4"/>
    <w:rsid w:val="00ED6012"/>
    <w:rsid w:val="00EE18D4"/>
    <w:rsid w:val="00EF2E9F"/>
    <w:rsid w:val="00F01F01"/>
    <w:rsid w:val="00F16084"/>
    <w:rsid w:val="00F91BA8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24245"/>
  <w15:docId w15:val="{EB6BB634-9588-430B-8853-1BF1201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113D8"/>
    <w:pPr>
      <w:keepNext/>
      <w:keepLines/>
      <w:spacing w:before="16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39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3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334E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D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1A3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462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64620"/>
    <w:rPr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1646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64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462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620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1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1CD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1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1CDB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0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0D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A10D7"/>
    <w:rPr>
      <w:vertAlign w:val="superscript"/>
    </w:rPr>
  </w:style>
  <w:style w:type="paragraph" w:customStyle="1" w:styleId="MincoHeading">
    <w:name w:val="Minco Heading"/>
    <w:basedOn w:val="Normal"/>
    <w:uiPriority w:val="99"/>
    <w:rsid w:val="002A10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99"/>
    <w:qFormat/>
    <w:locked/>
    <w:rsid w:val="00317D91"/>
    <w:pPr>
      <w:spacing w:after="0" w:line="240" w:lineRule="auto"/>
      <w:jc w:val="center"/>
    </w:pPr>
    <w:rPr>
      <w:rFonts w:asciiTheme="minorHAnsi" w:eastAsia="Times New Roman" w:hAnsiTheme="minorHAnsi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17D91"/>
    <w:rPr>
      <w:rFonts w:asciiTheme="minorHAnsi" w:eastAsia="Times New Roman" w:hAnsiTheme="minorHAnsi"/>
      <w:b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8113D8"/>
    <w:rPr>
      <w:rFonts w:asciiTheme="minorHAnsi" w:eastAsiaTheme="majorEastAsia" w:hAnsiTheme="minorHAnsi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BD00-6117-431D-9091-CBDFEE33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 on the public health role of Food Standards Australia New Zealand (FSANZ)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on the public health role of Food Standards Australia New Zealand (FSANZ)</dc:title>
  <dc:subject>Policy and regulation</dc:subject>
  <dc:creator>Australia and New Zealand Food Regulation Ministerial Council </dc:creator>
  <cp:keywords>public health and safety</cp:keywords>
  <cp:lastModifiedBy>MORRISON, Lisa</cp:lastModifiedBy>
  <cp:revision>21</cp:revision>
  <cp:lastPrinted>2013-07-12T01:18:00Z</cp:lastPrinted>
  <dcterms:created xsi:type="dcterms:W3CDTF">2023-09-05T00:19:00Z</dcterms:created>
  <dcterms:modified xsi:type="dcterms:W3CDTF">2023-09-05T01:17:00Z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