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B50A" w14:textId="2E77E582" w:rsidR="00E769DA" w:rsidRDefault="00E769DA" w:rsidP="006923CA">
      <w:bookmarkStart w:id="0" w:name="_Toc179709686"/>
      <w:bookmarkStart w:id="1" w:name="_Toc182973472"/>
    </w:p>
    <w:p w14:paraId="34CBA6F4" w14:textId="67253F40" w:rsidR="00F6483B" w:rsidRPr="00060A06" w:rsidRDefault="00F6483B" w:rsidP="006923CA">
      <w:r w:rsidRPr="00F6483B">
        <w:rPr>
          <w:noProof/>
        </w:rPr>
        <w:drawing>
          <wp:inline distT="0" distB="0" distL="0" distR="0" wp14:anchorId="3F5F10D9" wp14:editId="06658F22">
            <wp:extent cx="6120130" cy="1438910"/>
            <wp:effectExtent l="0" t="0" r="0" b="8890"/>
            <wp:docPr id="3" name="Picture 3" descr="Joint Food Regulation System Logo" title="Joint Food Regulation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438910"/>
                    </a:xfrm>
                    <a:prstGeom prst="rect">
                      <a:avLst/>
                    </a:prstGeom>
                  </pic:spPr>
                </pic:pic>
              </a:graphicData>
            </a:graphic>
          </wp:inline>
        </w:drawing>
      </w:r>
    </w:p>
    <w:p w14:paraId="03D0A42E" w14:textId="77777777" w:rsidR="00F6483B" w:rsidRPr="00F6483B" w:rsidRDefault="00F6483B" w:rsidP="006923CA">
      <w:pPr>
        <w:pStyle w:val="Title"/>
      </w:pPr>
      <w:r w:rsidRPr="00F6483B">
        <w:t>Principles and protocols for the development of</w:t>
      </w:r>
    </w:p>
    <w:p w14:paraId="76371B66" w14:textId="4B014A1C" w:rsidR="00F6483B" w:rsidRDefault="00F6483B" w:rsidP="00F9074B">
      <w:pPr>
        <w:pStyle w:val="Title"/>
        <w:spacing w:before="0"/>
      </w:pPr>
      <w:r>
        <w:t>Food R</w:t>
      </w:r>
      <w:r w:rsidRPr="00F6483B">
        <w:t xml:space="preserve">egulation </w:t>
      </w:r>
      <w:r>
        <w:t>P</w:t>
      </w:r>
      <w:r w:rsidRPr="00F6483B">
        <w:t xml:space="preserve">olicy </w:t>
      </w:r>
      <w:r>
        <w:t>G</w:t>
      </w:r>
      <w:r w:rsidRPr="00F6483B">
        <w:t>uidelines</w:t>
      </w:r>
    </w:p>
    <w:p w14:paraId="554B50DE" w14:textId="6E3ACBD0" w:rsidR="00DE21D3" w:rsidRDefault="00DE21D3" w:rsidP="00F9074B">
      <w:pPr>
        <w:spacing w:after="5600"/>
        <w:jc w:val="right"/>
        <w:rPr>
          <w:b/>
          <w:bCs/>
        </w:rPr>
      </w:pPr>
      <w:r w:rsidRPr="00DE21D3">
        <w:t xml:space="preserve">May 2002 </w:t>
      </w:r>
      <w:r>
        <w:t xml:space="preserve">as </w:t>
      </w:r>
      <w:r w:rsidRPr="00DE21D3">
        <w:t>amend</w:t>
      </w:r>
      <w:r>
        <w:t>ed</w:t>
      </w:r>
      <w:r w:rsidRPr="00DE21D3">
        <w:t xml:space="preserve"> in March 2004, May 2007</w:t>
      </w:r>
      <w:r>
        <w:t xml:space="preserve">, </w:t>
      </w:r>
      <w:r w:rsidRPr="00DE21D3">
        <w:t>May 2008</w:t>
      </w:r>
      <w:r>
        <w:t xml:space="preserve"> and</w:t>
      </w:r>
      <w:r w:rsidR="003D34E6">
        <w:t xml:space="preserve"> </w:t>
      </w:r>
      <w:r w:rsidR="00622B9A" w:rsidRPr="003D34E6">
        <w:t>August</w:t>
      </w:r>
      <w:r w:rsidR="003D34E6">
        <w:t xml:space="preserve"> 2019</w:t>
      </w:r>
    </w:p>
    <w:p w14:paraId="4759236D" w14:textId="445281B4" w:rsidR="00994D32" w:rsidRDefault="00D93193" w:rsidP="006923CA">
      <w:pPr>
        <w:rPr>
          <w:sz w:val="32"/>
          <w:szCs w:val="32"/>
        </w:rPr>
      </w:pPr>
      <w:r w:rsidRPr="00F6483B">
        <w:rPr>
          <w:noProof/>
        </w:rPr>
        <mc:AlternateContent>
          <mc:Choice Requires="wps">
            <w:drawing>
              <wp:inline distT="0" distB="0" distL="0" distR="0" wp14:anchorId="50687B58" wp14:editId="5350C9F7">
                <wp:extent cx="6311265"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1404620"/>
                        </a:xfrm>
                        <a:prstGeom prst="rect">
                          <a:avLst/>
                        </a:prstGeom>
                        <a:solidFill>
                          <a:srgbClr val="92D050"/>
                        </a:solidFill>
                        <a:ln w="9525">
                          <a:noFill/>
                          <a:miter lim="800000"/>
                          <a:headEnd/>
                          <a:tailEnd/>
                        </a:ln>
                      </wps:spPr>
                      <wps:txbx>
                        <w:txbxContent>
                          <w:p w14:paraId="686ACE2E" w14:textId="7C59E47D" w:rsidR="00C7732D" w:rsidRPr="00D93193" w:rsidRDefault="00C7732D" w:rsidP="006923CA">
                            <w:r>
                              <w:t>This guide should be read in conjunction with the Food Regulation Policy Framework</w:t>
                            </w:r>
                            <w:r w:rsidR="00994D32">
                              <w:t xml:space="preserve">. </w:t>
                            </w:r>
                            <w:r w:rsidRPr="00D93193">
                              <w:t xml:space="preserve">It is essential that this document is provided to all officers that are involved </w:t>
                            </w:r>
                            <w:r>
                              <w:t xml:space="preserve">with the </w:t>
                            </w:r>
                            <w:r w:rsidRPr="00D93193">
                              <w:t>develop</w:t>
                            </w:r>
                            <w:r>
                              <w:t xml:space="preserve">ment of </w:t>
                            </w:r>
                            <w:r w:rsidRPr="00D93193">
                              <w:t xml:space="preserve">Food Regulation Policy. </w:t>
                            </w:r>
                          </w:p>
                        </w:txbxContent>
                      </wps:txbx>
                      <wps:bodyPr rot="0" vert="horz" wrap="square" lIns="91440" tIns="45720" rIns="91440" bIns="45720" anchor="t" anchorCtr="0">
                        <a:spAutoFit/>
                      </wps:bodyPr>
                    </wps:wsp>
                  </a:graphicData>
                </a:graphic>
              </wp:inline>
            </w:drawing>
          </mc:Choice>
          <mc:Fallback>
            <w:pict>
              <v:shapetype w14:anchorId="50687B58" id="_x0000_t202" coordsize="21600,21600" o:spt="202" path="m,l,21600r21600,l21600,xe">
                <v:stroke joinstyle="miter"/>
                <v:path gradientshapeok="t" o:connecttype="rect"/>
              </v:shapetype>
              <v:shape id="Text Box 2" o:spid="_x0000_s1026" type="#_x0000_t202" style="width:496.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" fillcolor="#92d050" stroked="f">
                <v:textbox style="mso-fit-shape-to-text:t">
                  <w:txbxContent>
                    <w:p w14:paraId="686ACE2E" w14:textId="7C59E47D" w:rsidR="00C7732D" w:rsidRPr="00D93193" w:rsidRDefault="00C7732D" w:rsidP="006923CA">
                      <w:r>
                        <w:t>This guide should be read in conjunction with the Food Regulation Policy Framework</w:t>
                      </w:r>
                      <w:r w:rsidR="00994D32">
                        <w:t xml:space="preserve">. </w:t>
                      </w:r>
                      <w:r w:rsidRPr="00D93193">
                        <w:t xml:space="preserve">It is essential that this document is provided to all officers that are involved </w:t>
                      </w:r>
                      <w:r>
                        <w:t xml:space="preserve">with the </w:t>
                      </w:r>
                      <w:r w:rsidRPr="00D93193">
                        <w:t>develop</w:t>
                      </w:r>
                      <w:r>
                        <w:t xml:space="preserve">ment of </w:t>
                      </w:r>
                      <w:r w:rsidRPr="00D93193">
                        <w:t xml:space="preserve">Food Regulation Policy. </w:t>
                      </w:r>
                    </w:p>
                  </w:txbxContent>
                </v:textbox>
                <w10:anchorlock/>
              </v:shape>
            </w:pict>
          </mc:Fallback>
        </mc:AlternateContent>
      </w:r>
    </w:p>
    <w:p w14:paraId="3E2ED462" w14:textId="0640D808" w:rsidR="001A6F0F" w:rsidRPr="00F42998" w:rsidRDefault="001A6F0F" w:rsidP="005375FD">
      <w:pPr>
        <w:pStyle w:val="Heading1"/>
      </w:pPr>
      <w:r w:rsidRPr="00F42998">
        <w:lastRenderedPageBreak/>
        <w:t>Food Regulation Policy Framework</w:t>
      </w:r>
    </w:p>
    <w:p w14:paraId="1927D778" w14:textId="323B703D" w:rsidR="001A6F0F" w:rsidRPr="00B85C4D" w:rsidRDefault="00855B8F" w:rsidP="005375FD">
      <w:pPr>
        <w:pStyle w:val="Heading2"/>
        <w:numPr>
          <w:ilvl w:val="0"/>
          <w:numId w:val="44"/>
        </w:numPr>
      </w:pPr>
      <w:r w:rsidRPr="002E454C">
        <w:t>Introduction</w:t>
      </w:r>
    </w:p>
    <w:p w14:paraId="68608C30" w14:textId="74011157" w:rsidR="00994D32" w:rsidRDefault="00717856" w:rsidP="006923CA">
      <w:r>
        <w:t>Th</w:t>
      </w:r>
      <w:r w:rsidR="000C53B7">
        <w:t xml:space="preserve">e </w:t>
      </w:r>
      <w:r w:rsidR="00632BA1">
        <w:t xml:space="preserve">Food Regulation </w:t>
      </w:r>
      <w:r w:rsidRPr="00B62A2C">
        <w:t xml:space="preserve">Policy Framework </w:t>
      </w:r>
      <w:r w:rsidR="00592422">
        <w:t xml:space="preserve">(the </w:t>
      </w:r>
      <w:r w:rsidR="00BD6655">
        <w:t xml:space="preserve">Policy </w:t>
      </w:r>
      <w:r w:rsidR="00592422">
        <w:t xml:space="preserve">Framework) </w:t>
      </w:r>
      <w:r w:rsidR="00D93193">
        <w:t xml:space="preserve">(Diagram 1) </w:t>
      </w:r>
      <w:r>
        <w:t xml:space="preserve">sets out the </w:t>
      </w:r>
      <w:r w:rsidR="00592422">
        <w:t>process</w:t>
      </w:r>
      <w:r w:rsidR="0039029E">
        <w:t xml:space="preserve"> for</w:t>
      </w:r>
      <w:r w:rsidR="00DA6CE7">
        <w:t xml:space="preserve"> </w:t>
      </w:r>
      <w:r w:rsidR="006B0A44">
        <w:t xml:space="preserve">identifying and </w:t>
      </w:r>
      <w:r>
        <w:t xml:space="preserve">assessing a potential food regulatory issue and determining the appropriate </w:t>
      </w:r>
      <w:r w:rsidRPr="00DA6CE7">
        <w:rPr>
          <w:b/>
        </w:rPr>
        <w:t>policy response</w:t>
      </w:r>
      <w:r>
        <w:t xml:space="preserve">. </w:t>
      </w:r>
      <w:r w:rsidR="0034190B">
        <w:t xml:space="preserve">The Framework was established to guide policy development </w:t>
      </w:r>
      <w:r w:rsidR="00994D32">
        <w:t xml:space="preserve">on behalf of </w:t>
      </w:r>
      <w:r w:rsidR="0034190B">
        <w:t xml:space="preserve">the </w:t>
      </w:r>
      <w:r w:rsidR="0034190B" w:rsidRPr="00FE6AE5">
        <w:t>Australia and New Zealand Ministerial Forum on Food Regulation (the Forum)</w:t>
      </w:r>
      <w:r w:rsidR="0034190B">
        <w:t xml:space="preserve">. Policy </w:t>
      </w:r>
      <w:r w:rsidR="00994D32">
        <w:t>G</w:t>
      </w:r>
      <w:r w:rsidR="0034190B">
        <w:t>uidelines developed by the Forum must be taken into account by FSANZ when developing or reviewing food standards. The Framework is</w:t>
      </w:r>
      <w:r w:rsidR="0034190B" w:rsidRPr="00B0203D">
        <w:t xml:space="preserve"> </w:t>
      </w:r>
      <w:r w:rsidR="0034190B">
        <w:t xml:space="preserve">designed to be </w:t>
      </w:r>
      <w:r w:rsidR="0034190B" w:rsidRPr="00B0203D">
        <w:t>flexible and non-linear</w:t>
      </w:r>
      <w:r w:rsidR="0034190B" w:rsidRPr="002B7A56">
        <w:t xml:space="preserve"> </w:t>
      </w:r>
      <w:r w:rsidR="0034190B">
        <w:t xml:space="preserve">and allows for a </w:t>
      </w:r>
      <w:r w:rsidR="00B85C4D">
        <w:t>proportionate approach.</w:t>
      </w:r>
    </w:p>
    <w:p w14:paraId="2881E4BF" w14:textId="44F2E24E" w:rsidR="00206252" w:rsidRDefault="0034190B" w:rsidP="006923CA">
      <w:r>
        <w:t xml:space="preserve">This document outlines the principles behind the Framework and explains the steps in the process. It is not intended to be prescriptive: rather the </w:t>
      </w:r>
      <w:r w:rsidRPr="00B0203D">
        <w:t xml:space="preserve">approach </w:t>
      </w:r>
      <w:r>
        <w:t xml:space="preserve">needs to </w:t>
      </w:r>
      <w:r w:rsidRPr="00B0203D">
        <w:t>be tailored to the particular issue.</w:t>
      </w:r>
      <w:r w:rsidR="00994D32">
        <w:t xml:space="preserve"> </w:t>
      </w:r>
      <w:r w:rsidR="0096130C">
        <w:t xml:space="preserve">It is intended to </w:t>
      </w:r>
      <w:r w:rsidR="00B62A2C">
        <w:t>foster a</w:t>
      </w:r>
      <w:r w:rsidR="001A6F0F" w:rsidRPr="00B62A2C">
        <w:t xml:space="preserve"> responsive </w:t>
      </w:r>
      <w:r w:rsidR="00B62A2C">
        <w:t>approach</w:t>
      </w:r>
      <w:r w:rsidR="001A6F0F" w:rsidRPr="00B62A2C">
        <w:t xml:space="preserve"> to </w:t>
      </w:r>
      <w:r w:rsidR="0096130C">
        <w:t xml:space="preserve">identifying </w:t>
      </w:r>
      <w:r w:rsidR="001A6F0F" w:rsidRPr="00B62A2C">
        <w:t>issues that require coordination across</w:t>
      </w:r>
      <w:r w:rsidR="00206252">
        <w:t xml:space="preserve"> </w:t>
      </w:r>
      <w:r w:rsidR="00994D32">
        <w:t>the F</w:t>
      </w:r>
      <w:r w:rsidR="006C09C0">
        <w:t xml:space="preserve">ood </w:t>
      </w:r>
      <w:r w:rsidR="00994D32">
        <w:t>Regulatory S</w:t>
      </w:r>
      <w:r w:rsidR="006C09C0">
        <w:t>ystem</w:t>
      </w:r>
      <w:r w:rsidR="00DB53A1">
        <w:t xml:space="preserve"> (the S</w:t>
      </w:r>
      <w:r w:rsidR="00994D32">
        <w:t>ystem)</w:t>
      </w:r>
      <w:r w:rsidR="005375FD">
        <w:t>.</w:t>
      </w:r>
    </w:p>
    <w:p w14:paraId="1A31382C" w14:textId="77777777" w:rsidR="003E1DE4" w:rsidRPr="00B85C4D" w:rsidRDefault="00D93193" w:rsidP="006923CA">
      <w:pPr>
        <w:rPr>
          <w:rStyle w:val="Strong"/>
        </w:rPr>
      </w:pPr>
      <w:r w:rsidRPr="00B85C4D">
        <w:rPr>
          <w:rStyle w:val="Strong"/>
        </w:rPr>
        <w:t>Diagram 1</w:t>
      </w:r>
    </w:p>
    <w:p w14:paraId="6D44C015" w14:textId="18115EB5" w:rsidR="00D93193" w:rsidRDefault="00D93193" w:rsidP="00DA6CE7">
      <w:pPr>
        <w:pStyle w:val="Default"/>
        <w:jc w:val="center"/>
        <w:rPr>
          <w:rFonts w:asciiTheme="minorHAnsi" w:hAnsiTheme="minorHAnsi" w:cstheme="minorBidi"/>
          <w:color w:val="auto"/>
          <w:sz w:val="22"/>
          <w:szCs w:val="22"/>
        </w:rPr>
      </w:pPr>
      <w:r>
        <w:rPr>
          <w:noProof/>
          <w:lang w:eastAsia="en-AU"/>
        </w:rPr>
        <w:drawing>
          <wp:inline distT="0" distB="0" distL="0" distR="0" wp14:anchorId="1C881051" wp14:editId="2A4C0D68">
            <wp:extent cx="5497032" cy="3756504"/>
            <wp:effectExtent l="0" t="0" r="8890" b="0"/>
            <wp:docPr id="4" name="Picture 4" descr="Diagram 1 is a timeline of the Food Regulation Policy Framw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odregulation.gov.au/internet/fr/publishing.nsf/Content/BF35DD518A78B0E0CA257F680082340B/$File/policy-frame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1101" cy="3772952"/>
                    </a:xfrm>
                    <a:prstGeom prst="rect">
                      <a:avLst/>
                    </a:prstGeom>
                    <a:noFill/>
                    <a:ln>
                      <a:noFill/>
                    </a:ln>
                  </pic:spPr>
                </pic:pic>
              </a:graphicData>
            </a:graphic>
          </wp:inline>
        </w:drawing>
      </w:r>
    </w:p>
    <w:p w14:paraId="0673AF6B" w14:textId="0EB1BA1C" w:rsidR="007565E0" w:rsidRPr="00B85C4D" w:rsidRDefault="005375FD" w:rsidP="005375FD">
      <w:pPr>
        <w:pStyle w:val="Heading2"/>
        <w:numPr>
          <w:ilvl w:val="0"/>
          <w:numId w:val="44"/>
        </w:numPr>
      </w:pPr>
      <w:r>
        <w:t>The Principles</w:t>
      </w:r>
    </w:p>
    <w:p w14:paraId="0189C624" w14:textId="6CE81B5E" w:rsidR="003E1DE4" w:rsidRDefault="0034190B" w:rsidP="0034190B">
      <w:pPr>
        <w:pStyle w:val="Default"/>
        <w:keepNext/>
        <w:keepLines/>
        <w:rPr>
          <w:rFonts w:asciiTheme="minorHAnsi" w:hAnsiTheme="minorHAnsi" w:cstheme="minorBidi"/>
          <w:sz w:val="22"/>
          <w:szCs w:val="22"/>
        </w:rPr>
      </w:pPr>
      <w:r>
        <w:rPr>
          <w:rFonts w:asciiTheme="minorHAnsi" w:hAnsiTheme="minorHAnsi" w:cstheme="minorBidi"/>
          <w:color w:val="auto"/>
          <w:sz w:val="22"/>
          <w:szCs w:val="22"/>
        </w:rPr>
        <w:t>T</w:t>
      </w:r>
      <w:r w:rsidR="00376514" w:rsidRPr="00E57073">
        <w:rPr>
          <w:rFonts w:asciiTheme="minorHAnsi" w:hAnsiTheme="minorHAnsi" w:cstheme="minorBidi"/>
          <w:color w:val="auto"/>
          <w:sz w:val="22"/>
          <w:szCs w:val="22"/>
        </w:rPr>
        <w:t>he Food R</w:t>
      </w:r>
      <w:r w:rsidR="003E1DE4" w:rsidRPr="00E57073">
        <w:rPr>
          <w:rFonts w:asciiTheme="minorHAnsi" w:hAnsiTheme="minorHAnsi" w:cstheme="minorBidi"/>
          <w:color w:val="auto"/>
          <w:sz w:val="22"/>
          <w:szCs w:val="22"/>
        </w:rPr>
        <w:t xml:space="preserve">egulation </w:t>
      </w:r>
      <w:r w:rsidR="00376514" w:rsidRPr="00E57073">
        <w:rPr>
          <w:rFonts w:asciiTheme="minorHAnsi" w:hAnsiTheme="minorHAnsi" w:cstheme="minorBidi"/>
          <w:color w:val="auto"/>
          <w:sz w:val="22"/>
          <w:szCs w:val="22"/>
        </w:rPr>
        <w:t xml:space="preserve">Standing </w:t>
      </w:r>
      <w:r w:rsidR="003E1DE4" w:rsidRPr="00E57073">
        <w:rPr>
          <w:rFonts w:asciiTheme="minorHAnsi" w:hAnsiTheme="minorHAnsi" w:cstheme="minorBidi"/>
          <w:color w:val="auto"/>
          <w:sz w:val="22"/>
          <w:szCs w:val="22"/>
        </w:rPr>
        <w:t>Committee (FRSC)</w:t>
      </w:r>
      <w:r w:rsidR="00E57073" w:rsidRPr="00E57073">
        <w:rPr>
          <w:rFonts w:asciiTheme="minorHAnsi" w:hAnsiTheme="minorHAnsi" w:cstheme="minorBidi"/>
          <w:color w:val="auto"/>
          <w:sz w:val="22"/>
          <w:szCs w:val="22"/>
        </w:rPr>
        <w:t xml:space="preserve"> </w:t>
      </w:r>
      <w:r w:rsidR="003E1DE4">
        <w:rPr>
          <w:rFonts w:asciiTheme="minorHAnsi" w:hAnsiTheme="minorHAnsi" w:cstheme="minorBidi"/>
          <w:sz w:val="22"/>
          <w:szCs w:val="22"/>
        </w:rPr>
        <w:t>will uphold the following principles</w:t>
      </w:r>
      <w:r>
        <w:rPr>
          <w:rFonts w:asciiTheme="minorHAnsi" w:hAnsiTheme="minorHAnsi" w:cstheme="minorBidi"/>
          <w:sz w:val="22"/>
          <w:szCs w:val="22"/>
        </w:rPr>
        <w:t xml:space="preserve"> in policy development</w:t>
      </w:r>
      <w:r w:rsidR="003E1DE4">
        <w:rPr>
          <w:rFonts w:asciiTheme="minorHAnsi" w:hAnsiTheme="minorHAnsi" w:cstheme="minorBidi"/>
          <w:sz w:val="22"/>
          <w:szCs w:val="22"/>
        </w:rPr>
        <w:t>:</w:t>
      </w:r>
    </w:p>
    <w:p w14:paraId="465A4A5D" w14:textId="77777777" w:rsidR="001A6F0F" w:rsidRPr="005375FD" w:rsidRDefault="003E1DE4" w:rsidP="005375FD">
      <w:pPr>
        <w:pStyle w:val="Heading3"/>
        <w:rPr>
          <w:rStyle w:val="SubtleEmphasis"/>
          <w:i w:val="0"/>
          <w:iCs w:val="0"/>
          <w:color w:val="595959" w:themeColor="text1" w:themeTint="A6"/>
        </w:rPr>
      </w:pPr>
      <w:r w:rsidRPr="005375FD">
        <w:t>Leadership</w:t>
      </w:r>
    </w:p>
    <w:p w14:paraId="3692CEE0" w14:textId="52107FF5" w:rsidR="00994D32" w:rsidRDefault="00FE6AE5" w:rsidP="006923CA">
      <w:r w:rsidRPr="00FE6AE5">
        <w:t xml:space="preserve">The </w:t>
      </w:r>
      <w:r w:rsidR="002E080E">
        <w:t>Forum</w:t>
      </w:r>
      <w:r>
        <w:t xml:space="preserve"> is the decision make</w:t>
      </w:r>
      <w:r w:rsidR="0096130C">
        <w:t>r</w:t>
      </w:r>
      <w:r>
        <w:t xml:space="preserve"> in the </w:t>
      </w:r>
      <w:r w:rsidR="00994D32">
        <w:t>System</w:t>
      </w:r>
      <w:r>
        <w:t xml:space="preserve">. </w:t>
      </w:r>
      <w:r w:rsidR="001A6F0F" w:rsidRPr="001A6F0F">
        <w:t>FRSC</w:t>
      </w:r>
      <w:r>
        <w:t xml:space="preserve"> provides policy advice to the Forum</w:t>
      </w:r>
      <w:r w:rsidR="00E57073">
        <w:t>. FRSC</w:t>
      </w:r>
      <w:r w:rsidR="001A6F0F" w:rsidRPr="001A6F0F">
        <w:t xml:space="preserve"> </w:t>
      </w:r>
      <w:r w:rsidR="00886565">
        <w:t>has</w:t>
      </w:r>
      <w:r w:rsidR="002B7F70" w:rsidRPr="001A6F0F">
        <w:t xml:space="preserve"> the responsibility of oversighting </w:t>
      </w:r>
      <w:r w:rsidR="00E57073">
        <w:t xml:space="preserve">and </w:t>
      </w:r>
      <w:r w:rsidR="00E57073" w:rsidRPr="00E57073">
        <w:t>guid</w:t>
      </w:r>
      <w:r w:rsidR="0096130C">
        <w:t>ing policy development;</w:t>
      </w:r>
      <w:r w:rsidR="00807FF3">
        <w:t xml:space="preserve"> </w:t>
      </w:r>
      <w:r w:rsidR="00E57073" w:rsidRPr="00E57073">
        <w:t xml:space="preserve">policy </w:t>
      </w:r>
      <w:r w:rsidR="00E57073">
        <w:t xml:space="preserve">leads and </w:t>
      </w:r>
      <w:r w:rsidR="00E57073" w:rsidRPr="00E57073">
        <w:t>working groups</w:t>
      </w:r>
      <w:r w:rsidR="00164658">
        <w:t xml:space="preserve"> </w:t>
      </w:r>
      <w:r w:rsidR="0034190B">
        <w:t xml:space="preserve">appointed by FRSC should </w:t>
      </w:r>
      <w:r w:rsidR="00E57073" w:rsidRPr="00E57073">
        <w:t xml:space="preserve">ensure that </w:t>
      </w:r>
      <w:r w:rsidR="0034190B">
        <w:t xml:space="preserve">policy </w:t>
      </w:r>
      <w:r w:rsidR="00E57073" w:rsidRPr="00E57073">
        <w:t xml:space="preserve">options </w:t>
      </w:r>
      <w:r w:rsidR="0034190B">
        <w:t xml:space="preserve">are </w:t>
      </w:r>
      <w:r w:rsidR="00E57073">
        <w:t xml:space="preserve">strategic. FRSC will provide </w:t>
      </w:r>
      <w:r w:rsidR="00886565">
        <w:t>strategic</w:t>
      </w:r>
      <w:r w:rsidR="00E57073">
        <w:t xml:space="preserve"> </w:t>
      </w:r>
      <w:r w:rsidR="00886565">
        <w:t>link</w:t>
      </w:r>
      <w:r w:rsidR="00E57073">
        <w:t xml:space="preserve">s between </w:t>
      </w:r>
      <w:r w:rsidR="00886565">
        <w:t>policies under development.</w:t>
      </w:r>
    </w:p>
    <w:p w14:paraId="10E3A67F" w14:textId="1C713686" w:rsidR="006A3294" w:rsidRDefault="0031409A" w:rsidP="006923CA">
      <w:r>
        <w:t xml:space="preserve">FRSC </w:t>
      </w:r>
      <w:r w:rsidR="002B7F70">
        <w:t>play</w:t>
      </w:r>
      <w:r w:rsidR="00886565">
        <w:t>s</w:t>
      </w:r>
      <w:r w:rsidR="002B7F70">
        <w:t xml:space="preserve"> a key role</w:t>
      </w:r>
      <w:r w:rsidR="00717856">
        <w:t xml:space="preserve"> in</w:t>
      </w:r>
      <w:r w:rsidR="001A6F0F" w:rsidRPr="001A6F0F">
        <w:t xml:space="preserve"> </w:t>
      </w:r>
      <w:r w:rsidR="00A82E51">
        <w:t xml:space="preserve">engaging </w:t>
      </w:r>
      <w:r w:rsidR="001A6F0F" w:rsidRPr="001A6F0F">
        <w:t xml:space="preserve">with Ministers, stakeholders, other parts of the regulatory system and other parts of government. </w:t>
      </w:r>
      <w:r w:rsidR="002B7F70">
        <w:t>The Implementation Sub</w:t>
      </w:r>
      <w:r w:rsidR="00424D96">
        <w:t>c</w:t>
      </w:r>
      <w:r w:rsidR="002B7F70">
        <w:t>ommittee for Food Regulation (</w:t>
      </w:r>
      <w:r w:rsidR="001A6F0F" w:rsidRPr="001A6F0F">
        <w:t>ISFR</w:t>
      </w:r>
      <w:r w:rsidR="002B7F70">
        <w:t>)</w:t>
      </w:r>
      <w:r w:rsidR="001A6F0F" w:rsidRPr="001A6F0F">
        <w:t xml:space="preserve"> and </w:t>
      </w:r>
      <w:r w:rsidR="002B7F70">
        <w:t>Food Standards Australia New Zealand (</w:t>
      </w:r>
      <w:r w:rsidR="001A6F0F" w:rsidRPr="001A6F0F">
        <w:t>FSANZ</w:t>
      </w:r>
      <w:r w:rsidR="002B7F70">
        <w:t>)</w:t>
      </w:r>
      <w:r w:rsidR="001A6F0F" w:rsidRPr="001A6F0F">
        <w:t xml:space="preserve"> will have key roles, expertise and evidence to contribute to the process.</w:t>
      </w:r>
      <w:r w:rsidR="006B0A44">
        <w:t xml:space="preserve"> </w:t>
      </w:r>
      <w:r w:rsidR="005952D2">
        <w:t xml:space="preserve">Project leads should </w:t>
      </w:r>
      <w:r w:rsidR="0049238E">
        <w:t xml:space="preserve">lead the work with an open mind and </w:t>
      </w:r>
      <w:r w:rsidR="005952D2">
        <w:t>not</w:t>
      </w:r>
      <w:r w:rsidR="00B865B9">
        <w:t xml:space="preserve"> be biased</w:t>
      </w:r>
      <w:r w:rsidR="005952D2">
        <w:t xml:space="preserve"> towards a specific </w:t>
      </w:r>
      <w:r w:rsidR="005952D2">
        <w:lastRenderedPageBreak/>
        <w:t xml:space="preserve">outcome. </w:t>
      </w:r>
      <w:r w:rsidR="00807FF3">
        <w:t xml:space="preserve">Project leads should consult with other jurisdictions and ensure a whole of </w:t>
      </w:r>
      <w:r w:rsidR="00994D32">
        <w:t>S</w:t>
      </w:r>
      <w:r w:rsidR="00060A06">
        <w:t>ystem approach is developed.</w:t>
      </w:r>
    </w:p>
    <w:p w14:paraId="58D587EC" w14:textId="047AB44F" w:rsidR="006132BC" w:rsidRPr="00E16A88" w:rsidRDefault="0034190B" w:rsidP="005375FD">
      <w:pPr>
        <w:pStyle w:val="Heading3"/>
        <w:rPr>
          <w:rStyle w:val="SubtleEmphasis"/>
          <w:i w:val="0"/>
          <w:iCs w:val="0"/>
          <w:color w:val="auto"/>
        </w:rPr>
      </w:pPr>
      <w:r w:rsidRPr="00E16A88">
        <w:rPr>
          <w:rStyle w:val="SubtleEmphasis"/>
          <w:i w:val="0"/>
          <w:iCs w:val="0"/>
          <w:color w:val="auto"/>
        </w:rPr>
        <w:t xml:space="preserve">A </w:t>
      </w:r>
      <w:r w:rsidR="006132BC" w:rsidRPr="00E16A88">
        <w:rPr>
          <w:rStyle w:val="SubtleEmphasis"/>
          <w:i w:val="0"/>
          <w:iCs w:val="0"/>
          <w:color w:val="auto"/>
        </w:rPr>
        <w:t xml:space="preserve">Flexible </w:t>
      </w:r>
      <w:r w:rsidRPr="00E16A88">
        <w:rPr>
          <w:rStyle w:val="SubtleEmphasis"/>
          <w:i w:val="0"/>
          <w:iCs w:val="0"/>
          <w:color w:val="auto"/>
        </w:rPr>
        <w:t>P</w:t>
      </w:r>
      <w:r w:rsidR="006132BC" w:rsidRPr="00E16A88">
        <w:rPr>
          <w:rStyle w:val="SubtleEmphasis"/>
          <w:i w:val="0"/>
          <w:iCs w:val="0"/>
          <w:color w:val="auto"/>
        </w:rPr>
        <w:t>rocess</w:t>
      </w:r>
    </w:p>
    <w:p w14:paraId="12CC54C9" w14:textId="0552DE3E" w:rsidR="006132BC" w:rsidRPr="00B0203D" w:rsidRDefault="006132BC" w:rsidP="006923CA">
      <w:r w:rsidRPr="00B0203D">
        <w:t xml:space="preserve">The </w:t>
      </w:r>
      <w:r>
        <w:t xml:space="preserve">policy process </w:t>
      </w:r>
      <w:r w:rsidRPr="00B0203D">
        <w:t>is flexible and non-linear</w:t>
      </w:r>
      <w:r w:rsidR="0034190B">
        <w:t>.</w:t>
      </w:r>
      <w:r w:rsidR="008029EA">
        <w:t xml:space="preserve"> </w:t>
      </w:r>
      <w:r w:rsidR="0034190B">
        <w:t>A</w:t>
      </w:r>
      <w:r>
        <w:t xml:space="preserve"> </w:t>
      </w:r>
      <w:r w:rsidRPr="00B0203D">
        <w:t xml:space="preserve">proportionate approach </w:t>
      </w:r>
      <w:r>
        <w:t xml:space="preserve">should </w:t>
      </w:r>
      <w:r w:rsidRPr="00B0203D">
        <w:t>be adopted. In going through each step and gateway, the approach taken</w:t>
      </w:r>
      <w:r>
        <w:t xml:space="preserve"> needs to </w:t>
      </w:r>
      <w:r w:rsidRPr="00B0203D">
        <w:t>be tail</w:t>
      </w:r>
      <w:r w:rsidR="003A54D7">
        <w:t xml:space="preserve">ored to the particular issue. </w:t>
      </w:r>
      <w:r w:rsidR="008029EA">
        <w:t xml:space="preserve">Where the </w:t>
      </w:r>
      <w:r w:rsidR="0096130C">
        <w:t xml:space="preserve">Framework </w:t>
      </w:r>
      <w:r w:rsidR="008029EA">
        <w:t>i</w:t>
      </w:r>
      <w:r w:rsidR="0096130C">
        <w:t>s</w:t>
      </w:r>
      <w:r w:rsidR="008029EA">
        <w:t xml:space="preserve"> </w:t>
      </w:r>
      <w:r w:rsidR="0096130C">
        <w:t>applied</w:t>
      </w:r>
      <w:r w:rsidR="008029EA">
        <w:t xml:space="preserve"> </w:t>
      </w:r>
      <w:r w:rsidR="0096130C">
        <w:t xml:space="preserve">it is </w:t>
      </w:r>
      <w:r w:rsidR="008029EA">
        <w:t xml:space="preserve">important </w:t>
      </w:r>
      <w:r w:rsidR="0096130C">
        <w:t xml:space="preserve">to be aware that </w:t>
      </w:r>
      <w:r w:rsidR="0096130C" w:rsidRPr="001A6F0F">
        <w:t>the process can be discontinued</w:t>
      </w:r>
      <w:r w:rsidR="0096130C" w:rsidRPr="0031409A">
        <w:t>, de</w:t>
      </w:r>
      <w:r w:rsidR="0096130C">
        <w:t xml:space="preserve">ferred, referred or merged with another processes </w:t>
      </w:r>
      <w:r w:rsidR="0096130C" w:rsidRPr="001A6F0F">
        <w:t xml:space="preserve">at any stage as more evidence and stakeholder </w:t>
      </w:r>
      <w:r w:rsidR="0096130C">
        <w:t xml:space="preserve">information </w:t>
      </w:r>
      <w:r w:rsidR="008029EA">
        <w:t>is obtained</w:t>
      </w:r>
      <w:r w:rsidR="0096130C">
        <w:t xml:space="preserve">. </w:t>
      </w:r>
      <w:r w:rsidR="008029EA">
        <w:t>FSANZ is responsible for t</w:t>
      </w:r>
      <w:r w:rsidR="0096130C">
        <w:t>he development and assessment of specific risk management tools such as</w:t>
      </w:r>
      <w:r w:rsidR="0096130C" w:rsidRPr="00B62A2C">
        <w:t xml:space="preserve"> non-intervention, self-regulation</w:t>
      </w:r>
      <w:r w:rsidR="0096130C">
        <w:t>,</w:t>
      </w:r>
      <w:r w:rsidR="0096130C" w:rsidRPr="00B62A2C">
        <w:t xml:space="preserve"> co-regulation </w:t>
      </w:r>
      <w:r w:rsidR="0096130C">
        <w:t xml:space="preserve">or regulation. If at any stage of the process it is decided that </w:t>
      </w:r>
      <w:r w:rsidR="00994D32">
        <w:t>P</w:t>
      </w:r>
      <w:r w:rsidR="0096130C">
        <w:t xml:space="preserve">olicy </w:t>
      </w:r>
      <w:r w:rsidR="00994D32">
        <w:t>G</w:t>
      </w:r>
      <w:r w:rsidR="0096130C">
        <w:t xml:space="preserve">uidance is </w:t>
      </w:r>
      <w:r w:rsidR="008029EA">
        <w:t xml:space="preserve">not </w:t>
      </w:r>
      <w:r w:rsidR="0096130C">
        <w:t>required</w:t>
      </w:r>
      <w:r w:rsidR="008029EA">
        <w:t xml:space="preserve">, the </w:t>
      </w:r>
      <w:r w:rsidR="0096130C">
        <w:t>issue can be referred by the Forum to FSANZ with a request to raise a Proposal</w:t>
      </w:r>
      <w:r w:rsidR="003A54D7">
        <w:t>.</w:t>
      </w:r>
    </w:p>
    <w:p w14:paraId="1CDEDCBA" w14:textId="77777777" w:rsidR="006132BC" w:rsidRPr="001A6F0F" w:rsidRDefault="006132BC" w:rsidP="005375FD">
      <w:pPr>
        <w:pStyle w:val="Heading3"/>
      </w:pPr>
      <w:r w:rsidRPr="001A6F0F">
        <w:t>Timeliness</w:t>
      </w:r>
    </w:p>
    <w:p w14:paraId="2CC681BF" w14:textId="5F30E1D3" w:rsidR="006132BC" w:rsidRPr="00B746F1" w:rsidRDefault="006132BC" w:rsidP="00B746F1">
      <w:pPr>
        <w:pStyle w:val="ListParagraph"/>
      </w:pPr>
      <w:r w:rsidRPr="00B746F1">
        <w:t>FRSC will deliver recommendations for Ministers, industry and other stakeholders in a timely fashion, accounting for the level of risk posed, and the need for in-depth investigation of an issue.</w:t>
      </w:r>
      <w:r w:rsidR="00B865B9" w:rsidRPr="00B746F1">
        <w:t xml:space="preserve"> </w:t>
      </w:r>
      <w:r w:rsidR="008029EA" w:rsidRPr="00B746F1">
        <w:t xml:space="preserve">Wherever possible </w:t>
      </w:r>
      <w:r w:rsidR="00B865B9" w:rsidRPr="00B746F1">
        <w:t xml:space="preserve">FRSC will align and link consultation processes to lessen </w:t>
      </w:r>
      <w:r w:rsidR="008029EA" w:rsidRPr="00B746F1">
        <w:t>s</w:t>
      </w:r>
      <w:r w:rsidR="00B865B9" w:rsidRPr="00B746F1">
        <w:t>takeholder impost and the potential for consultation fatigue.</w:t>
      </w:r>
    </w:p>
    <w:p w14:paraId="11550D5D" w14:textId="7E185C40" w:rsidR="001A6F0F" w:rsidRPr="001A6F0F" w:rsidRDefault="008029EA" w:rsidP="005375FD">
      <w:pPr>
        <w:pStyle w:val="Heading3"/>
      </w:pPr>
      <w:r>
        <w:t>R</w:t>
      </w:r>
      <w:r w:rsidR="001A6F0F" w:rsidRPr="001A6F0F">
        <w:t>isk analysis</w:t>
      </w:r>
    </w:p>
    <w:p w14:paraId="06EE5E23" w14:textId="7F8B5E2C" w:rsidR="001A6F0F" w:rsidRDefault="001A6F0F" w:rsidP="006923CA">
      <w:r w:rsidRPr="001A6F0F">
        <w:t xml:space="preserve">Risk analysis will play an important role </w:t>
      </w:r>
      <w:r w:rsidR="008029EA">
        <w:t xml:space="preserve">in the </w:t>
      </w:r>
      <w:r w:rsidRPr="001A6F0F">
        <w:t>decision-making</w:t>
      </w:r>
      <w:r w:rsidR="008029EA">
        <w:t xml:space="preserve"> process</w:t>
      </w:r>
      <w:r w:rsidRPr="001A6F0F">
        <w:t xml:space="preserve">. </w:t>
      </w:r>
      <w:r w:rsidR="002B7F70" w:rsidRPr="001A6F0F">
        <w:t xml:space="preserve">A range of tools </w:t>
      </w:r>
      <w:r w:rsidR="002B7F70">
        <w:t>may be used to assess risk</w:t>
      </w:r>
      <w:r w:rsidR="008029EA">
        <w:t>.</w:t>
      </w:r>
      <w:r w:rsidRPr="001A6F0F">
        <w:t xml:space="preserve"> For example, political risk, feasibility, </w:t>
      </w:r>
      <w:r w:rsidR="002B7F70">
        <w:t xml:space="preserve">and </w:t>
      </w:r>
      <w:r w:rsidRPr="001A6F0F">
        <w:t xml:space="preserve">broader public health risks may </w:t>
      </w:r>
      <w:r w:rsidR="002B7F70">
        <w:t xml:space="preserve">be </w:t>
      </w:r>
      <w:r w:rsidR="00DA6CE7">
        <w:t>taken into account</w:t>
      </w:r>
      <w:r w:rsidRPr="001A6F0F">
        <w:t xml:space="preserve">. </w:t>
      </w:r>
      <w:r w:rsidR="008029EA">
        <w:t>F</w:t>
      </w:r>
      <w:r w:rsidRPr="001A6F0F">
        <w:t xml:space="preserve">urther information and evidence </w:t>
      </w:r>
      <w:r w:rsidR="006B0A44">
        <w:t xml:space="preserve">may become available </w:t>
      </w:r>
      <w:r w:rsidR="008029EA">
        <w:t xml:space="preserve">throughout the process </w:t>
      </w:r>
      <w:r w:rsidR="006B0A44">
        <w:t>to</w:t>
      </w:r>
      <w:r w:rsidRPr="001A6F0F">
        <w:t xml:space="preserve"> better inform the risk analysis. </w:t>
      </w:r>
      <w:r w:rsidR="00807FF3">
        <w:t xml:space="preserve">The </w:t>
      </w:r>
      <w:r w:rsidR="008029EA">
        <w:t>r</w:t>
      </w:r>
      <w:r w:rsidR="007B2693">
        <w:t xml:space="preserve">isk analysis </w:t>
      </w:r>
      <w:r w:rsidR="008029EA">
        <w:t xml:space="preserve">may also inform the </w:t>
      </w:r>
      <w:r w:rsidR="007B2693">
        <w:t>process</w:t>
      </w:r>
      <w:r w:rsidR="00807FF3" w:rsidRPr="00B62A2C">
        <w:t>.</w:t>
      </w:r>
    </w:p>
    <w:p w14:paraId="2AF5CBBF" w14:textId="0F9B3CF9" w:rsidR="0088245D" w:rsidRPr="001A6F0F" w:rsidRDefault="0088245D" w:rsidP="005375FD">
      <w:pPr>
        <w:pStyle w:val="Heading3"/>
      </w:pPr>
      <w:r w:rsidRPr="001A6F0F">
        <w:t>Transparency</w:t>
      </w:r>
    </w:p>
    <w:p w14:paraId="329635FB" w14:textId="0A8952BA" w:rsidR="0088245D" w:rsidRPr="0039029E" w:rsidRDefault="0088245D" w:rsidP="006923CA">
      <w:r>
        <w:t xml:space="preserve">The policy development process </w:t>
      </w:r>
      <w:r w:rsidR="000C53B7">
        <w:t>has been</w:t>
      </w:r>
      <w:r>
        <w:t xml:space="preserve"> documented and </w:t>
      </w:r>
      <w:r w:rsidR="000C53B7">
        <w:t xml:space="preserve">is </w:t>
      </w:r>
      <w:r>
        <w:t>available</w:t>
      </w:r>
      <w:r w:rsidR="000C53B7">
        <w:t xml:space="preserve"> on the </w:t>
      </w:r>
      <w:hyperlink r:id="rId10" w:history="1">
        <w:r w:rsidR="000C53B7" w:rsidRPr="000C53B7">
          <w:rPr>
            <w:rStyle w:val="Hyperlink"/>
          </w:rPr>
          <w:t>Food Regulation Website</w:t>
        </w:r>
      </w:hyperlink>
      <w:r w:rsidR="00C7732D">
        <w:t xml:space="preserve">. It </w:t>
      </w:r>
      <w:r>
        <w:t>clearly inform</w:t>
      </w:r>
      <w:r w:rsidR="00C7732D">
        <w:t>s</w:t>
      </w:r>
      <w:r>
        <w:t xml:space="preserve"> stakeholders about action</w:t>
      </w:r>
      <w:r w:rsidR="00C7732D">
        <w:t>s</w:t>
      </w:r>
      <w:r>
        <w:t xml:space="preserve"> being taken</w:t>
      </w:r>
      <w:r w:rsidR="00C7732D">
        <w:t xml:space="preserve"> </w:t>
      </w:r>
      <w:r>
        <w:t>and</w:t>
      </w:r>
      <w:r w:rsidR="00C7732D">
        <w:t xml:space="preserve"> the</w:t>
      </w:r>
      <w:r>
        <w:t xml:space="preserve"> point</w:t>
      </w:r>
      <w:r w:rsidR="00C7732D">
        <w:t>s at which</w:t>
      </w:r>
      <w:r w:rsidR="00B23053">
        <w:t xml:space="preserve"> </w:t>
      </w:r>
      <w:r>
        <w:t>stakeholders can engage with FRSC.</w:t>
      </w:r>
    </w:p>
    <w:p w14:paraId="200857D8" w14:textId="3A249A6F" w:rsidR="001A6F0F" w:rsidRPr="002E454C" w:rsidRDefault="001A6F0F" w:rsidP="005375FD">
      <w:pPr>
        <w:pStyle w:val="Heading2"/>
        <w:numPr>
          <w:ilvl w:val="0"/>
          <w:numId w:val="44"/>
        </w:numPr>
        <w:rPr>
          <w:i/>
        </w:rPr>
      </w:pPr>
      <w:r w:rsidRPr="002E454C">
        <w:t>Discussion of Steps</w:t>
      </w:r>
    </w:p>
    <w:p w14:paraId="244A8644" w14:textId="27E4E1DD" w:rsidR="001F4768" w:rsidRDefault="00717856" w:rsidP="006923CA">
      <w:r>
        <w:t xml:space="preserve">Each step in the </w:t>
      </w:r>
      <w:r w:rsidR="00C7732D">
        <w:t xml:space="preserve">Policy Framework </w:t>
      </w:r>
      <w:r>
        <w:t xml:space="preserve">process </w:t>
      </w:r>
      <w:r w:rsidRPr="001A6F0F">
        <w:t xml:space="preserve">is an important component </w:t>
      </w:r>
      <w:r>
        <w:t>in reaching</w:t>
      </w:r>
      <w:r w:rsidRPr="001A6F0F">
        <w:t xml:space="preserve"> the best outcome in relation to the issue. </w:t>
      </w:r>
      <w:r w:rsidR="001F4768" w:rsidRPr="00DA6CE7">
        <w:t>Consideration needs to be given to the nature and complexity of the issue at an early stage and the steps of the policy process applied appropriately and proportionally.</w:t>
      </w:r>
    </w:p>
    <w:p w14:paraId="7B1EBCE7" w14:textId="2E75864A" w:rsidR="005A63BD" w:rsidRDefault="00121943" w:rsidP="006923CA">
      <w:r>
        <w:t>I</w:t>
      </w:r>
      <w:r w:rsidR="00632BA1">
        <w:t>nformation on</w:t>
      </w:r>
      <w:r w:rsidR="00717856" w:rsidRPr="001A6F0F">
        <w:t xml:space="preserve"> each step </w:t>
      </w:r>
      <w:r>
        <w:t xml:space="preserve">is </w:t>
      </w:r>
      <w:r w:rsidR="00717856" w:rsidRPr="001A6F0F">
        <w:t xml:space="preserve">discussed below. </w:t>
      </w:r>
      <w:r w:rsidR="00C7732D">
        <w:t>N</w:t>
      </w:r>
      <w:r w:rsidR="00632BA1">
        <w:t>ote that n</w:t>
      </w:r>
      <w:r w:rsidR="005A63BD" w:rsidRPr="001A6F0F">
        <w:t xml:space="preserve">ot all issues identified and discussed by FRSC will go </w:t>
      </w:r>
      <w:r w:rsidR="00C7732D">
        <w:t>through each step</w:t>
      </w:r>
      <w:r w:rsidR="00B23053">
        <w:t xml:space="preserve"> </w:t>
      </w:r>
      <w:r w:rsidR="005A63BD" w:rsidRPr="001A6F0F">
        <w:t>and the process can be discontinued</w:t>
      </w:r>
      <w:r w:rsidR="0031409A" w:rsidRPr="0031409A">
        <w:t>, de</w:t>
      </w:r>
      <w:r w:rsidR="0031409A">
        <w:t>ferred</w:t>
      </w:r>
      <w:r w:rsidR="0049238E">
        <w:t>, referred</w:t>
      </w:r>
      <w:r w:rsidR="0031409A">
        <w:t xml:space="preserve"> or merged with </w:t>
      </w:r>
      <w:r w:rsidR="00886565">
        <w:t>an</w:t>
      </w:r>
      <w:r w:rsidR="0031409A">
        <w:t>other process</w:t>
      </w:r>
      <w:r w:rsidR="00886565">
        <w:t xml:space="preserve"> </w:t>
      </w:r>
      <w:r w:rsidR="005A63BD" w:rsidRPr="001A6F0F">
        <w:t>at any stage as more evidence is gathered and stakeholder consultation occurs</w:t>
      </w:r>
      <w:r w:rsidR="003A54D7">
        <w:t>.</w:t>
      </w:r>
    </w:p>
    <w:p w14:paraId="56DB4763" w14:textId="4EDDC5F0" w:rsidR="0088245D" w:rsidRDefault="005A63BD" w:rsidP="006923CA">
      <w:r>
        <w:t xml:space="preserve">Different skills will be </w:t>
      </w:r>
      <w:r w:rsidR="00C7732D">
        <w:t xml:space="preserve">required </w:t>
      </w:r>
      <w:r>
        <w:t xml:space="preserve">at different points in the process. </w:t>
      </w:r>
      <w:r w:rsidR="00C7732D">
        <w:t>These</w:t>
      </w:r>
      <w:r>
        <w:t xml:space="preserve"> will include negotiation, facilitation, strategic thinking, listening, innovation, policy</w:t>
      </w:r>
      <w:r w:rsidR="003A54D7">
        <w:t xml:space="preserve"> analysis and technical skills.</w:t>
      </w:r>
      <w:r>
        <w:t xml:space="preserve"> </w:t>
      </w:r>
      <w:r w:rsidR="00632BA1">
        <w:t>FRSC will draw upon its members and</w:t>
      </w:r>
      <w:r w:rsidR="003A54D7">
        <w:t xml:space="preserve"> stakeholders for these skills.</w:t>
      </w:r>
    </w:p>
    <w:p w14:paraId="3EF54426" w14:textId="46D30B04" w:rsidR="001A6F0F" w:rsidRPr="002F46C6" w:rsidRDefault="00EE557B" w:rsidP="005375FD">
      <w:pPr>
        <w:pStyle w:val="Heading3"/>
      </w:pPr>
      <w:r w:rsidRPr="002F46C6">
        <w:t>Step (a)</w:t>
      </w:r>
      <w:r w:rsidR="00CA6BED" w:rsidRPr="002F46C6">
        <w:t xml:space="preserve"> </w:t>
      </w:r>
      <w:r w:rsidRPr="002F46C6">
        <w:t xml:space="preserve">- </w:t>
      </w:r>
      <w:r w:rsidR="001A6F0F" w:rsidRPr="002F46C6">
        <w:t xml:space="preserve">Identification </w:t>
      </w:r>
      <w:r w:rsidR="001A6F0F" w:rsidRPr="00FC547E">
        <w:t>of</w:t>
      </w:r>
      <w:r w:rsidR="001A6F0F" w:rsidRPr="002F46C6">
        <w:t xml:space="preserve"> Issues and </w:t>
      </w:r>
      <w:r w:rsidR="001A6F0F" w:rsidRPr="00FC547E">
        <w:t>Authori</w:t>
      </w:r>
      <w:r w:rsidRPr="00FC547E">
        <w:t>sing</w:t>
      </w:r>
      <w:r w:rsidR="00EF71EE">
        <w:t xml:space="preserve"> Environment</w:t>
      </w:r>
    </w:p>
    <w:p w14:paraId="62442EC8" w14:textId="5EC63D51" w:rsidR="001A6F0F" w:rsidRDefault="001A6F0F" w:rsidP="006923CA">
      <w:r w:rsidRPr="001A6F0F">
        <w:t>Issues that may be considered w</w:t>
      </w:r>
      <w:r w:rsidR="00EE557B">
        <w:t xml:space="preserve">ithin the </w:t>
      </w:r>
      <w:r w:rsidR="00BD6655">
        <w:t>P</w:t>
      </w:r>
      <w:r w:rsidR="00EE557B">
        <w:t xml:space="preserve">olicy </w:t>
      </w:r>
      <w:r w:rsidR="00B0203D">
        <w:t>F</w:t>
      </w:r>
      <w:r w:rsidR="00EE557B">
        <w:t>ramework can</w:t>
      </w:r>
      <w:r w:rsidRPr="001A6F0F">
        <w:t xml:space="preserve"> be initiated through a number of pathways including discussion at FRSC, a request from Ministers, an issue raised with FSANZ or from ISFR. </w:t>
      </w:r>
      <w:r w:rsidRPr="006D524D">
        <w:t>Diagram 2</w:t>
      </w:r>
      <w:r w:rsidRPr="001A6F0F">
        <w:t xml:space="preserve"> provides an outline of how this could work.</w:t>
      </w:r>
      <w:r w:rsidR="00DE173B">
        <w:t xml:space="preserve"> </w:t>
      </w:r>
      <w:r w:rsidRPr="001A6F0F">
        <w:t xml:space="preserve">If </w:t>
      </w:r>
      <w:r w:rsidR="00C7732D">
        <w:t>FRSC authorises further work</w:t>
      </w:r>
      <w:r w:rsidRPr="001A6F0F">
        <w:t xml:space="preserve"> the scope, objectives and the way forward should also be agreed.</w:t>
      </w:r>
    </w:p>
    <w:p w14:paraId="27144331" w14:textId="77777777" w:rsidR="005375FD" w:rsidRPr="00B85C4D" w:rsidRDefault="005375FD" w:rsidP="005375FD">
      <w:pPr>
        <w:pageBreakBefore/>
        <w:rPr>
          <w:rStyle w:val="Strong"/>
        </w:rPr>
      </w:pPr>
      <w:r w:rsidRPr="00B85C4D">
        <w:rPr>
          <w:rStyle w:val="Strong"/>
        </w:rPr>
        <w:lastRenderedPageBreak/>
        <w:t>Diagram 2</w:t>
      </w:r>
    </w:p>
    <w:p w14:paraId="5B78CBAD" w14:textId="745417CF" w:rsidR="00DA6CE7" w:rsidRDefault="006F069C" w:rsidP="005375FD">
      <w:r>
        <w:rPr>
          <w:noProof/>
        </w:rPr>
        <w:drawing>
          <wp:inline distT="0" distB="0" distL="0" distR="0" wp14:anchorId="1D53E8C4" wp14:editId="615E6E28">
            <wp:extent cx="5328920" cy="3762375"/>
            <wp:effectExtent l="0" t="0" r="0" b="9525"/>
            <wp:docPr id="25" name="Picture 25" descr="Diagram 2 shows that issues that may be considered within the Policy Framework can be initiated through a number of pathways including discussion at FRSC, a request from Ministers, an issue raised with FSANZ or from ISFR.  Diagram 2 provides an outline of how this could work. If FRSC authorises further work the scope, objectives and the way forward should also be 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5328920" cy="3762375"/>
                    </a:xfrm>
                    <a:prstGeom prst="rect">
                      <a:avLst/>
                    </a:prstGeom>
                  </pic:spPr>
                </pic:pic>
              </a:graphicData>
            </a:graphic>
          </wp:inline>
        </w:drawing>
      </w:r>
    </w:p>
    <w:p w14:paraId="5E27E433" w14:textId="6EC01F2C" w:rsidR="001A6F0F" w:rsidRPr="002F46C6" w:rsidRDefault="00EE557B" w:rsidP="005375FD">
      <w:pPr>
        <w:pStyle w:val="Heading3"/>
      </w:pPr>
      <w:r w:rsidRPr="002F46C6">
        <w:t>Step (b)</w:t>
      </w:r>
      <w:r w:rsidR="00CA6BED" w:rsidRPr="002F46C6">
        <w:t xml:space="preserve"> </w:t>
      </w:r>
      <w:r w:rsidRPr="002F46C6">
        <w:t>- Understand the Issue</w:t>
      </w:r>
    </w:p>
    <w:p w14:paraId="3B6A5D62" w14:textId="68CD1ACC" w:rsidR="001A6F0F" w:rsidRPr="001A6F0F" w:rsidRDefault="001A6F0F" w:rsidP="006923CA">
      <w:r w:rsidRPr="001A6F0F">
        <w:t>The objective of this phase is to have sufficient understanding of the issue to enable a decision to be made at the first gateway (c). This is intended to be a short, sharp assessment to ensure a full understanding of the issue (problem) risks, challenges and opportunities. To foster genuine, effective two way engagement, it is at this step that stakeholder discussion should be initiated. This will lead to a better understanding o</w:t>
      </w:r>
      <w:r w:rsidR="003A54D7">
        <w:t xml:space="preserve">f the problem and its impacts. </w:t>
      </w:r>
      <w:r w:rsidRPr="001A6F0F">
        <w:t>Evidence collected will feed into a preliminary risk assessment that is to be decided and have sufficient justification to demonstrate whether further wor</w:t>
      </w:r>
      <w:r w:rsidR="003A54D7">
        <w:t>k on the problem is justified.</w:t>
      </w:r>
    </w:p>
    <w:p w14:paraId="17AF6C9C" w14:textId="5B12D873" w:rsidR="006B0E4B" w:rsidRDefault="001A6F0F" w:rsidP="006923CA">
      <w:r w:rsidRPr="001A6F0F">
        <w:t xml:space="preserve">Engagement with stakeholders at this stage will need to be carefully managed to ensure that </w:t>
      </w:r>
      <w:r w:rsidR="007B18F3">
        <w:t>the consultation does not</w:t>
      </w:r>
      <w:r w:rsidRPr="001A6F0F">
        <w:t xml:space="preserve"> create expectations that an intervention of some kind is assured.</w:t>
      </w:r>
    </w:p>
    <w:p w14:paraId="02610AB0" w14:textId="693ECA8E" w:rsidR="005C0447" w:rsidRDefault="006B0E4B" w:rsidP="006923CA">
      <w:r>
        <w:t xml:space="preserve">While </w:t>
      </w:r>
      <w:r w:rsidRPr="006B0E4B">
        <w:t xml:space="preserve">the problem </w:t>
      </w:r>
      <w:r>
        <w:t xml:space="preserve">needs to be articulated at this stage of the process it should be defined at a </w:t>
      </w:r>
      <w:r w:rsidRPr="006B0E4B">
        <w:t xml:space="preserve">high level to avoid </w:t>
      </w:r>
      <w:r w:rsidR="006D524D">
        <w:t xml:space="preserve">overlap </w:t>
      </w:r>
      <w:r w:rsidRPr="006B0E4B">
        <w:t>with other policies under development or with the food standard development process</w:t>
      </w:r>
      <w:r>
        <w:t xml:space="preserve">. The problem definition in itself should not steer towards </w:t>
      </w:r>
      <w:r w:rsidRPr="006B0E4B">
        <w:t xml:space="preserve">a </w:t>
      </w:r>
      <w:r>
        <w:t xml:space="preserve">specific </w:t>
      </w:r>
      <w:r w:rsidRPr="006B0E4B">
        <w:t>solution</w:t>
      </w:r>
      <w:r w:rsidR="004C6A75">
        <w:t xml:space="preserve"> </w:t>
      </w:r>
      <w:r w:rsidR="006D524D">
        <w:t xml:space="preserve">for example, the </w:t>
      </w:r>
      <w:r w:rsidR="00C7732D">
        <w:t xml:space="preserve">use of the </w:t>
      </w:r>
      <w:r w:rsidR="006D524D">
        <w:t>word labelling</w:t>
      </w:r>
      <w:r w:rsidR="004C6A75">
        <w:t>.</w:t>
      </w:r>
    </w:p>
    <w:p w14:paraId="3BE1CA22" w14:textId="2223EED4" w:rsidR="000F0697" w:rsidRDefault="001A6F0F" w:rsidP="006923CA">
      <w:r w:rsidRPr="001A6F0F">
        <w:t>The output from this stage will be a paper to FRSC describing the issue, how the issue impacts jurisdictions, industry and/or the community, the nature and extent of the risk and any evidence to demonstrate market failure. Who else may deal with the issue and the impacts of not addressing the issue should also be assessed. It will recommend whether to proceed or not. This paper could be considered out of session to ensure a timely response.</w:t>
      </w:r>
      <w:r w:rsidR="00CA6BED">
        <w:t xml:space="preserve"> </w:t>
      </w:r>
      <w:r w:rsidR="00CA6BED" w:rsidRPr="001A6F0F">
        <w:t>If the Forum has requested action, a paper to the Forum would be required where the recommendation is not to proceed or the responsibility for action belongs elsewhere.</w:t>
      </w:r>
    </w:p>
    <w:p w14:paraId="601453D0" w14:textId="26AA8D13" w:rsidR="001A6F0F" w:rsidRPr="002F46C6" w:rsidRDefault="001F5E4E" w:rsidP="005375FD">
      <w:pPr>
        <w:pStyle w:val="Heading3"/>
      </w:pPr>
      <w:r w:rsidRPr="002F46C6">
        <w:t>Step (c)</w:t>
      </w:r>
      <w:r w:rsidR="00CA6BED" w:rsidRPr="002F46C6">
        <w:t xml:space="preserve"> </w:t>
      </w:r>
      <w:r w:rsidRPr="002F46C6">
        <w:t xml:space="preserve">- </w:t>
      </w:r>
      <w:r w:rsidR="005375FD">
        <w:t>First Gateway</w:t>
      </w:r>
    </w:p>
    <w:p w14:paraId="3623E4B1" w14:textId="2DF07D5B" w:rsidR="001E5AA2" w:rsidRDefault="00961E36" w:rsidP="006923CA">
      <w:r>
        <w:t xml:space="preserve">This is a </w:t>
      </w:r>
      <w:r w:rsidRPr="004C6A75">
        <w:t>decision</w:t>
      </w:r>
      <w:r>
        <w:t xml:space="preserve"> point</w:t>
      </w:r>
      <w:r w:rsidR="00CA6BED">
        <w:t xml:space="preserve"> on the following</w:t>
      </w:r>
      <w:r>
        <w:t xml:space="preserve"> 1) Is there sufficient evidence, justification and risk to proceed with the matter; and if so 2) </w:t>
      </w:r>
      <w:r w:rsidR="00B214F0">
        <w:t xml:space="preserve">does it warrant </w:t>
      </w:r>
      <w:r w:rsidR="00CA6BED" w:rsidRPr="00B214F0">
        <w:t xml:space="preserve">the development of a Policy Guidance </w:t>
      </w:r>
      <w:r w:rsidR="00B214F0">
        <w:t xml:space="preserve">or is the </w:t>
      </w:r>
      <w:r w:rsidR="00CA6BED" w:rsidRPr="00B214F0">
        <w:t xml:space="preserve">next </w:t>
      </w:r>
      <w:r w:rsidR="005C6E83">
        <w:t>step</w:t>
      </w:r>
      <w:r w:rsidR="00B214F0">
        <w:t xml:space="preserve"> the development </w:t>
      </w:r>
      <w:r w:rsidR="006D524D">
        <w:t xml:space="preserve">and assess </w:t>
      </w:r>
      <w:r w:rsidR="00B15A09">
        <w:t xml:space="preserve">specific </w:t>
      </w:r>
      <w:r w:rsidR="00B214F0">
        <w:t xml:space="preserve">risk management tools and as such should be </w:t>
      </w:r>
      <w:r w:rsidR="00CA6BED" w:rsidRPr="00B214F0">
        <w:t>refe</w:t>
      </w:r>
      <w:r w:rsidR="00C7732D">
        <w:t>r</w:t>
      </w:r>
      <w:r w:rsidR="00CA6BED" w:rsidRPr="00B214F0">
        <w:t>r</w:t>
      </w:r>
      <w:r w:rsidR="00C7732D">
        <w:t>ed</w:t>
      </w:r>
      <w:r w:rsidR="00CA6BED" w:rsidRPr="00B214F0">
        <w:t xml:space="preserve"> to FSANZ</w:t>
      </w:r>
      <w:r w:rsidR="00B214F0">
        <w:t xml:space="preserve">? Referral of issues to FSANZ </w:t>
      </w:r>
      <w:r w:rsidR="005C6E83">
        <w:t>require</w:t>
      </w:r>
      <w:r w:rsidR="006D524D">
        <w:t>s</w:t>
      </w:r>
      <w:r w:rsidR="005C6E83">
        <w:t xml:space="preserve"> Forum agreement and </w:t>
      </w:r>
      <w:r>
        <w:t xml:space="preserve">can </w:t>
      </w:r>
      <w:r w:rsidR="00B214F0">
        <w:t xml:space="preserve">occur </w:t>
      </w:r>
      <w:r>
        <w:t xml:space="preserve">with or without </w:t>
      </w:r>
      <w:r w:rsidR="00CA6BED">
        <w:t>Policy G</w:t>
      </w:r>
      <w:r>
        <w:t>uidance.</w:t>
      </w:r>
      <w:r w:rsidR="0032591B">
        <w:t xml:space="preserve"> </w:t>
      </w:r>
      <w:r w:rsidR="0032591B">
        <w:lastRenderedPageBreak/>
        <w:t>I</w:t>
      </w:r>
      <w:r w:rsidR="0032591B" w:rsidRPr="00AD7A8E">
        <w:t>f</w:t>
      </w:r>
      <w:r w:rsidR="00DA6CE7">
        <w:t> </w:t>
      </w:r>
      <w:r w:rsidR="0032591B" w:rsidRPr="00AD7A8E">
        <w:t>the Forum seeks a specific outcome from FSAN</w:t>
      </w:r>
      <w:r w:rsidR="0032591B">
        <w:t>Z</w:t>
      </w:r>
      <w:r w:rsidR="0032591B" w:rsidRPr="00AD7A8E">
        <w:t xml:space="preserve"> (e.g. a mandatory standard) then </w:t>
      </w:r>
      <w:r w:rsidR="0032591B">
        <w:t xml:space="preserve">a </w:t>
      </w:r>
      <w:r w:rsidR="0032591B" w:rsidRPr="00023C80">
        <w:t>Regulation Impact Statement</w:t>
      </w:r>
      <w:r w:rsidR="0032591B">
        <w:t xml:space="preserve"> (RIS) </w:t>
      </w:r>
      <w:r w:rsidR="0032591B" w:rsidRPr="00AD7A8E">
        <w:t>must</w:t>
      </w:r>
      <w:r w:rsidR="0032591B">
        <w:t xml:space="preserve"> be</w:t>
      </w:r>
      <w:r w:rsidR="0032591B" w:rsidRPr="00AD7A8E">
        <w:t xml:space="preserve"> </w:t>
      </w:r>
      <w:r w:rsidR="0032591B">
        <w:t>developed by FRSC and considered by the Forum before a specific outcome can be requested</w:t>
      </w:r>
      <w:r w:rsidR="003A54D7">
        <w:t>.</w:t>
      </w:r>
    </w:p>
    <w:p w14:paraId="0E7E2117" w14:textId="39FBDA35" w:rsidR="00B15A09" w:rsidRDefault="001E5AA2" w:rsidP="006923CA">
      <w:r>
        <w:t>However, t</w:t>
      </w:r>
      <w:r w:rsidR="0032591B">
        <w:t xml:space="preserve">he Forum can ask </w:t>
      </w:r>
      <w:r w:rsidR="0032591B" w:rsidRPr="00AD7A8E">
        <w:t xml:space="preserve">FSANZ to consider </w:t>
      </w:r>
      <w:r w:rsidR="0032591B">
        <w:t xml:space="preserve">an </w:t>
      </w:r>
      <w:r w:rsidR="0032591B" w:rsidRPr="00AD7A8E">
        <w:t>issue and determine the appropriate response</w:t>
      </w:r>
      <w:r w:rsidR="0032591B">
        <w:t xml:space="preserve"> without </w:t>
      </w:r>
      <w:r w:rsidR="00B15A09">
        <w:t xml:space="preserve">the development of a </w:t>
      </w:r>
      <w:r w:rsidR="0032591B" w:rsidRPr="00AD7A8E">
        <w:t>RIS</w:t>
      </w:r>
      <w:r>
        <w:t xml:space="preserve"> at this stage</w:t>
      </w:r>
      <w:r w:rsidR="0032591B" w:rsidRPr="00AD7A8E">
        <w:t>.</w:t>
      </w:r>
    </w:p>
    <w:p w14:paraId="462F50D9" w14:textId="2C8163A4" w:rsidR="001F4768" w:rsidRDefault="001A6F0F" w:rsidP="006923CA">
      <w:r w:rsidRPr="00243723">
        <w:t>If FRSC has agreed</w:t>
      </w:r>
      <w:r w:rsidR="00961E36" w:rsidRPr="00243723">
        <w:t xml:space="preserve"> </w:t>
      </w:r>
      <w:r w:rsidRPr="00243723">
        <w:t xml:space="preserve">to proceed </w:t>
      </w:r>
      <w:r w:rsidR="00B214F0" w:rsidRPr="00243723">
        <w:t xml:space="preserve">with </w:t>
      </w:r>
      <w:r w:rsidR="00961E36" w:rsidRPr="00243723">
        <w:t xml:space="preserve">the development of Policy Guidance </w:t>
      </w:r>
      <w:r w:rsidRPr="00243723">
        <w:t>then the process could continue without the need to delay action. If</w:t>
      </w:r>
      <w:r w:rsidRPr="001A6F0F">
        <w:t xml:space="preserve"> </w:t>
      </w:r>
      <w:r w:rsidR="00243723">
        <w:t xml:space="preserve">this </w:t>
      </w:r>
      <w:r w:rsidRPr="001A6F0F">
        <w:t>is</w:t>
      </w:r>
      <w:r w:rsidR="00243723">
        <w:t xml:space="preserve"> deemed</w:t>
      </w:r>
      <w:r w:rsidRPr="001A6F0F">
        <w:t xml:space="preserve"> appropriate, an update only would be provided to the next Forum meeting.</w:t>
      </w:r>
      <w:r w:rsidR="005C6E83">
        <w:t xml:space="preserve"> All other decisions </w:t>
      </w:r>
      <w:r w:rsidR="006D524D">
        <w:t xml:space="preserve">are the responsibility of </w:t>
      </w:r>
      <w:r w:rsidR="005C6E83">
        <w:t>the Forum.</w:t>
      </w:r>
    </w:p>
    <w:p w14:paraId="54488CDB" w14:textId="310FCCC4" w:rsidR="001A6F0F" w:rsidRPr="001A6F0F" w:rsidRDefault="001F5E4E" w:rsidP="005375FD">
      <w:pPr>
        <w:pStyle w:val="Heading3"/>
      </w:pPr>
      <w:r w:rsidRPr="001A6F0F">
        <w:t>Step (d)</w:t>
      </w:r>
      <w:r w:rsidR="00F07ECC">
        <w:t xml:space="preserve"> </w:t>
      </w:r>
      <w:r>
        <w:t xml:space="preserve">- Describe the Desired Outcome </w:t>
      </w:r>
    </w:p>
    <w:p w14:paraId="74445041" w14:textId="3C63DE24" w:rsidR="005C0447" w:rsidRPr="001A6F0F" w:rsidRDefault="001A6F0F" w:rsidP="006923CA">
      <w:r w:rsidRPr="001A6F0F">
        <w:t xml:space="preserve">This step is focussed on what success would look like. </w:t>
      </w:r>
      <w:r w:rsidR="00057E67" w:rsidRPr="001A6F0F">
        <w:t>A stakeholder analysis should be undertaken during the early stages of th</w:t>
      </w:r>
      <w:r w:rsidR="00057E67">
        <w:t xml:space="preserve">is step. </w:t>
      </w:r>
      <w:r w:rsidRPr="001A6F0F">
        <w:t xml:space="preserve">Understanding what </w:t>
      </w:r>
      <w:r w:rsidR="001F5E4E">
        <w:t>FRSC is</w:t>
      </w:r>
      <w:r w:rsidRPr="001A6F0F">
        <w:t xml:space="preserve"> trying to achieve at this point will also assist in evaluating the success of the intervention and where necessary, gathering data that will provide a benchmark to demonstrate the impact of the intervention. It will also clearly describe what the intent is, building on the initial assessment and consulting further with stakeholders. The evidence and assessment will provide the basis for the next step.</w:t>
      </w:r>
    </w:p>
    <w:p w14:paraId="51D0CF53" w14:textId="5D7FC26C" w:rsidR="00DA6CE7" w:rsidRPr="005375FD" w:rsidRDefault="001A6F0F" w:rsidP="006923CA">
      <w:pPr>
        <w:rPr>
          <w:rFonts w:cstheme="minorHAnsi"/>
        </w:rPr>
      </w:pPr>
      <w:r w:rsidRPr="001A6F0F" w:rsidDel="00F07ECC">
        <w:t xml:space="preserve">At this stage the Office of Best Practice Regulation (OBPR) </w:t>
      </w:r>
      <w:r w:rsidR="005A6A62">
        <w:t>(</w:t>
      </w:r>
      <w:r w:rsidRPr="001A6F0F" w:rsidDel="00F07ECC">
        <w:t xml:space="preserve">and </w:t>
      </w:r>
      <w:r w:rsidR="005A6A62">
        <w:t>through them the</w:t>
      </w:r>
      <w:r w:rsidRPr="001A6F0F" w:rsidDel="00F07ECC">
        <w:t xml:space="preserve"> </w:t>
      </w:r>
      <w:r w:rsidRPr="001A6F0F" w:rsidDel="00F07ECC">
        <w:rPr>
          <w:lang w:val="en-NZ"/>
        </w:rPr>
        <w:t>New Zealand Treasury Regulatory Impact Analysis Team (TRIAT)</w:t>
      </w:r>
      <w:r w:rsidR="005A6A62">
        <w:rPr>
          <w:lang w:val="en-NZ"/>
        </w:rPr>
        <w:t>)</w:t>
      </w:r>
      <w:r w:rsidRPr="001A6F0F" w:rsidDel="00F07ECC">
        <w:rPr>
          <w:lang w:val="en-NZ"/>
        </w:rPr>
        <w:t xml:space="preserve"> </w:t>
      </w:r>
      <w:r w:rsidRPr="001A6F0F" w:rsidDel="00F07ECC">
        <w:t xml:space="preserve">would be informed that an issue is under consideration. To avoid delay during later stages a process for stakeholder consultation will need to be agreed with OBPR and / or TRIAT. </w:t>
      </w:r>
      <w:r w:rsidR="001E5AA2" w:rsidRPr="00AD7A8E">
        <w:t xml:space="preserve">OBPR conducts a Preliminary Assessment to determine whether </w:t>
      </w:r>
      <w:r w:rsidR="001E5AA2">
        <w:t xml:space="preserve">a RIS will be </w:t>
      </w:r>
      <w:r w:rsidR="001E5AA2" w:rsidRPr="00AD7A8E">
        <w:t>needed</w:t>
      </w:r>
      <w:r w:rsidR="001E5AA2">
        <w:t xml:space="preserve">. Detailed </w:t>
      </w:r>
      <w:hyperlink r:id="rId12" w:history="1">
        <w:r w:rsidR="001E5AA2" w:rsidRPr="001E5AA2">
          <w:rPr>
            <w:rStyle w:val="Hyperlink"/>
          </w:rPr>
          <w:t>guidance material</w:t>
        </w:r>
      </w:hyperlink>
      <w:r w:rsidR="001E5AA2">
        <w:t xml:space="preserve"> has been developed to assist with this process</w:t>
      </w:r>
      <w:r w:rsidR="001E5AA2" w:rsidRPr="00AD7A8E">
        <w:t>.</w:t>
      </w:r>
      <w:r w:rsidR="005A6A62">
        <w:t xml:space="preserve"> </w:t>
      </w:r>
      <w:r w:rsidR="00B30802" w:rsidRPr="00DA6CE7">
        <w:t>Enough information need</w:t>
      </w:r>
      <w:r w:rsidR="00C7732D" w:rsidRPr="00DA6CE7">
        <w:t>s</w:t>
      </w:r>
      <w:r w:rsidR="00B30802" w:rsidRPr="00DA6CE7">
        <w:t xml:space="preserve"> to be provided to help OBPR understand the nature of the policy issues. OBPR will </w:t>
      </w:r>
      <w:r w:rsidR="003A54D7">
        <w:rPr>
          <w:rFonts w:cstheme="minorHAnsi"/>
        </w:rPr>
        <w:t>response within 5 working days.</w:t>
      </w:r>
    </w:p>
    <w:p w14:paraId="1B56240E" w14:textId="40CD3B97" w:rsidR="001F4768" w:rsidRPr="00B30802" w:rsidDel="00F07ECC" w:rsidRDefault="001F4768" w:rsidP="006923CA">
      <w:r>
        <w:t>If a RIS is required FSANZ should be involved so as to avoid duplication</w:t>
      </w:r>
      <w:r w:rsidR="002C2F8B">
        <w:t xml:space="preserve"> that may have to be undertaken by them during any later process</w:t>
      </w:r>
      <w:r w:rsidR="003A54D7">
        <w:t>.</w:t>
      </w:r>
    </w:p>
    <w:p w14:paraId="4CB5F70C" w14:textId="56D1DC78" w:rsidR="001A6F0F" w:rsidRPr="001A6F0F" w:rsidRDefault="001F5E4E" w:rsidP="005375FD">
      <w:pPr>
        <w:pStyle w:val="Heading3"/>
      </w:pPr>
      <w:r w:rsidRPr="001A6F0F">
        <w:t>Step (e)</w:t>
      </w:r>
      <w:r w:rsidR="00F07ECC">
        <w:t xml:space="preserve"> </w:t>
      </w:r>
      <w:r>
        <w:t xml:space="preserve">- </w:t>
      </w:r>
      <w:r w:rsidR="001A6F0F" w:rsidRPr="001A6F0F">
        <w:t xml:space="preserve">Develop and Evaluate </w:t>
      </w:r>
      <w:r w:rsidR="005A6A62">
        <w:t xml:space="preserve">High Level </w:t>
      </w:r>
      <w:r w:rsidR="001A6F0F" w:rsidRPr="001A6F0F">
        <w:t xml:space="preserve">Options </w:t>
      </w:r>
    </w:p>
    <w:p w14:paraId="1F354070" w14:textId="70E4A330" w:rsidR="00DE21D3" w:rsidRDefault="00082D2E" w:rsidP="006923CA">
      <w:r w:rsidRPr="001A6F0F">
        <w:t xml:space="preserve">The aim of this stage is to identify the best tool/s that achieves the desired outcomes. </w:t>
      </w:r>
      <w:r w:rsidR="001A6F0F" w:rsidRPr="001A6F0F">
        <w:t xml:space="preserve">This is an iterative stage where </w:t>
      </w:r>
      <w:r w:rsidR="005A6A62">
        <w:t xml:space="preserve">high level </w:t>
      </w:r>
      <w:r w:rsidR="000862A9">
        <w:t xml:space="preserve">policy </w:t>
      </w:r>
      <w:r w:rsidR="001A6F0F" w:rsidRPr="001A6F0F">
        <w:t>options are developed and tested.</w:t>
      </w:r>
      <w:r w:rsidR="000F0697">
        <w:t xml:space="preserve"> </w:t>
      </w:r>
      <w:r w:rsidR="001A6F0F" w:rsidRPr="001A6F0F">
        <w:t xml:space="preserve">Innovative thinking is required and the range of options should not be constrained. Testing will often show failure of an idea but through failure there is an opportunity to learn and build. Obstacles in current thinking may need to be overcome when considering what is </w:t>
      </w:r>
      <w:r w:rsidR="003A54D7">
        <w:t>desirable, possible and viable.</w:t>
      </w:r>
    </w:p>
    <w:p w14:paraId="78E58072" w14:textId="1AF927FC" w:rsidR="007B1F9D" w:rsidRDefault="001A6F0F" w:rsidP="006923CA">
      <w:r w:rsidRPr="001A6F0F">
        <w:t>Implementation issues</w:t>
      </w:r>
      <w:r w:rsidR="006A3294">
        <w:t>, including costs</w:t>
      </w:r>
      <w:r w:rsidR="00DE21D3">
        <w:t xml:space="preserve">, viability </w:t>
      </w:r>
      <w:r w:rsidR="006A3294">
        <w:t>and resources,</w:t>
      </w:r>
      <w:r w:rsidRPr="001A6F0F">
        <w:t xml:space="preserve"> </w:t>
      </w:r>
      <w:r w:rsidR="00DE21D3">
        <w:t xml:space="preserve">must </w:t>
      </w:r>
      <w:r w:rsidRPr="001A6F0F">
        <w:t>be a key consideration at this point</w:t>
      </w:r>
      <w:r w:rsidR="00DE21D3">
        <w:t xml:space="preserve"> and ISFR input can be requested</w:t>
      </w:r>
      <w:r w:rsidR="003A54D7">
        <w:t>.</w:t>
      </w:r>
    </w:p>
    <w:p w14:paraId="448346F1" w14:textId="64F86FED" w:rsidR="007B1F9D" w:rsidRDefault="007B1F9D" w:rsidP="006923CA">
      <w:r>
        <w:t>T</w:t>
      </w:r>
      <w:r w:rsidRPr="001A6F0F">
        <w:t xml:space="preserve">his stage should be undertaken in collaboration with stakeholders that are affected. </w:t>
      </w:r>
      <w:r>
        <w:t xml:space="preserve">Stakeholder consultation may occur through a variety of methods, including the development and release of a formal consultation paper and request for stakeholder submissions. Where a formal stakeholder consultation process occurs, a </w:t>
      </w:r>
      <w:r w:rsidRPr="006F14B9">
        <w:t>Policy Options Paper</w:t>
      </w:r>
      <w:r>
        <w:t xml:space="preserve"> will be prepared and released to stakeh</w:t>
      </w:r>
      <w:r w:rsidR="003A54D7">
        <w:t>olders for feedback and advice.</w:t>
      </w:r>
    </w:p>
    <w:p w14:paraId="329704BF" w14:textId="6630F9F0" w:rsidR="00512BCF" w:rsidRDefault="00512BCF" w:rsidP="006923CA">
      <w:r>
        <w:t xml:space="preserve">OBPR has </w:t>
      </w:r>
      <w:hyperlink r:id="rId13" w:history="1">
        <w:r w:rsidRPr="00512BCF">
          <w:rPr>
            <w:rStyle w:val="Hyperlink"/>
          </w:rPr>
          <w:t>developed guidance material</w:t>
        </w:r>
      </w:hyperlink>
      <w:r>
        <w:t xml:space="preserve"> to assist</w:t>
      </w:r>
      <w:r w:rsidR="005A6A62">
        <w:t xml:space="preserve"> ministerial councils </w:t>
      </w:r>
      <w:r w:rsidR="003A54D7">
        <w:t xml:space="preserve">with the development of RIS’s. </w:t>
      </w:r>
      <w:r w:rsidR="001712E7">
        <w:t xml:space="preserve">Officers are strongly encouraged to follow this guidance to </w:t>
      </w:r>
      <w:r w:rsidR="001712E7" w:rsidRPr="001A6F0F" w:rsidDel="00F07ECC">
        <w:t>avoid delay</w:t>
      </w:r>
      <w:r w:rsidR="001712E7">
        <w:t xml:space="preserve"> during the </w:t>
      </w:r>
      <w:r w:rsidR="00906281">
        <w:t xml:space="preserve">required </w:t>
      </w:r>
      <w:r w:rsidR="004C65A3">
        <w:t>A</w:t>
      </w:r>
      <w:r w:rsidR="003A54D7">
        <w:t>ssessment process.</w:t>
      </w:r>
    </w:p>
    <w:p w14:paraId="669DF444" w14:textId="77777777" w:rsidR="007B1F9D" w:rsidRPr="006F14B9" w:rsidRDefault="007B1F9D" w:rsidP="006923CA">
      <w:r>
        <w:t xml:space="preserve">The aims of the </w:t>
      </w:r>
      <w:r w:rsidRPr="006F14B9">
        <w:t xml:space="preserve">Policy Options </w:t>
      </w:r>
      <w:r w:rsidR="001712E7">
        <w:t xml:space="preserve">Consultation </w:t>
      </w:r>
      <w:r w:rsidRPr="006F14B9">
        <w:t>Paper are to:</w:t>
      </w:r>
    </w:p>
    <w:p w14:paraId="54B0CF96" w14:textId="77777777" w:rsidR="007B1F9D" w:rsidRPr="00FF55FB" w:rsidRDefault="007B1F9D" w:rsidP="00B746F1">
      <w:pPr>
        <w:pStyle w:val="ListParagraph"/>
      </w:pPr>
      <w:r w:rsidRPr="00B746F1">
        <w:t>present</w:t>
      </w:r>
      <w:r w:rsidRPr="00FF55FB">
        <w:t xml:space="preserve"> issues and arguments in an objective, clear and succinct manner;</w:t>
      </w:r>
    </w:p>
    <w:p w14:paraId="1E188323" w14:textId="6C7517B0" w:rsidR="007B1F9D" w:rsidRPr="00FF55FB" w:rsidRDefault="007B1F9D" w:rsidP="00B746F1">
      <w:pPr>
        <w:pStyle w:val="ListParagraph"/>
      </w:pPr>
      <w:r w:rsidRPr="00FF55FB">
        <w:t>present a range of pos</w:t>
      </w:r>
      <w:r w:rsidR="00B85C4D">
        <w:t>itions and options for comment;</w:t>
      </w:r>
    </w:p>
    <w:p w14:paraId="2D6BA0CB" w14:textId="77777777" w:rsidR="007B1F9D" w:rsidRPr="00FF55FB" w:rsidRDefault="007B1F9D" w:rsidP="00B746F1">
      <w:pPr>
        <w:pStyle w:val="ListParagraph"/>
      </w:pPr>
      <w:r w:rsidRPr="00FF55FB">
        <w:t xml:space="preserve">generate public discussion; </w:t>
      </w:r>
    </w:p>
    <w:p w14:paraId="150465BD" w14:textId="77777777" w:rsidR="001712E7" w:rsidRDefault="001712E7" w:rsidP="00B746F1">
      <w:pPr>
        <w:pStyle w:val="ListParagraph"/>
      </w:pPr>
      <w:r>
        <w:t>collect additional information and data;</w:t>
      </w:r>
    </w:p>
    <w:p w14:paraId="64BFBCE7" w14:textId="77777777" w:rsidR="001712E7" w:rsidRDefault="007B1F9D" w:rsidP="00B746F1">
      <w:pPr>
        <w:pStyle w:val="ListParagraph"/>
      </w:pPr>
      <w:r w:rsidRPr="00FF55FB">
        <w:t xml:space="preserve">elicit broad community support; </w:t>
      </w:r>
    </w:p>
    <w:p w14:paraId="2ABEE16E" w14:textId="63A3800C" w:rsidR="007B1F9D" w:rsidRPr="00FF55FB" w:rsidRDefault="004C65A3" w:rsidP="00B746F1">
      <w:pPr>
        <w:pStyle w:val="ListParagraph"/>
      </w:pPr>
      <w:r>
        <w:t>gain an understanding of community views;</w:t>
      </w:r>
      <w:r w:rsidR="001712E7">
        <w:t xml:space="preserve"> </w:t>
      </w:r>
      <w:r w:rsidR="003A54D7">
        <w:t>and</w:t>
      </w:r>
    </w:p>
    <w:p w14:paraId="28CC46E6" w14:textId="19B6673B" w:rsidR="00824125" w:rsidRDefault="007B1F9D" w:rsidP="00B746F1">
      <w:pPr>
        <w:pStyle w:val="ListParagraph"/>
      </w:pPr>
      <w:r w:rsidRPr="00FF55FB">
        <w:lastRenderedPageBreak/>
        <w:t>create high level awareness with stakeholders.</w:t>
      </w:r>
    </w:p>
    <w:p w14:paraId="3E758F6A" w14:textId="0F5A0D0B" w:rsidR="002C2F8B" w:rsidRPr="005375FD" w:rsidRDefault="006F43F9" w:rsidP="00B85C4D">
      <w:pPr>
        <w:rPr>
          <w:spacing w:val="-2"/>
        </w:rPr>
      </w:pPr>
      <w:r w:rsidRPr="00B30802">
        <w:t xml:space="preserve">If a RIS is required it needs to be prepared consistent with the advice set out in the </w:t>
      </w:r>
      <w:r w:rsidRPr="00B30802">
        <w:rPr>
          <w:rStyle w:val="Emphasis"/>
          <w:rFonts w:cstheme="minorHAnsi"/>
          <w:color w:val="1E1E1E"/>
          <w:spacing w:val="4"/>
          <w:bdr w:val="none" w:sz="0" w:space="0" w:color="auto" w:frame="1"/>
          <w:shd w:val="clear" w:color="auto" w:fill="FFFFFF"/>
        </w:rPr>
        <w:t xml:space="preserve">Best Practice Regulation: </w:t>
      </w:r>
      <w:hyperlink r:id="rId14" w:history="1">
        <w:r w:rsidRPr="00B30802">
          <w:rPr>
            <w:rStyle w:val="Hyperlink"/>
            <w:rFonts w:cstheme="minorHAnsi"/>
            <w:spacing w:val="4"/>
            <w:bdr w:val="none" w:sz="0" w:space="0" w:color="auto" w:frame="1"/>
            <w:shd w:val="clear" w:color="auto" w:fill="FFFFFF"/>
          </w:rPr>
          <w:t>A guide for ministerial councils and national standard setting bodies</w:t>
        </w:r>
      </w:hyperlink>
      <w:r w:rsidRPr="00B85C4D">
        <w:t xml:space="preserve">. </w:t>
      </w:r>
      <w:r w:rsidR="00B30802" w:rsidRPr="00B85C4D">
        <w:t xml:space="preserve">The development of a RIS requires </w:t>
      </w:r>
      <w:r w:rsidR="00B30802" w:rsidRPr="00B30802">
        <w:t>significant time and resources</w:t>
      </w:r>
      <w:r w:rsidR="00B30802">
        <w:t xml:space="preserve">. </w:t>
      </w:r>
      <w:r w:rsidR="007A7363" w:rsidRPr="001D34BA">
        <w:t>RIS</w:t>
      </w:r>
      <w:r w:rsidR="001D34BA">
        <w:t xml:space="preserve">’s require </w:t>
      </w:r>
      <w:r w:rsidR="007A7363" w:rsidRPr="001D34BA">
        <w:rPr>
          <w:rStyle w:val="italic"/>
          <w:rFonts w:cstheme="minorHAnsi"/>
        </w:rPr>
        <w:t>formal</w:t>
      </w:r>
      <w:r w:rsidR="007A7363" w:rsidRPr="001D34BA">
        <w:t xml:space="preserve"> assessment by OBPR at two different points during </w:t>
      </w:r>
      <w:r w:rsidR="005A6A62">
        <w:t xml:space="preserve">their </w:t>
      </w:r>
      <w:r w:rsidR="007A7363" w:rsidRPr="001D34BA">
        <w:t>development</w:t>
      </w:r>
      <w:r w:rsidR="00B30802">
        <w:t>. T</w:t>
      </w:r>
      <w:r w:rsidR="007A7363" w:rsidRPr="001D34BA">
        <w:t xml:space="preserve">hese are the </w:t>
      </w:r>
      <w:r w:rsidR="007A7363" w:rsidRPr="00B746F1">
        <w:rPr>
          <w:rStyle w:val="Strong"/>
        </w:rPr>
        <w:t>Early Assessment</w:t>
      </w:r>
      <w:r w:rsidR="007A7363" w:rsidRPr="001D34BA">
        <w:t xml:space="preserve"> and </w:t>
      </w:r>
      <w:r w:rsidR="007A7363" w:rsidRPr="00B746F1">
        <w:rPr>
          <w:rStyle w:val="Strong"/>
        </w:rPr>
        <w:t>Final Assessment</w:t>
      </w:r>
      <w:r w:rsidR="007A7363" w:rsidRPr="001D34BA">
        <w:t xml:space="preserve"> stages.</w:t>
      </w:r>
      <w:r w:rsidR="001D34BA">
        <w:t xml:space="preserve"> </w:t>
      </w:r>
      <w:r w:rsidR="007A7363" w:rsidRPr="001D34BA">
        <w:rPr>
          <w:spacing w:val="-2"/>
        </w:rPr>
        <w:t xml:space="preserve">An Early Assessment </w:t>
      </w:r>
      <w:r w:rsidR="00906281">
        <w:rPr>
          <w:spacing w:val="-2"/>
        </w:rPr>
        <w:t xml:space="preserve">is undertaken </w:t>
      </w:r>
      <w:r w:rsidR="001D34BA">
        <w:rPr>
          <w:spacing w:val="-2"/>
        </w:rPr>
        <w:t xml:space="preserve">before the commencement of the </w:t>
      </w:r>
      <w:r w:rsidR="007A7363" w:rsidRPr="001D34BA">
        <w:rPr>
          <w:spacing w:val="-2"/>
        </w:rPr>
        <w:t>consultation process. If the Early Assessment finds your costings inadequate or your consultation plan unsatisfactory, OBPR will advise on the areas that need to be addressed, otherwise your RIS could be found to be non-compliant</w:t>
      </w:r>
      <w:r w:rsidR="003A54D7">
        <w:rPr>
          <w:spacing w:val="-2"/>
        </w:rPr>
        <w:t xml:space="preserve"> at the Final Assessment stage.</w:t>
      </w:r>
    </w:p>
    <w:p w14:paraId="0FEE97EA" w14:textId="453859A5" w:rsidR="002C2F8B" w:rsidRDefault="002C2F8B" w:rsidP="00B746F1">
      <w:pPr>
        <w:rPr>
          <w:rFonts w:cstheme="minorHAnsi"/>
          <w:spacing w:val="-2"/>
        </w:rPr>
      </w:pPr>
      <w:r>
        <w:rPr>
          <w:rFonts w:cstheme="minorHAnsi"/>
          <w:spacing w:val="-2"/>
        </w:rPr>
        <w:t xml:space="preserve">In New Zealand the RIS should meet the requirements of the linked </w:t>
      </w:r>
      <w:hyperlink r:id="rId15" w:history="1">
        <w:r w:rsidRPr="002C2F8B">
          <w:rPr>
            <w:rStyle w:val="Hyperlink"/>
            <w:rFonts w:cstheme="minorHAnsi"/>
            <w:spacing w:val="-2"/>
          </w:rPr>
          <w:t>guid</w:t>
        </w:r>
        <w:r>
          <w:rPr>
            <w:rStyle w:val="Hyperlink"/>
            <w:rFonts w:cstheme="minorHAnsi"/>
            <w:spacing w:val="-2"/>
          </w:rPr>
          <w:t>e</w:t>
        </w:r>
      </w:hyperlink>
      <w:r>
        <w:rPr>
          <w:rFonts w:cstheme="minorHAnsi"/>
          <w:spacing w:val="-2"/>
        </w:rPr>
        <w:t>. The following RIS processes apply:</w:t>
      </w:r>
    </w:p>
    <w:p w14:paraId="4F46B48A" w14:textId="42B47987" w:rsidR="002C2F8B" w:rsidRPr="00B85C4D" w:rsidRDefault="002C2F8B" w:rsidP="00B746F1">
      <w:pPr>
        <w:pStyle w:val="ListParagraph"/>
        <w:numPr>
          <w:ilvl w:val="0"/>
          <w:numId w:val="45"/>
        </w:numPr>
      </w:pPr>
      <w:r w:rsidRPr="00B85C4D">
        <w:t>early engagement with Treasury. This involves testing early thinking around problem definition and the identification of options undertaken after tentative decisions are taken to pursue action or to commission a policy project but before committing to a particular approach; and</w:t>
      </w:r>
    </w:p>
    <w:p w14:paraId="10E53414" w14:textId="2447D806" w:rsidR="007A7363" w:rsidRPr="00B85C4D" w:rsidRDefault="002C2F8B" w:rsidP="00B746F1">
      <w:pPr>
        <w:pStyle w:val="ListParagraph"/>
        <w:numPr>
          <w:ilvl w:val="0"/>
          <w:numId w:val="45"/>
        </w:numPr>
      </w:pPr>
      <w:r w:rsidRPr="00B85C4D">
        <w:t>a full RIS which is subject to quality assurance either by the RIS Quality Team at Treasury or designated ind</w:t>
      </w:r>
      <w:r w:rsidR="003A54D7" w:rsidRPr="00B85C4D">
        <w:t>ependent panels or individuals.</w:t>
      </w:r>
    </w:p>
    <w:p w14:paraId="440B9073" w14:textId="0240D9A9" w:rsidR="007B1F9D" w:rsidRPr="001D34BA" w:rsidRDefault="007B1F9D" w:rsidP="006923CA">
      <w:r w:rsidRPr="007A7363">
        <w:t xml:space="preserve">The policy options presented in the Policy Options </w:t>
      </w:r>
      <w:r w:rsidR="004C65A3">
        <w:t xml:space="preserve">Consultation </w:t>
      </w:r>
      <w:r w:rsidRPr="007A7363">
        <w:t xml:space="preserve">Paper </w:t>
      </w:r>
      <w:r w:rsidR="001D34BA">
        <w:t xml:space="preserve">or </w:t>
      </w:r>
      <w:r w:rsidR="0038796F">
        <w:t xml:space="preserve">Consultation </w:t>
      </w:r>
      <w:r w:rsidR="001D34BA">
        <w:t xml:space="preserve">RIS </w:t>
      </w:r>
      <w:r w:rsidRPr="007A7363">
        <w:t>shou</w:t>
      </w:r>
      <w:r w:rsidR="003A54D7">
        <w:t>ld:</w:t>
      </w:r>
    </w:p>
    <w:p w14:paraId="0AB15390" w14:textId="77777777" w:rsidR="007B1F9D" w:rsidRPr="000C471E" w:rsidRDefault="007B1F9D" w:rsidP="00B746F1">
      <w:pPr>
        <w:pStyle w:val="ListParagraph"/>
      </w:pPr>
      <w:r w:rsidRPr="000C471E">
        <w:t>be clear and unambiguous;</w:t>
      </w:r>
    </w:p>
    <w:p w14:paraId="4FDF6F3D" w14:textId="76A28C5E" w:rsidR="007B1F9D" w:rsidRPr="00FF55FB" w:rsidRDefault="007B1F9D" w:rsidP="00B746F1">
      <w:pPr>
        <w:pStyle w:val="ListParagraph"/>
      </w:pPr>
      <w:r w:rsidRPr="00FF55FB">
        <w:t>include the criteria by which options have been assessed (these are generally expressed as High Order and Specific Policy Principles</w:t>
      </w:r>
      <w:r w:rsidR="00D243B0">
        <w:t xml:space="preserve"> and should link back to the issue of ‘what are you trying to achieve</w:t>
      </w:r>
      <w:r w:rsidRPr="00FF55FB">
        <w:t>);</w:t>
      </w:r>
    </w:p>
    <w:p w14:paraId="49BB4C47" w14:textId="77777777" w:rsidR="007B1F9D" w:rsidRPr="00FF55FB" w:rsidRDefault="007B1F9D" w:rsidP="00B746F1">
      <w:pPr>
        <w:pStyle w:val="ListParagraph"/>
      </w:pPr>
      <w:r w:rsidRPr="00FF55FB">
        <w:t>clearly articulate all options to be considered;</w:t>
      </w:r>
    </w:p>
    <w:p w14:paraId="316A26D2" w14:textId="77777777" w:rsidR="007B1F9D" w:rsidRPr="00FF55FB" w:rsidRDefault="007B1F9D" w:rsidP="00B746F1">
      <w:pPr>
        <w:pStyle w:val="ListParagraph"/>
      </w:pPr>
      <w:r w:rsidRPr="00FF55FB">
        <w:t>further develop the options to be considered, including an analysis of the advantages and disadvantages including potential implementation issues</w:t>
      </w:r>
      <w:r w:rsidR="00952A87">
        <w:t xml:space="preserve"> and costs</w:t>
      </w:r>
      <w:r w:rsidRPr="00FF55FB">
        <w:t xml:space="preserve"> identified;</w:t>
      </w:r>
    </w:p>
    <w:p w14:paraId="506016C3" w14:textId="13819BC3" w:rsidR="007B1F9D" w:rsidRPr="00FF55FB" w:rsidRDefault="007B1F9D" w:rsidP="00B746F1">
      <w:pPr>
        <w:pStyle w:val="ListParagraph"/>
      </w:pPr>
      <w:r w:rsidRPr="00FF55FB">
        <w:t>where relevant, discuss any options that have not been further explor</w:t>
      </w:r>
      <w:r w:rsidR="003A54D7">
        <w:t>ed and provide reasons why; and</w:t>
      </w:r>
    </w:p>
    <w:p w14:paraId="0D650A78" w14:textId="7A281046" w:rsidR="00D243B0" w:rsidRPr="00FF55FB" w:rsidRDefault="007B1F9D" w:rsidP="00B746F1">
      <w:pPr>
        <w:pStyle w:val="ListParagraph"/>
      </w:pPr>
      <w:r w:rsidRPr="00FF55FB">
        <w:t>invite comment on the option/s being considered.</w:t>
      </w:r>
    </w:p>
    <w:p w14:paraId="441E45B6" w14:textId="7C710483" w:rsidR="0052143D" w:rsidRPr="0052143D" w:rsidRDefault="00F235E4" w:rsidP="0052143D">
      <w:pPr>
        <w:rPr>
          <w:lang w:val="en-GB"/>
        </w:rPr>
      </w:pPr>
      <w:r w:rsidRPr="00F235E4">
        <w:rPr>
          <w:lang w:val="en-GB"/>
        </w:rPr>
        <w:t>T</w:t>
      </w:r>
      <w:r w:rsidR="009F2727" w:rsidRPr="00F235E4">
        <w:rPr>
          <w:lang w:val="en-GB"/>
        </w:rPr>
        <w:t xml:space="preserve">he table below </w:t>
      </w:r>
      <w:r w:rsidR="00D243B0">
        <w:rPr>
          <w:lang w:val="en-GB"/>
        </w:rPr>
        <w:t xml:space="preserve">can </w:t>
      </w:r>
      <w:r w:rsidRPr="00F235E4">
        <w:rPr>
          <w:lang w:val="en-GB"/>
        </w:rPr>
        <w:t xml:space="preserve">be used </w:t>
      </w:r>
      <w:r w:rsidR="009F2727" w:rsidRPr="00F235E4">
        <w:rPr>
          <w:lang w:val="en-GB"/>
        </w:rPr>
        <w:t>as a guide</w:t>
      </w:r>
      <w:r w:rsidRPr="00F235E4">
        <w:rPr>
          <w:lang w:val="en-GB"/>
        </w:rPr>
        <w:t xml:space="preserve"> to </w:t>
      </w:r>
      <w:r w:rsidR="009F2727" w:rsidRPr="00F235E4">
        <w:rPr>
          <w:lang w:val="en-GB"/>
        </w:rPr>
        <w:t>consider</w:t>
      </w:r>
      <w:r w:rsidRPr="00F235E4">
        <w:rPr>
          <w:lang w:val="en-GB"/>
        </w:rPr>
        <w:t xml:space="preserve"> </w:t>
      </w:r>
      <w:r>
        <w:rPr>
          <w:lang w:val="en-GB"/>
        </w:rPr>
        <w:t xml:space="preserve">what </w:t>
      </w:r>
      <w:r w:rsidR="00C7732D">
        <w:rPr>
          <w:lang w:val="en-GB"/>
        </w:rPr>
        <w:t xml:space="preserve">constitutes </w:t>
      </w:r>
      <w:r>
        <w:rPr>
          <w:lang w:val="en-GB"/>
        </w:rPr>
        <w:t xml:space="preserve">a proportionate </w:t>
      </w:r>
      <w:r w:rsidR="00D243B0">
        <w:rPr>
          <w:lang w:val="en-GB"/>
        </w:rPr>
        <w:t>risk</w:t>
      </w:r>
      <w:r w:rsidR="008C30A5">
        <w:rPr>
          <w:lang w:val="en-GB"/>
        </w:rPr>
        <w:t>-</w:t>
      </w:r>
      <w:r w:rsidR="00D243B0">
        <w:rPr>
          <w:lang w:val="en-GB"/>
        </w:rPr>
        <w:t xml:space="preserve">based </w:t>
      </w:r>
      <w:r w:rsidR="009F2727" w:rsidRPr="00F235E4">
        <w:rPr>
          <w:lang w:val="en-GB"/>
        </w:rPr>
        <w:t>approach for the advertising of public consultation.</w:t>
      </w:r>
      <w:r w:rsidR="00D243B0">
        <w:rPr>
          <w:lang w:val="en-GB"/>
        </w:rPr>
        <w:t xml:space="preserve"> </w:t>
      </w:r>
      <w:r w:rsidR="00C7732D">
        <w:rPr>
          <w:lang w:val="en-GB"/>
        </w:rPr>
        <w:t>A</w:t>
      </w:r>
      <w:r w:rsidR="00D243B0">
        <w:rPr>
          <w:lang w:val="en-GB"/>
        </w:rPr>
        <w:t>lternative approach</w:t>
      </w:r>
      <w:r w:rsidR="00C7732D">
        <w:rPr>
          <w:lang w:val="en-GB"/>
        </w:rPr>
        <w:t>es</w:t>
      </w:r>
      <w:r w:rsidR="00D243B0">
        <w:rPr>
          <w:lang w:val="en-GB"/>
        </w:rPr>
        <w:t xml:space="preserve"> can be proposed. </w:t>
      </w:r>
      <w:r w:rsidR="009274FA">
        <w:rPr>
          <w:lang w:val="en-GB"/>
        </w:rPr>
        <w:t>Funding needs to be agreed by FRSC.</w:t>
      </w:r>
    </w:p>
    <w:tbl>
      <w:tblPr>
        <w:tblStyle w:val="TableGrid"/>
        <w:tblW w:w="0" w:type="auto"/>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Description w:val="This table outlines Options for Advertising."/>
      </w:tblPr>
      <w:tblGrid>
        <w:gridCol w:w="1134"/>
        <w:gridCol w:w="8505"/>
      </w:tblGrid>
      <w:tr w:rsidR="00F235E4" w:rsidRPr="00F235E4" w14:paraId="0359E7E8" w14:textId="77777777" w:rsidTr="00060A06">
        <w:trPr>
          <w:cnfStyle w:val="100000000000" w:firstRow="1" w:lastRow="0" w:firstColumn="0" w:lastColumn="0" w:oddVBand="0" w:evenVBand="0" w:oddHBand="0" w:evenHBand="0" w:firstRowFirstColumn="0" w:firstRowLastColumn="0" w:lastRowFirstColumn="0" w:lastRowLastColumn="0"/>
          <w:tblHeader/>
        </w:trPr>
        <w:tc>
          <w:tcPr>
            <w:tcW w:w="1134" w:type="dxa"/>
          </w:tcPr>
          <w:p w14:paraId="5BD2A783" w14:textId="77777777" w:rsidR="00F235E4" w:rsidRPr="00F235E4" w:rsidRDefault="00F235E4" w:rsidP="0052143D">
            <w:pPr>
              <w:pageBreakBefore/>
              <w:rPr>
                <w:rFonts w:eastAsiaTheme="minorHAnsi"/>
                <w:lang w:eastAsia="en-US"/>
              </w:rPr>
            </w:pPr>
            <w:r w:rsidRPr="00F235E4">
              <w:rPr>
                <w:rFonts w:eastAsiaTheme="minorHAnsi"/>
                <w:lang w:eastAsia="en-US"/>
              </w:rPr>
              <w:lastRenderedPageBreak/>
              <w:t>Option</w:t>
            </w:r>
          </w:p>
        </w:tc>
        <w:tc>
          <w:tcPr>
            <w:tcW w:w="8505" w:type="dxa"/>
          </w:tcPr>
          <w:p w14:paraId="3B714467" w14:textId="77777777" w:rsidR="00F235E4" w:rsidRPr="00F235E4" w:rsidRDefault="00F235E4" w:rsidP="00B85C4D">
            <w:pPr>
              <w:rPr>
                <w:rFonts w:eastAsiaTheme="minorHAnsi"/>
                <w:lang w:eastAsia="en-US"/>
              </w:rPr>
            </w:pPr>
            <w:r w:rsidRPr="00F235E4">
              <w:rPr>
                <w:rFonts w:eastAsiaTheme="minorHAnsi"/>
                <w:lang w:eastAsia="en-US"/>
              </w:rPr>
              <w:t>Advertising Option</w:t>
            </w:r>
          </w:p>
        </w:tc>
      </w:tr>
      <w:tr w:rsidR="00F235E4" w:rsidRPr="00F235E4" w14:paraId="4FD63235" w14:textId="77777777" w:rsidTr="00060A06">
        <w:tc>
          <w:tcPr>
            <w:tcW w:w="1134" w:type="dxa"/>
          </w:tcPr>
          <w:p w14:paraId="0ACFB6DB" w14:textId="4C81B9CB" w:rsidR="00F235E4" w:rsidRPr="00F235E4" w:rsidRDefault="00D243B0" w:rsidP="006923CA">
            <w:pPr>
              <w:rPr>
                <w:rFonts w:eastAsiaTheme="minorHAnsi"/>
                <w:lang w:eastAsia="en-US"/>
              </w:rPr>
            </w:pPr>
            <w:r>
              <w:rPr>
                <w:rFonts w:eastAsiaTheme="minorHAnsi"/>
                <w:lang w:eastAsia="en-US"/>
              </w:rPr>
              <w:sym w:font="Wingdings" w:char="F0E1"/>
            </w:r>
            <w:r>
              <w:rPr>
                <w:rFonts w:eastAsiaTheme="minorHAnsi"/>
                <w:lang w:eastAsia="en-US"/>
              </w:rPr>
              <w:sym w:font="Wingdings" w:char="F0E1"/>
            </w:r>
            <w:r>
              <w:rPr>
                <w:rFonts w:eastAsiaTheme="minorHAnsi"/>
                <w:lang w:eastAsia="en-US"/>
              </w:rPr>
              <w:sym w:font="Wingdings" w:char="F0E1"/>
            </w:r>
            <w:r>
              <w:rPr>
                <w:rFonts w:eastAsiaTheme="minorHAnsi"/>
                <w:lang w:eastAsia="en-US"/>
              </w:rPr>
              <w:sym w:font="Wingdings" w:char="F0E1"/>
            </w:r>
          </w:p>
        </w:tc>
        <w:tc>
          <w:tcPr>
            <w:tcW w:w="8505" w:type="dxa"/>
          </w:tcPr>
          <w:p w14:paraId="5DA69A57" w14:textId="77777777" w:rsidR="00F235E4" w:rsidRPr="00F235E4" w:rsidRDefault="00F235E4" w:rsidP="00B746F1">
            <w:pPr>
              <w:pStyle w:val="ListParagraph"/>
              <w:rPr>
                <w:rFonts w:eastAsiaTheme="minorHAnsi"/>
                <w:lang w:eastAsia="en-US"/>
              </w:rPr>
            </w:pPr>
            <w:r w:rsidRPr="00F235E4">
              <w:rPr>
                <w:rFonts w:eastAsiaTheme="minorHAnsi"/>
                <w:lang w:eastAsia="en-US"/>
              </w:rPr>
              <w:t>one national Australian newspaper;</w:t>
            </w:r>
          </w:p>
          <w:p w14:paraId="5B7BF0F1" w14:textId="77777777" w:rsidR="00F235E4" w:rsidRPr="00F235E4" w:rsidRDefault="00F235E4" w:rsidP="00B746F1">
            <w:pPr>
              <w:pStyle w:val="ListParagraph"/>
              <w:rPr>
                <w:rFonts w:eastAsiaTheme="minorHAnsi"/>
                <w:lang w:eastAsia="en-US"/>
              </w:rPr>
            </w:pPr>
            <w:r w:rsidRPr="00F235E4">
              <w:rPr>
                <w:rFonts w:eastAsiaTheme="minorHAnsi"/>
                <w:lang w:eastAsia="en-US"/>
              </w:rPr>
              <w:t>two national New Zealand newspapers;</w:t>
            </w:r>
          </w:p>
          <w:p w14:paraId="3CD738A0" w14:textId="77777777" w:rsidR="00F235E4" w:rsidRPr="00F235E4" w:rsidRDefault="00F235E4" w:rsidP="00B746F1">
            <w:pPr>
              <w:pStyle w:val="ListParagraph"/>
              <w:rPr>
                <w:rFonts w:eastAsiaTheme="minorHAnsi"/>
                <w:lang w:eastAsia="en-US"/>
              </w:rPr>
            </w:pPr>
            <w:r w:rsidRPr="00F235E4">
              <w:rPr>
                <w:rFonts w:eastAsiaTheme="minorHAnsi"/>
                <w:lang w:eastAsia="en-US"/>
              </w:rPr>
              <w:t>one newspaper in each State/Territory;</w:t>
            </w:r>
          </w:p>
          <w:p w14:paraId="27A41B42" w14:textId="77777777" w:rsidR="00F235E4" w:rsidRPr="00F235E4" w:rsidRDefault="00F235E4" w:rsidP="00B746F1">
            <w:pPr>
              <w:pStyle w:val="ListParagraph"/>
              <w:rPr>
                <w:rFonts w:eastAsiaTheme="minorHAnsi"/>
                <w:lang w:eastAsia="en-US"/>
              </w:rPr>
            </w:pPr>
            <w:r w:rsidRPr="00F235E4">
              <w:rPr>
                <w:rFonts w:eastAsiaTheme="minorHAnsi"/>
                <w:lang w:eastAsia="en-US"/>
              </w:rPr>
              <w:t>selected local newspapers in each State/Territory;</w:t>
            </w:r>
          </w:p>
          <w:p w14:paraId="5DB6713E" w14:textId="77777777" w:rsidR="00F235E4" w:rsidRPr="00F235E4" w:rsidRDefault="00F235E4" w:rsidP="00B746F1">
            <w:pPr>
              <w:pStyle w:val="ListParagraph"/>
              <w:rPr>
                <w:rFonts w:eastAsiaTheme="minorHAnsi"/>
                <w:lang w:eastAsia="en-US"/>
              </w:rPr>
            </w:pPr>
            <w:r w:rsidRPr="00F235E4">
              <w:rPr>
                <w:rFonts w:eastAsiaTheme="minorHAnsi"/>
                <w:lang w:eastAsia="en-US"/>
              </w:rPr>
              <w:t>notice placed on the Food Regulation Secretariat (FRS) website; and</w:t>
            </w:r>
          </w:p>
          <w:p w14:paraId="3B232F31" w14:textId="77777777" w:rsidR="00F235E4" w:rsidRPr="00F235E4" w:rsidRDefault="00F235E4" w:rsidP="00B746F1">
            <w:pPr>
              <w:pStyle w:val="ListParagraph"/>
              <w:rPr>
                <w:rFonts w:eastAsiaTheme="minorHAnsi"/>
                <w:lang w:eastAsia="en-US"/>
              </w:rPr>
            </w:pPr>
            <w:r w:rsidRPr="00F235E4">
              <w:rPr>
                <w:rFonts w:eastAsiaTheme="minorHAnsi"/>
                <w:lang w:eastAsia="en-US"/>
              </w:rPr>
              <w:t>email to all stakeholders on the FRS database.</w:t>
            </w:r>
          </w:p>
        </w:tc>
      </w:tr>
      <w:tr w:rsidR="00D243B0" w:rsidRPr="00F235E4" w14:paraId="7F2B6D2B" w14:textId="77777777" w:rsidTr="00060A06">
        <w:tc>
          <w:tcPr>
            <w:tcW w:w="1134" w:type="dxa"/>
          </w:tcPr>
          <w:p w14:paraId="45BD31C2" w14:textId="023CE8F3" w:rsidR="00D243B0" w:rsidRPr="00F235E4" w:rsidRDefault="00D243B0" w:rsidP="006923CA">
            <w:pPr>
              <w:rPr>
                <w:rFonts w:eastAsiaTheme="minorHAnsi"/>
                <w:lang w:eastAsia="en-US"/>
              </w:rPr>
            </w:pPr>
            <w:r>
              <w:rPr>
                <w:rFonts w:eastAsiaTheme="minorHAnsi"/>
                <w:lang w:eastAsia="en-US"/>
              </w:rPr>
              <w:sym w:font="Wingdings" w:char="F0E1"/>
            </w:r>
            <w:r>
              <w:rPr>
                <w:rFonts w:eastAsiaTheme="minorHAnsi"/>
                <w:lang w:eastAsia="en-US"/>
              </w:rPr>
              <w:sym w:font="Wingdings" w:char="F0E1"/>
            </w:r>
            <w:r>
              <w:rPr>
                <w:rFonts w:eastAsiaTheme="minorHAnsi"/>
                <w:lang w:eastAsia="en-US"/>
              </w:rPr>
              <w:sym w:font="Wingdings" w:char="F0E1"/>
            </w:r>
          </w:p>
        </w:tc>
        <w:tc>
          <w:tcPr>
            <w:tcW w:w="8505" w:type="dxa"/>
          </w:tcPr>
          <w:p w14:paraId="062AA9F6" w14:textId="77777777" w:rsidR="00D243B0" w:rsidRPr="00F235E4" w:rsidRDefault="00D243B0" w:rsidP="00B746F1">
            <w:pPr>
              <w:pStyle w:val="ListParagraph"/>
              <w:rPr>
                <w:rFonts w:eastAsiaTheme="minorHAnsi"/>
                <w:lang w:eastAsia="en-US"/>
              </w:rPr>
            </w:pPr>
            <w:r w:rsidRPr="00F235E4">
              <w:rPr>
                <w:rFonts w:eastAsiaTheme="minorHAnsi"/>
                <w:lang w:eastAsia="en-US"/>
              </w:rPr>
              <w:t>one national Australian newspaper;</w:t>
            </w:r>
          </w:p>
          <w:p w14:paraId="2DC6E49C" w14:textId="77777777" w:rsidR="00D243B0" w:rsidRPr="00F235E4" w:rsidRDefault="00D243B0" w:rsidP="00B746F1">
            <w:pPr>
              <w:pStyle w:val="ListParagraph"/>
              <w:rPr>
                <w:rFonts w:eastAsiaTheme="minorHAnsi"/>
                <w:lang w:eastAsia="en-US"/>
              </w:rPr>
            </w:pPr>
            <w:r w:rsidRPr="00F235E4">
              <w:rPr>
                <w:rFonts w:eastAsiaTheme="minorHAnsi"/>
                <w:lang w:eastAsia="en-US"/>
              </w:rPr>
              <w:t>two national New Zealand newspapers;</w:t>
            </w:r>
          </w:p>
          <w:p w14:paraId="423D0EE3" w14:textId="77777777" w:rsidR="00D243B0" w:rsidRPr="00F235E4" w:rsidRDefault="00D243B0" w:rsidP="00B746F1">
            <w:pPr>
              <w:pStyle w:val="ListParagraph"/>
              <w:rPr>
                <w:rFonts w:eastAsiaTheme="minorHAnsi"/>
                <w:lang w:eastAsia="en-US"/>
              </w:rPr>
            </w:pPr>
            <w:r w:rsidRPr="00F235E4">
              <w:rPr>
                <w:rFonts w:eastAsiaTheme="minorHAnsi"/>
                <w:lang w:eastAsia="en-US"/>
              </w:rPr>
              <w:t>one newspaper in each State/Territory;</w:t>
            </w:r>
          </w:p>
          <w:p w14:paraId="3B70E89E" w14:textId="77777777" w:rsidR="00D243B0" w:rsidRPr="00F235E4" w:rsidRDefault="00D243B0" w:rsidP="00B746F1">
            <w:pPr>
              <w:pStyle w:val="ListParagraph"/>
              <w:rPr>
                <w:rFonts w:eastAsiaTheme="minorHAnsi"/>
                <w:lang w:eastAsia="en-US"/>
              </w:rPr>
            </w:pPr>
            <w:r w:rsidRPr="00F235E4">
              <w:rPr>
                <w:rFonts w:eastAsiaTheme="minorHAnsi"/>
                <w:lang w:eastAsia="en-US"/>
              </w:rPr>
              <w:t>notice placed on the Food Regulation Secretariat (FRS) website; and</w:t>
            </w:r>
          </w:p>
          <w:p w14:paraId="7598BA2E" w14:textId="77777777" w:rsidR="00D243B0" w:rsidRPr="00F235E4" w:rsidRDefault="00D243B0" w:rsidP="00B746F1">
            <w:pPr>
              <w:pStyle w:val="ListParagraph"/>
              <w:rPr>
                <w:rFonts w:eastAsiaTheme="minorHAnsi"/>
                <w:lang w:eastAsia="en-US"/>
              </w:rPr>
            </w:pPr>
            <w:r w:rsidRPr="00F235E4">
              <w:rPr>
                <w:rFonts w:eastAsiaTheme="minorHAnsi"/>
                <w:lang w:eastAsia="en-US"/>
              </w:rPr>
              <w:t>email to all stakeholders on the FRS database.</w:t>
            </w:r>
          </w:p>
        </w:tc>
      </w:tr>
      <w:tr w:rsidR="00D243B0" w:rsidRPr="00F235E4" w14:paraId="7A09E030" w14:textId="77777777" w:rsidTr="00060A06">
        <w:tc>
          <w:tcPr>
            <w:tcW w:w="1134" w:type="dxa"/>
          </w:tcPr>
          <w:p w14:paraId="440878B2" w14:textId="6CBE8A1C" w:rsidR="00D243B0" w:rsidRPr="00F235E4" w:rsidRDefault="00D243B0" w:rsidP="006923CA">
            <w:pPr>
              <w:rPr>
                <w:rFonts w:eastAsiaTheme="minorHAnsi"/>
                <w:lang w:eastAsia="en-US"/>
              </w:rPr>
            </w:pPr>
            <w:r>
              <w:rPr>
                <w:rFonts w:eastAsiaTheme="minorHAnsi"/>
                <w:lang w:eastAsia="en-US"/>
              </w:rPr>
              <w:sym w:font="Wingdings" w:char="F0E1"/>
            </w:r>
            <w:r>
              <w:rPr>
                <w:rFonts w:eastAsiaTheme="minorHAnsi"/>
                <w:lang w:eastAsia="en-US"/>
              </w:rPr>
              <w:sym w:font="Wingdings" w:char="F0E1"/>
            </w:r>
          </w:p>
        </w:tc>
        <w:tc>
          <w:tcPr>
            <w:tcW w:w="8505" w:type="dxa"/>
          </w:tcPr>
          <w:p w14:paraId="140B20FB" w14:textId="77777777" w:rsidR="00D243B0" w:rsidRPr="00F235E4" w:rsidRDefault="00D243B0" w:rsidP="00B746F1">
            <w:pPr>
              <w:pStyle w:val="ListParagraph"/>
              <w:rPr>
                <w:rFonts w:eastAsiaTheme="minorHAnsi"/>
                <w:lang w:eastAsia="en-US"/>
              </w:rPr>
            </w:pPr>
            <w:r w:rsidRPr="00F235E4">
              <w:rPr>
                <w:rFonts w:eastAsiaTheme="minorHAnsi"/>
                <w:lang w:eastAsia="en-US"/>
              </w:rPr>
              <w:t>one national Australian newspaper;</w:t>
            </w:r>
          </w:p>
          <w:p w14:paraId="09FCE845" w14:textId="77777777" w:rsidR="00D243B0" w:rsidRPr="00F235E4" w:rsidRDefault="00D243B0" w:rsidP="00B746F1">
            <w:pPr>
              <w:pStyle w:val="ListParagraph"/>
              <w:rPr>
                <w:rFonts w:eastAsiaTheme="minorHAnsi"/>
                <w:lang w:eastAsia="en-US"/>
              </w:rPr>
            </w:pPr>
            <w:r w:rsidRPr="00F235E4">
              <w:rPr>
                <w:rFonts w:eastAsiaTheme="minorHAnsi"/>
                <w:lang w:eastAsia="en-US"/>
              </w:rPr>
              <w:t>two national New Zealand newspapers;</w:t>
            </w:r>
          </w:p>
          <w:p w14:paraId="4667638D" w14:textId="77777777" w:rsidR="00D243B0" w:rsidRPr="00F235E4" w:rsidRDefault="00D243B0" w:rsidP="00B746F1">
            <w:pPr>
              <w:pStyle w:val="ListParagraph"/>
              <w:rPr>
                <w:rFonts w:eastAsiaTheme="minorHAnsi"/>
                <w:lang w:eastAsia="en-US"/>
              </w:rPr>
            </w:pPr>
            <w:r w:rsidRPr="00F235E4">
              <w:rPr>
                <w:rFonts w:eastAsiaTheme="minorHAnsi"/>
                <w:lang w:eastAsia="en-US"/>
              </w:rPr>
              <w:t>notice placed on the Food Regulation Secretariat (FRS) website; and</w:t>
            </w:r>
          </w:p>
          <w:p w14:paraId="0762F2D1" w14:textId="77777777" w:rsidR="00D243B0" w:rsidRPr="00F235E4" w:rsidRDefault="00D243B0" w:rsidP="00B746F1">
            <w:pPr>
              <w:pStyle w:val="ListParagraph"/>
              <w:rPr>
                <w:rFonts w:eastAsiaTheme="minorHAnsi"/>
                <w:lang w:eastAsia="en-US"/>
              </w:rPr>
            </w:pPr>
            <w:r w:rsidRPr="00F235E4">
              <w:rPr>
                <w:rFonts w:eastAsiaTheme="minorHAnsi"/>
                <w:lang w:eastAsia="en-US"/>
              </w:rPr>
              <w:t>email to all stakeholders on the FRS database.</w:t>
            </w:r>
          </w:p>
        </w:tc>
      </w:tr>
      <w:tr w:rsidR="00D243B0" w:rsidRPr="00F235E4" w14:paraId="6DB7870E" w14:textId="77777777" w:rsidTr="00060A06">
        <w:tc>
          <w:tcPr>
            <w:tcW w:w="1134" w:type="dxa"/>
          </w:tcPr>
          <w:p w14:paraId="054E9D4F" w14:textId="17D44C1E" w:rsidR="00D243B0" w:rsidRPr="00F235E4" w:rsidRDefault="00D243B0" w:rsidP="006923CA">
            <w:pPr>
              <w:rPr>
                <w:rFonts w:eastAsiaTheme="minorHAnsi"/>
                <w:lang w:eastAsia="en-US"/>
              </w:rPr>
            </w:pPr>
            <w:r>
              <w:rPr>
                <w:rFonts w:eastAsiaTheme="minorHAnsi"/>
                <w:lang w:eastAsia="en-US"/>
              </w:rPr>
              <w:sym w:font="Wingdings" w:char="F0E1"/>
            </w:r>
          </w:p>
        </w:tc>
        <w:tc>
          <w:tcPr>
            <w:tcW w:w="8505" w:type="dxa"/>
          </w:tcPr>
          <w:p w14:paraId="33F589E3" w14:textId="6EBEE05C" w:rsidR="00D243B0" w:rsidRPr="00F235E4" w:rsidRDefault="00D243B0" w:rsidP="00B746F1">
            <w:pPr>
              <w:pStyle w:val="ListParagraph"/>
              <w:rPr>
                <w:rFonts w:eastAsiaTheme="minorHAnsi"/>
                <w:lang w:eastAsia="en-US"/>
              </w:rPr>
            </w:pPr>
            <w:r>
              <w:rPr>
                <w:rFonts w:eastAsiaTheme="minorHAnsi"/>
                <w:lang w:eastAsia="en-US"/>
              </w:rPr>
              <w:t>targeted consultation with all impacted groups incl</w:t>
            </w:r>
            <w:r w:rsidR="003A54D7">
              <w:rPr>
                <w:rFonts w:eastAsiaTheme="minorHAnsi"/>
                <w:lang w:eastAsia="en-US"/>
              </w:rPr>
              <w:t xml:space="preserve">uding consumer, public health, </w:t>
            </w:r>
            <w:r>
              <w:rPr>
                <w:rFonts w:eastAsiaTheme="minorHAnsi"/>
                <w:lang w:eastAsia="en-US"/>
              </w:rPr>
              <w:t xml:space="preserve">industry and government. </w:t>
            </w:r>
          </w:p>
        </w:tc>
      </w:tr>
    </w:tbl>
    <w:p w14:paraId="22C85644" w14:textId="1F928674" w:rsidR="00F235E4" w:rsidRDefault="009F2727" w:rsidP="006923CA">
      <w:r w:rsidRPr="00F235E4">
        <w:t>A minimum of period of 6-8 weeks should be allowed for public consultation.</w:t>
      </w:r>
      <w:r w:rsidR="0084727D" w:rsidRPr="0084727D">
        <w:rPr>
          <w:lang w:val="en-GB"/>
        </w:rPr>
        <w:t xml:space="preserve"> </w:t>
      </w:r>
      <w:r w:rsidR="0084727D" w:rsidRPr="00F235E4">
        <w:rPr>
          <w:lang w:val="en-GB"/>
        </w:rPr>
        <w:t xml:space="preserve">The Food Regulation Secretariat will coordinate the advertising </w:t>
      </w:r>
      <w:r w:rsidR="0084727D">
        <w:rPr>
          <w:lang w:val="en-GB"/>
        </w:rPr>
        <w:t xml:space="preserve">and the consultation </w:t>
      </w:r>
      <w:r w:rsidR="0084727D" w:rsidRPr="00F235E4">
        <w:rPr>
          <w:lang w:val="en-GB"/>
        </w:rPr>
        <w:t>process.</w:t>
      </w:r>
    </w:p>
    <w:p w14:paraId="44C15C51" w14:textId="0EC32016" w:rsidR="00024E96" w:rsidRPr="00404B89" w:rsidRDefault="00024E96" w:rsidP="005375FD">
      <w:pPr>
        <w:pStyle w:val="Heading3"/>
      </w:pPr>
      <w:r w:rsidRPr="00404B89">
        <w:t>Step (f)</w:t>
      </w:r>
      <w:r>
        <w:t xml:space="preserve"> </w:t>
      </w:r>
      <w:r w:rsidR="005375FD">
        <w:t>- Policy Advice</w:t>
      </w:r>
    </w:p>
    <w:p w14:paraId="292B5B67" w14:textId="6EF59CB0" w:rsidR="000C471E" w:rsidRDefault="007B1F9D" w:rsidP="006923CA">
      <w:r>
        <w:t>Following the completion of the consultation process</w:t>
      </w:r>
      <w:r w:rsidR="00082D2E">
        <w:t xml:space="preserve">, the responsible </w:t>
      </w:r>
      <w:r w:rsidR="0084727D">
        <w:t xml:space="preserve">project lead or </w:t>
      </w:r>
      <w:r w:rsidR="00082D2E">
        <w:t xml:space="preserve">working group will </w:t>
      </w:r>
      <w:r w:rsidR="00082D2E" w:rsidRPr="005A63BD">
        <w:t>collate all stakeholder submissions into a summary document that fairly and accurately represents the views expressed in all submissions received by the wor</w:t>
      </w:r>
      <w:r w:rsidR="00024E96">
        <w:t>king group. This is intended to become a publish</w:t>
      </w:r>
      <w:r w:rsidR="00981B3F">
        <w:t>ed</w:t>
      </w:r>
      <w:r w:rsidR="00024E96">
        <w:t xml:space="preserve"> document after Forum </w:t>
      </w:r>
      <w:r w:rsidR="00981B3F">
        <w:t>approval</w:t>
      </w:r>
      <w:r w:rsidR="00060A06">
        <w:t>.</w:t>
      </w:r>
    </w:p>
    <w:p w14:paraId="5B9AF440" w14:textId="0E8D208A" w:rsidR="0038796F" w:rsidRDefault="00082D2E" w:rsidP="006923CA">
      <w:r w:rsidRPr="005A63BD">
        <w:t>To assist in the identification of any emerging themes or issues from particular stakeholder groups, the summary should present the results of stakeholder consultation</w:t>
      </w:r>
      <w:r w:rsidR="003D4EAD">
        <w:t xml:space="preserve"> in categories of respondents, such as consumer; food industry; government and public health.</w:t>
      </w:r>
    </w:p>
    <w:p w14:paraId="50B87676" w14:textId="40FEC8C6" w:rsidR="00750C43" w:rsidRDefault="00981B3F" w:rsidP="006923CA">
      <w:r>
        <w:t>A</w:t>
      </w:r>
      <w:r w:rsidR="00990186">
        <w:t xml:space="preserve">ssessment of the options should </w:t>
      </w:r>
      <w:r>
        <w:t xml:space="preserve">be based on </w:t>
      </w:r>
      <w:r w:rsidR="00990186">
        <w:t>how well they achieve the de</w:t>
      </w:r>
      <w:r w:rsidR="003A54D7">
        <w:t>sired outcome, and the impacts.</w:t>
      </w:r>
    </w:p>
    <w:p w14:paraId="3AF9131E" w14:textId="25B0DA69" w:rsidR="009F2727" w:rsidRDefault="009F2727" w:rsidP="000206A5">
      <w:r w:rsidRPr="001D34BA">
        <w:t xml:space="preserve">The Final Assessment </w:t>
      </w:r>
      <w:r>
        <w:t xml:space="preserve">by OBPR </w:t>
      </w:r>
      <w:r w:rsidRPr="001D34BA">
        <w:t xml:space="preserve">can only be done </w:t>
      </w:r>
      <w:r>
        <w:t xml:space="preserve">after consultation has been completed </w:t>
      </w:r>
      <w:r w:rsidRPr="001D34BA">
        <w:t>when all seven RIS questions have been answered in full.</w:t>
      </w:r>
      <w:r>
        <w:t xml:space="preserve"> </w:t>
      </w:r>
      <w:r w:rsidRPr="001D34BA">
        <w:t xml:space="preserve">In addition to checking your costings and consultation process, OBPR will assess your RIS against the question: </w:t>
      </w:r>
      <w:r w:rsidRPr="001D34BA">
        <w:rPr>
          <w:rStyle w:val="italic"/>
          <w:rFonts w:cstheme="minorHAnsi"/>
        </w:rPr>
        <w:t>Does the analysis support an informed policy decision</w:t>
      </w:r>
      <w:r w:rsidRPr="001D34BA">
        <w:t>?</w:t>
      </w:r>
    </w:p>
    <w:p w14:paraId="614265A6" w14:textId="08284DBA" w:rsidR="008F064F" w:rsidRPr="006F14B9" w:rsidRDefault="001A6F0F" w:rsidP="006923CA">
      <w:r w:rsidRPr="001A6F0F">
        <w:t>A paper describing the outputs from each step and the rationale for the recommended option to be pursued would initially be discussed at FRSC and agreed for submission to the Forum</w:t>
      </w:r>
      <w:r w:rsidR="00243723">
        <w:t>.</w:t>
      </w:r>
    </w:p>
    <w:p w14:paraId="59CF93C4" w14:textId="1CED6D08" w:rsidR="00057E67" w:rsidRDefault="001A6F0F" w:rsidP="006923CA">
      <w:r w:rsidRPr="001A6F0F">
        <w:t xml:space="preserve">If the </w:t>
      </w:r>
      <w:r w:rsidR="008F064F">
        <w:t xml:space="preserve">recommended </w:t>
      </w:r>
      <w:r w:rsidRPr="001A6F0F">
        <w:t xml:space="preserve">option is to </w:t>
      </w:r>
      <w:r w:rsidR="000F0697">
        <w:t>develop or amend a standard,</w:t>
      </w:r>
      <w:r w:rsidR="00574DE1">
        <w:t xml:space="preserve"> </w:t>
      </w:r>
      <w:r w:rsidR="00243723">
        <w:t>consideration should be given on the need for</w:t>
      </w:r>
      <w:r w:rsidR="00574DE1">
        <w:t xml:space="preserve"> Policy Guideline</w:t>
      </w:r>
      <w:r w:rsidR="00243723">
        <w:t>s</w:t>
      </w:r>
      <w:r w:rsidR="00574DE1">
        <w:t xml:space="preserve">. </w:t>
      </w:r>
      <w:r w:rsidR="00243723">
        <w:t xml:space="preserve">If this is the case </w:t>
      </w:r>
      <w:r w:rsidR="00574DE1">
        <w:t xml:space="preserve">the Policy Guideline </w:t>
      </w:r>
      <w:r w:rsidR="00082D2E">
        <w:t xml:space="preserve">needs to be </w:t>
      </w:r>
      <w:r w:rsidR="000A5678" w:rsidRPr="00C9653B">
        <w:t xml:space="preserve">clear, comprehensive and consistent </w:t>
      </w:r>
      <w:r w:rsidR="00574DE1">
        <w:t>but</w:t>
      </w:r>
      <w:r w:rsidR="000A5678" w:rsidRPr="00C9653B">
        <w:t xml:space="preserve"> should not be so prescriptive that </w:t>
      </w:r>
      <w:r w:rsidR="00C9653B" w:rsidRPr="00C9653B">
        <w:t xml:space="preserve">it specifies </w:t>
      </w:r>
      <w:r w:rsidR="000A5678" w:rsidRPr="00C9653B">
        <w:t>the details of standards to FSANZ, and therefore cause potential conflict with the procedures that FSANZ undertakes in developing standards.</w:t>
      </w:r>
    </w:p>
    <w:p w14:paraId="0B64BAA5" w14:textId="64C0145E" w:rsidR="00082D2E" w:rsidRPr="000206A5" w:rsidRDefault="00082D2E" w:rsidP="000206A5">
      <w:pPr>
        <w:rPr>
          <w:rStyle w:val="Strong"/>
        </w:rPr>
      </w:pPr>
      <w:r w:rsidRPr="000206A5">
        <w:rPr>
          <w:rStyle w:val="Strong"/>
        </w:rPr>
        <w:t>The draft Policy Guideline should outline the agreed policy principles and t</w:t>
      </w:r>
      <w:r w:rsidR="005A63BD" w:rsidRPr="000206A5">
        <w:rPr>
          <w:rStyle w:val="Strong"/>
        </w:rPr>
        <w:t xml:space="preserve">he recommended policy option. </w:t>
      </w:r>
      <w:r w:rsidRPr="000206A5">
        <w:rPr>
          <w:rStyle w:val="Strong"/>
        </w:rPr>
        <w:t>A F</w:t>
      </w:r>
      <w:r w:rsidR="00574DE1" w:rsidRPr="000206A5">
        <w:rPr>
          <w:rStyle w:val="Strong"/>
        </w:rPr>
        <w:t>ood Regulation Policy Guideline</w:t>
      </w:r>
      <w:r w:rsidRPr="000206A5">
        <w:rPr>
          <w:rStyle w:val="Strong"/>
        </w:rPr>
        <w:t xml:space="preserve"> should: </w:t>
      </w:r>
    </w:p>
    <w:p w14:paraId="325909C2" w14:textId="77777777" w:rsidR="00082D2E" w:rsidRPr="005A63BD" w:rsidRDefault="00082D2E" w:rsidP="00B746F1">
      <w:pPr>
        <w:pStyle w:val="ListParagraph"/>
      </w:pPr>
      <w:r w:rsidRPr="005A63BD">
        <w:t>be consistent with the FSANZ Act;</w:t>
      </w:r>
    </w:p>
    <w:p w14:paraId="1CD82BB3" w14:textId="77777777" w:rsidR="00082D2E" w:rsidRPr="005A63BD" w:rsidRDefault="00082D2E" w:rsidP="00B746F1">
      <w:pPr>
        <w:pStyle w:val="ListParagraph"/>
      </w:pPr>
      <w:r w:rsidRPr="005A63BD">
        <w:lastRenderedPageBreak/>
        <w:t>reflect the application of the Australia New Zealand Food Standards Code to the whole food supply chain (Australia only);</w:t>
      </w:r>
    </w:p>
    <w:p w14:paraId="2C112BCC" w14:textId="77777777" w:rsidR="00082D2E" w:rsidRPr="005A63BD" w:rsidRDefault="00082D2E" w:rsidP="00B746F1">
      <w:pPr>
        <w:pStyle w:val="ListParagraph"/>
      </w:pPr>
      <w:r w:rsidRPr="005A63BD">
        <w:t>take into consideration existing law;</w:t>
      </w:r>
    </w:p>
    <w:p w14:paraId="29CA0CAC" w14:textId="77777777" w:rsidR="00082D2E" w:rsidRPr="005A63BD" w:rsidRDefault="00082D2E" w:rsidP="00B746F1">
      <w:pPr>
        <w:pStyle w:val="ListParagraph"/>
      </w:pPr>
      <w:r w:rsidRPr="005A63BD">
        <w:t>prioritise policy principles, where appropriate;</w:t>
      </w:r>
    </w:p>
    <w:p w14:paraId="4754FAF9" w14:textId="77777777" w:rsidR="00082D2E" w:rsidRPr="005A63BD" w:rsidRDefault="00082D2E" w:rsidP="00B746F1">
      <w:pPr>
        <w:pStyle w:val="ListParagraph"/>
      </w:pPr>
      <w:r w:rsidRPr="005A63BD">
        <w:t xml:space="preserve">be clear, concise and unambiguous; </w:t>
      </w:r>
    </w:p>
    <w:p w14:paraId="222D1027" w14:textId="77777777" w:rsidR="00082D2E" w:rsidRPr="005A63BD" w:rsidRDefault="00082D2E" w:rsidP="00B746F1">
      <w:pPr>
        <w:pStyle w:val="ListParagraph"/>
      </w:pPr>
      <w:r w:rsidRPr="005A63BD">
        <w:t>be evidence based wherever possible;</w:t>
      </w:r>
    </w:p>
    <w:p w14:paraId="35D17F03" w14:textId="604F43B7" w:rsidR="00082D2E" w:rsidRPr="005A63BD" w:rsidRDefault="00082D2E" w:rsidP="00B746F1">
      <w:pPr>
        <w:pStyle w:val="ListParagraph"/>
      </w:pPr>
      <w:r w:rsidRPr="005A63BD">
        <w:t>be developed with appropriate te</w:t>
      </w:r>
      <w:r w:rsidR="003A54D7">
        <w:t>chnical and scientific input;</w:t>
      </w:r>
    </w:p>
    <w:p w14:paraId="41025D92" w14:textId="77777777" w:rsidR="00082D2E" w:rsidRPr="005A63BD" w:rsidRDefault="00082D2E" w:rsidP="00B746F1">
      <w:pPr>
        <w:pStyle w:val="ListParagraph"/>
      </w:pPr>
      <w:r w:rsidRPr="005A63BD">
        <w:t>be developed in a level of detail commensurate with the complexity and sensitivity of the policy issue;</w:t>
      </w:r>
    </w:p>
    <w:p w14:paraId="12CC8ED2" w14:textId="19353BDC" w:rsidR="00082D2E" w:rsidRPr="005A63BD" w:rsidRDefault="00082D2E" w:rsidP="00B746F1">
      <w:pPr>
        <w:pStyle w:val="ListParagraph"/>
      </w:pPr>
      <w:r w:rsidRPr="005A63BD">
        <w:t>take into account economic impacts and consideration of any relev</w:t>
      </w:r>
      <w:r w:rsidR="003A54D7">
        <w:t>ant social or cultural impacts;</w:t>
      </w:r>
    </w:p>
    <w:p w14:paraId="4C8FCD87" w14:textId="77777777" w:rsidR="00082D2E" w:rsidRPr="005A63BD" w:rsidRDefault="00082D2E" w:rsidP="00B746F1">
      <w:pPr>
        <w:pStyle w:val="ListParagraph"/>
      </w:pPr>
      <w:r w:rsidRPr="005A63BD">
        <w:t>be developed with appropriate consultation</w:t>
      </w:r>
      <w:r w:rsidRPr="00D060BA">
        <w:t>;</w:t>
      </w:r>
    </w:p>
    <w:p w14:paraId="43CC9992" w14:textId="77777777" w:rsidR="00082D2E" w:rsidRPr="005A63BD" w:rsidRDefault="00082D2E" w:rsidP="00B746F1">
      <w:pPr>
        <w:pStyle w:val="ListParagraph"/>
      </w:pPr>
      <w:r w:rsidRPr="005A63BD">
        <w:t>take into account implementation requirements; and</w:t>
      </w:r>
    </w:p>
    <w:p w14:paraId="0EB65444" w14:textId="75E41751" w:rsidR="00082D2E" w:rsidRDefault="00082D2E" w:rsidP="00B746F1">
      <w:pPr>
        <w:pStyle w:val="ListParagraph"/>
      </w:pPr>
      <w:r w:rsidRPr="005A63BD">
        <w:t>take into consideration the potential r</w:t>
      </w:r>
      <w:r w:rsidR="003A54D7">
        <w:t>egulatory impact of the policy.</w:t>
      </w:r>
    </w:p>
    <w:p w14:paraId="03CB70A6" w14:textId="77777777" w:rsidR="001A6F0F" w:rsidRPr="001A6F0F" w:rsidRDefault="00057E67" w:rsidP="005375FD">
      <w:pPr>
        <w:pStyle w:val="Heading3"/>
      </w:pPr>
      <w:r>
        <w:t>S</w:t>
      </w:r>
      <w:r w:rsidR="001F5E4E" w:rsidRPr="001A6F0F">
        <w:t>tep (g)</w:t>
      </w:r>
      <w:r w:rsidR="0021497B">
        <w:t xml:space="preserve"> </w:t>
      </w:r>
      <w:r w:rsidR="001F5E4E">
        <w:t>- Second Gateway</w:t>
      </w:r>
    </w:p>
    <w:p w14:paraId="49DA0CA3" w14:textId="62ECDF74" w:rsidR="00057E67" w:rsidRPr="001A6F0F" w:rsidRDefault="001A6F0F" w:rsidP="006923CA">
      <w:r w:rsidRPr="001A6F0F">
        <w:t>Ministers decide on action recommended by FRSC.</w:t>
      </w:r>
    </w:p>
    <w:p w14:paraId="4D239B69" w14:textId="0537C255" w:rsidR="001A6F0F" w:rsidRPr="001A6F0F" w:rsidRDefault="001F5E4E" w:rsidP="005375FD">
      <w:pPr>
        <w:pStyle w:val="Heading3"/>
      </w:pPr>
      <w:r w:rsidRPr="001A6F0F">
        <w:t>Step (h)</w:t>
      </w:r>
      <w:r w:rsidR="0021497B">
        <w:t xml:space="preserve"> </w:t>
      </w:r>
      <w:r>
        <w:t xml:space="preserve">- </w:t>
      </w:r>
      <w:r w:rsidR="005375FD">
        <w:t>Build and Implement</w:t>
      </w:r>
    </w:p>
    <w:p w14:paraId="3394B805" w14:textId="6E5901F9" w:rsidR="000A5678" w:rsidRDefault="001A6F0F" w:rsidP="006923CA">
      <w:r w:rsidRPr="001A6F0F">
        <w:t>The responsibility and process under this step will b</w:t>
      </w:r>
      <w:r w:rsidR="00222BFC">
        <w:t>e dependent on the decision by M</w:t>
      </w:r>
      <w:r w:rsidRPr="001A6F0F">
        <w:t>inisters. Implementation may be on a trial basis where the option does not involve development of a standard. Engagement with stakeholders will continue to be important to gain acceptance and to finalise the design that is both effective and practical.</w:t>
      </w:r>
    </w:p>
    <w:p w14:paraId="6B646630" w14:textId="13D59F7E" w:rsidR="001A6F0F" w:rsidRPr="001A6F0F" w:rsidRDefault="00244CEB" w:rsidP="005375FD">
      <w:pPr>
        <w:pStyle w:val="Heading3"/>
      </w:pPr>
      <w:r w:rsidRPr="001A6F0F">
        <w:t>Step (</w:t>
      </w:r>
      <w:proofErr w:type="spellStart"/>
      <w:r w:rsidRPr="001A6F0F">
        <w:t>i</w:t>
      </w:r>
      <w:proofErr w:type="spellEnd"/>
      <w:r w:rsidRPr="001A6F0F">
        <w:t>)</w:t>
      </w:r>
      <w:r w:rsidR="0021497B">
        <w:t xml:space="preserve"> </w:t>
      </w:r>
      <w:r>
        <w:t xml:space="preserve">- </w:t>
      </w:r>
      <w:r w:rsidR="001A6F0F" w:rsidRPr="001A6F0F">
        <w:t>Evaluation</w:t>
      </w:r>
      <w:r w:rsidR="003A54D7">
        <w:t xml:space="preserve"> of Effectiveness of the Policy</w:t>
      </w:r>
    </w:p>
    <w:p w14:paraId="37F2646E" w14:textId="3F7C6260" w:rsidR="000C471E" w:rsidRDefault="001A6F0F" w:rsidP="006923CA">
      <w:r w:rsidRPr="001A6F0F">
        <w:t>This step will continue to involve stakeholders and will utilise the initial assessment of the issue and any benchmarking data. It will inform any modifications that may be required or if there is a need to move to increased government intervention. The new stakeholder engagement and partnership approach should encourage open and honest feedback that will assist evaluation without it necessarily having to be a form</w:t>
      </w:r>
      <w:r w:rsidR="003A54D7">
        <w:t>al, resource intensive process.</w:t>
      </w:r>
      <w:bookmarkStart w:id="2" w:name="_Toc536434857"/>
      <w:bookmarkEnd w:id="0"/>
      <w:bookmarkEnd w:id="1"/>
    </w:p>
    <w:p w14:paraId="78356349" w14:textId="35AC299A" w:rsidR="00121943" w:rsidRDefault="00121943" w:rsidP="006923CA">
      <w:r w:rsidRPr="000C471E">
        <w:t>The whole process is supported and underpinned by (j) Communication and engagement and (k) Data, information and evidence.</w:t>
      </w:r>
    </w:p>
    <w:p w14:paraId="332EE121" w14:textId="3ED81D11" w:rsidR="00121943" w:rsidRDefault="005375FD" w:rsidP="005375FD">
      <w:pPr>
        <w:pStyle w:val="Heading3"/>
      </w:pPr>
      <w:r>
        <w:t xml:space="preserve">Step </w:t>
      </w:r>
      <w:r w:rsidR="00121943">
        <w:t>(</w:t>
      </w:r>
      <w:r w:rsidR="003A54D7">
        <w:t>j) Communication and engagement</w:t>
      </w:r>
    </w:p>
    <w:p w14:paraId="3E918B9F" w14:textId="399107BA" w:rsidR="00121943" w:rsidRDefault="00121943" w:rsidP="005375FD">
      <w:r w:rsidRPr="00121943">
        <w:t xml:space="preserve">Early and ongoing stakeholder consultation is a key feature of the process. </w:t>
      </w:r>
      <w:r>
        <w:t>Stakeholder consultation throughout the process will support an in-depth understanding of the issue and associated risks, and promote a collaborative approach to identifying an appropriate and considered response. FRSC will engage a range of stakeholders depending on the step in the process.</w:t>
      </w:r>
      <w:r w:rsidRPr="00886E79">
        <w:t xml:space="preserve"> </w:t>
      </w:r>
      <w:r w:rsidRPr="001A6F0F">
        <w:t xml:space="preserve">Initial </w:t>
      </w:r>
      <w:r>
        <w:t>stakeholder engagement will</w:t>
      </w:r>
      <w:r w:rsidRPr="001A6F0F">
        <w:t xml:space="preserve"> explain how the process will proceed and how they will be consulted.</w:t>
      </w:r>
      <w:r>
        <w:t xml:space="preserve"> </w:t>
      </w:r>
      <w:r w:rsidRPr="001A6F0F">
        <w:t>Principles for stakeholder e</w:t>
      </w:r>
      <w:r>
        <w:t>ngagement will be based on the P</w:t>
      </w:r>
      <w:r w:rsidRPr="001A6F0F">
        <w:t xml:space="preserve">artnership </w:t>
      </w:r>
      <w:r>
        <w:t>P</w:t>
      </w:r>
      <w:r w:rsidRPr="001A6F0F">
        <w:t>rinciples</w:t>
      </w:r>
      <w:r w:rsidRPr="00A3167C">
        <w:rPr>
          <w:vertAlign w:val="superscript"/>
        </w:rPr>
        <w:t xml:space="preserve"> </w:t>
      </w:r>
      <w:r w:rsidRPr="001A6F0F">
        <w:t xml:space="preserve">agreed </w:t>
      </w:r>
      <w:r>
        <w:t xml:space="preserve">to </w:t>
      </w:r>
      <w:r w:rsidRPr="001A6F0F">
        <w:t>by FRSC</w:t>
      </w:r>
      <w:r>
        <w:t xml:space="preserve"> on 16 March 2015 (</w:t>
      </w:r>
      <w:r>
        <w:rPr>
          <w:u w:val="single"/>
        </w:rPr>
        <w:t>Attachment A)</w:t>
      </w:r>
      <w:r>
        <w:t xml:space="preserve">. Consultation will be undertaken consistent with the Consultation Guidelines outlined in the COAG document: </w:t>
      </w:r>
      <w:r w:rsidRPr="00AC03A7">
        <w:t xml:space="preserve">Best Practice Regulation: </w:t>
      </w:r>
      <w:hyperlink r:id="rId16" w:history="1">
        <w:r w:rsidRPr="00D93193">
          <w:rPr>
            <w:rStyle w:val="Hyperlink"/>
          </w:rPr>
          <w:t>A guide for ministerial councils and national standard setting bodies</w:t>
        </w:r>
      </w:hyperlink>
      <w:r w:rsidRPr="00AC03A7">
        <w:t xml:space="preserve">. Information received from stakeholders during consultation </w:t>
      </w:r>
      <w:r>
        <w:t xml:space="preserve">needs to be </w:t>
      </w:r>
      <w:r w:rsidRPr="00AC03A7">
        <w:t xml:space="preserve">shared and taken on-board by other related project leads / working groups and FSANZ. This will signal to stakeholders that the </w:t>
      </w:r>
      <w:r w:rsidR="00994D32">
        <w:t>S</w:t>
      </w:r>
      <w:r w:rsidRPr="00AC03A7">
        <w:t>ystem is coherent</w:t>
      </w:r>
      <w:r w:rsidR="003A54D7">
        <w:t xml:space="preserve"> and that they have been heard.</w:t>
      </w:r>
    </w:p>
    <w:p w14:paraId="70A62242" w14:textId="368F9528" w:rsidR="00121943" w:rsidRPr="001A6F0F" w:rsidRDefault="00121943" w:rsidP="005375FD">
      <w:pPr>
        <w:pStyle w:val="Heading3"/>
      </w:pPr>
      <w:r>
        <w:t>Underpinned by (k) data, information and e</w:t>
      </w:r>
      <w:r w:rsidR="005375FD">
        <w:t>vidence</w:t>
      </w:r>
    </w:p>
    <w:p w14:paraId="4E2C2EE0" w14:textId="6D93C22A" w:rsidR="00DA6CE7" w:rsidRDefault="00121943" w:rsidP="006923CA">
      <w:r w:rsidRPr="001A6F0F">
        <w:t xml:space="preserve">Data and evidence will be gathered and analysed at each stage </w:t>
      </w:r>
      <w:r>
        <w:t xml:space="preserve">in the process </w:t>
      </w:r>
      <w:r w:rsidRPr="001A6F0F">
        <w:t>to continually inform and enrich the decisions being made. Where data is not commercial-in-confidence, it should be transparent to stakeholders so that they can fill gaps or dispute evidence. The quality of the partnerships developed will impact on the exte</w:t>
      </w:r>
      <w:r>
        <w:t>nt and ease of gathering data. Linkages between projects needs to be recognised early to ensure that data gathering is coordinated to avoid duplication.</w:t>
      </w:r>
    </w:p>
    <w:p w14:paraId="31BB588E" w14:textId="77777777" w:rsidR="000206A5" w:rsidRPr="000206A5" w:rsidRDefault="000206A5" w:rsidP="000206A5">
      <w:pPr>
        <w:pageBreakBefore/>
        <w:pBdr>
          <w:top w:val="single" w:sz="4" w:space="1" w:color="auto"/>
          <w:left w:val="single" w:sz="4" w:space="4" w:color="auto"/>
          <w:bottom w:val="single" w:sz="4" w:space="1" w:color="auto"/>
          <w:right w:val="single" w:sz="4" w:space="4" w:color="auto"/>
        </w:pBdr>
        <w:jc w:val="right"/>
        <w:rPr>
          <w:rStyle w:val="Strong"/>
        </w:rPr>
      </w:pPr>
      <w:bookmarkStart w:id="3" w:name="_Toc46914763"/>
      <w:bookmarkStart w:id="4" w:name="_Toc78014340"/>
      <w:r w:rsidRPr="000206A5">
        <w:rPr>
          <w:rStyle w:val="Strong"/>
        </w:rPr>
        <w:lastRenderedPageBreak/>
        <w:t>Attachment A</w:t>
      </w:r>
      <w:bookmarkEnd w:id="3"/>
      <w:bookmarkEnd w:id="4"/>
    </w:p>
    <w:p w14:paraId="531BA08B" w14:textId="123A7C65" w:rsidR="00DA6CE7" w:rsidRPr="000206A5" w:rsidRDefault="003A54D7" w:rsidP="005375FD">
      <w:pPr>
        <w:pStyle w:val="Heading2"/>
        <w:numPr>
          <w:ilvl w:val="0"/>
          <w:numId w:val="44"/>
        </w:numPr>
      </w:pPr>
      <w:r w:rsidRPr="00FC547E">
        <w:t>Partnerships</w:t>
      </w:r>
    </w:p>
    <w:p w14:paraId="00055C5C" w14:textId="692C1E51" w:rsidR="00DA6CE7" w:rsidRPr="00124A45" w:rsidRDefault="00DA6CE7" w:rsidP="005375FD">
      <w:pPr>
        <w:pStyle w:val="Default"/>
        <w:spacing w:before="120"/>
        <w:rPr>
          <w:rFonts w:asciiTheme="minorHAnsi" w:hAnsiTheme="minorHAnsi" w:cstheme="minorHAnsi"/>
          <w:sz w:val="22"/>
          <w:szCs w:val="22"/>
        </w:rPr>
      </w:pPr>
      <w:r>
        <w:rPr>
          <w:rFonts w:asciiTheme="minorHAnsi" w:hAnsiTheme="minorHAnsi" w:cstheme="minorHAnsi"/>
          <w:sz w:val="22"/>
          <w:szCs w:val="22"/>
        </w:rPr>
        <w:t xml:space="preserve">In 2015 </w:t>
      </w:r>
      <w:r w:rsidRPr="00124A45">
        <w:rPr>
          <w:rFonts w:asciiTheme="minorHAnsi" w:hAnsiTheme="minorHAnsi" w:cstheme="minorHAnsi"/>
          <w:sz w:val="22"/>
          <w:szCs w:val="22"/>
        </w:rPr>
        <w:t xml:space="preserve">FRSC adopted the collaborative partnership model as the basis for future partnerships. The guiding principles and measures of success for </w:t>
      </w:r>
      <w:r w:rsidR="003A54D7">
        <w:rPr>
          <w:rFonts w:asciiTheme="minorHAnsi" w:hAnsiTheme="minorHAnsi" w:cstheme="minorHAnsi"/>
          <w:sz w:val="22"/>
          <w:szCs w:val="22"/>
        </w:rPr>
        <w:t>this model are explained below.</w:t>
      </w:r>
    </w:p>
    <w:p w14:paraId="68B4F509" w14:textId="5A9351DB" w:rsidR="00DA6CE7" w:rsidRPr="00124A45" w:rsidRDefault="005375FD" w:rsidP="005375FD">
      <w:pPr>
        <w:pStyle w:val="Heading3"/>
      </w:pPr>
      <w:r>
        <w:t>Definition</w:t>
      </w:r>
    </w:p>
    <w:p w14:paraId="01293C48" w14:textId="1CBBBB50" w:rsidR="00DA6CE7" w:rsidRPr="00124A45" w:rsidRDefault="00DA6CE7" w:rsidP="002F46C6">
      <w:pPr>
        <w:pStyle w:val="Default"/>
        <w:rPr>
          <w:rFonts w:asciiTheme="minorHAnsi" w:hAnsiTheme="minorHAnsi" w:cstheme="minorHAnsi"/>
          <w:sz w:val="22"/>
          <w:szCs w:val="22"/>
        </w:rPr>
      </w:pPr>
      <w:r w:rsidRPr="00124A45">
        <w:rPr>
          <w:rFonts w:asciiTheme="minorHAnsi" w:hAnsiTheme="minorHAnsi" w:cstheme="minorHAnsi"/>
          <w:sz w:val="22"/>
          <w:szCs w:val="22"/>
        </w:rPr>
        <w:t>Collaborative partnerships are non-legal working relationships between the public and private sectors to meet a common objective or goal. They are used to provide knowledge exchange or collective leverage resources for a specified goal, where the risk is no</w:t>
      </w:r>
      <w:r w:rsidR="003A54D7">
        <w:rPr>
          <w:rFonts w:asciiTheme="minorHAnsi" w:hAnsiTheme="minorHAnsi" w:cstheme="minorHAnsi"/>
          <w:sz w:val="22"/>
          <w:szCs w:val="22"/>
        </w:rPr>
        <w:t>t transferred between partners.</w:t>
      </w:r>
    </w:p>
    <w:p w14:paraId="0D9A0105" w14:textId="2078D286" w:rsidR="00DA6CE7" w:rsidRPr="005375FD" w:rsidRDefault="00DA6CE7" w:rsidP="005375FD">
      <w:pPr>
        <w:pStyle w:val="Default"/>
        <w:spacing w:before="120"/>
        <w:rPr>
          <w:rFonts w:asciiTheme="minorHAnsi" w:hAnsiTheme="minorHAnsi" w:cstheme="minorHAnsi"/>
          <w:i/>
          <w:iCs/>
          <w:sz w:val="22"/>
          <w:szCs w:val="22"/>
        </w:rPr>
      </w:pPr>
      <w:r w:rsidRPr="00124A45">
        <w:rPr>
          <w:rFonts w:asciiTheme="minorHAnsi" w:hAnsiTheme="minorHAnsi" w:cstheme="minorHAnsi"/>
          <w:i/>
          <w:iCs/>
          <w:sz w:val="22"/>
          <w:szCs w:val="22"/>
        </w:rPr>
        <w:t>Two examples of collaborate partnership</w:t>
      </w:r>
      <w:r w:rsidR="00994D32">
        <w:rPr>
          <w:rFonts w:asciiTheme="minorHAnsi" w:hAnsiTheme="minorHAnsi" w:cstheme="minorHAnsi"/>
          <w:i/>
          <w:iCs/>
          <w:sz w:val="22"/>
          <w:szCs w:val="22"/>
        </w:rPr>
        <w:t>s within the trans-Tasman food S</w:t>
      </w:r>
      <w:r w:rsidRPr="00124A45">
        <w:rPr>
          <w:rFonts w:asciiTheme="minorHAnsi" w:hAnsiTheme="minorHAnsi" w:cstheme="minorHAnsi"/>
          <w:i/>
          <w:iCs/>
          <w:sz w:val="22"/>
          <w:szCs w:val="22"/>
        </w:rPr>
        <w:t>ystem are the Health Star Rating System and the Pregnancy Warning M</w:t>
      </w:r>
      <w:r w:rsidR="003A54D7">
        <w:rPr>
          <w:rFonts w:asciiTheme="minorHAnsi" w:hAnsiTheme="minorHAnsi" w:cstheme="minorHAnsi"/>
          <w:i/>
          <w:iCs/>
          <w:sz w:val="22"/>
          <w:szCs w:val="22"/>
        </w:rPr>
        <w:t>essages on Alcoholic Beverages.</w:t>
      </w:r>
    </w:p>
    <w:p w14:paraId="6825D785" w14:textId="2EE8EECF" w:rsidR="00DA6CE7" w:rsidRPr="00124A45" w:rsidRDefault="005375FD" w:rsidP="005375FD">
      <w:pPr>
        <w:pStyle w:val="Heading3"/>
      </w:pPr>
      <w:r>
        <w:t>Operating principles</w:t>
      </w:r>
    </w:p>
    <w:p w14:paraId="76CC613E" w14:textId="3B661D4C" w:rsidR="00DA6CE7" w:rsidRPr="00124A45" w:rsidRDefault="00994D32" w:rsidP="003A54D7">
      <w:pPr>
        <w:pStyle w:val="Default"/>
        <w:rPr>
          <w:rFonts w:asciiTheme="minorHAnsi" w:hAnsiTheme="minorHAnsi" w:cstheme="minorHAnsi"/>
          <w:sz w:val="22"/>
          <w:szCs w:val="22"/>
        </w:rPr>
      </w:pPr>
      <w:r>
        <w:rPr>
          <w:rFonts w:asciiTheme="minorHAnsi" w:hAnsiTheme="minorHAnsi" w:cstheme="minorHAnsi"/>
          <w:sz w:val="22"/>
          <w:szCs w:val="22"/>
        </w:rPr>
        <w:t>The S</w:t>
      </w:r>
      <w:r w:rsidR="00DA6CE7">
        <w:rPr>
          <w:rFonts w:asciiTheme="minorHAnsi" w:hAnsiTheme="minorHAnsi" w:cstheme="minorHAnsi"/>
          <w:sz w:val="22"/>
          <w:szCs w:val="22"/>
        </w:rPr>
        <w:t>ystem has adopted the following principles outlining</w:t>
      </w:r>
      <w:r w:rsidR="00DA6CE7" w:rsidRPr="00124A45">
        <w:rPr>
          <w:rFonts w:asciiTheme="minorHAnsi" w:hAnsiTheme="minorHAnsi" w:cstheme="minorHAnsi"/>
          <w:sz w:val="22"/>
          <w:szCs w:val="22"/>
        </w:rPr>
        <w:t xml:space="preserve"> when partnerships should be established, pre-conditions for their success, and key characteristics </w:t>
      </w:r>
      <w:r w:rsidR="00DA6CE7">
        <w:rPr>
          <w:rFonts w:asciiTheme="minorHAnsi" w:hAnsiTheme="minorHAnsi" w:cstheme="minorHAnsi"/>
          <w:sz w:val="22"/>
          <w:szCs w:val="22"/>
        </w:rPr>
        <w:t xml:space="preserve">of </w:t>
      </w:r>
      <w:r w:rsidR="003A54D7">
        <w:rPr>
          <w:rFonts w:asciiTheme="minorHAnsi" w:hAnsiTheme="minorHAnsi" w:cstheme="minorHAnsi"/>
          <w:sz w:val="22"/>
          <w:szCs w:val="22"/>
        </w:rPr>
        <w:t>effective partnering.</w:t>
      </w:r>
    </w:p>
    <w:p w14:paraId="19BB9092" w14:textId="1B18FDCD" w:rsidR="00DA6CE7" w:rsidRPr="00124A45" w:rsidRDefault="00DA6CE7" w:rsidP="005375FD">
      <w:pPr>
        <w:pStyle w:val="Heading3"/>
      </w:pPr>
      <w:r w:rsidRPr="00124A45">
        <w:t>When are partne</w:t>
      </w:r>
      <w:r w:rsidR="003A54D7">
        <w:t>rships likely to be successful?</w:t>
      </w:r>
    </w:p>
    <w:p w14:paraId="4BA5ED0E" w14:textId="3F34AF75" w:rsidR="00DA6CE7" w:rsidRPr="00124A45" w:rsidRDefault="00DA6CE7" w:rsidP="002F46C6">
      <w:pPr>
        <w:pStyle w:val="Default"/>
        <w:rPr>
          <w:rFonts w:asciiTheme="minorHAnsi" w:hAnsiTheme="minorHAnsi" w:cstheme="minorHAnsi"/>
          <w:sz w:val="22"/>
          <w:szCs w:val="22"/>
        </w:rPr>
      </w:pPr>
      <w:r w:rsidRPr="00124A45">
        <w:rPr>
          <w:rFonts w:asciiTheme="minorHAnsi" w:hAnsiTheme="minorHAnsi" w:cstheme="minorHAnsi"/>
          <w:sz w:val="22"/>
          <w:szCs w:val="22"/>
        </w:rPr>
        <w:t xml:space="preserve">Partnerships are most appropriate in the following </w:t>
      </w:r>
      <w:r w:rsidR="003A54D7">
        <w:rPr>
          <w:rFonts w:asciiTheme="minorHAnsi" w:hAnsiTheme="minorHAnsi" w:cstheme="minorHAnsi"/>
          <w:sz w:val="22"/>
          <w:szCs w:val="22"/>
        </w:rPr>
        <w:t>situations:</w:t>
      </w:r>
    </w:p>
    <w:p w14:paraId="37841EE2" w14:textId="6018D6F2"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when the needs of individuals, organisations, governments and countries are served by working towards collective goals</w:t>
      </w:r>
      <w:r w:rsidR="003A54D7">
        <w:rPr>
          <w:rFonts w:asciiTheme="minorHAnsi" w:hAnsiTheme="minorHAnsi" w:cstheme="minorHAnsi"/>
          <w:sz w:val="22"/>
          <w:szCs w:val="22"/>
        </w:rPr>
        <w:t xml:space="preserve"> and harmonisation of approach;</w:t>
      </w:r>
    </w:p>
    <w:p w14:paraId="62A1940C" w14:textId="7CD830FD"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when collaboration can achieve a measurable social benefit, in terms of societal health or e</w:t>
      </w:r>
      <w:r w:rsidR="003A54D7">
        <w:rPr>
          <w:rFonts w:asciiTheme="minorHAnsi" w:hAnsiTheme="minorHAnsi" w:cstheme="minorHAnsi"/>
          <w:sz w:val="22"/>
          <w:szCs w:val="22"/>
        </w:rPr>
        <w:t>conomic development; and</w:t>
      </w:r>
    </w:p>
    <w:p w14:paraId="47D4E287" w14:textId="40E4A262" w:rsidR="00DA6CE7" w:rsidRPr="005375FD" w:rsidRDefault="00DA6CE7" w:rsidP="003A54D7">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when skills, knowledge and resources of individual partners complement and enhance</w:t>
      </w:r>
      <w:r w:rsidR="003A54D7">
        <w:rPr>
          <w:rFonts w:asciiTheme="minorHAnsi" w:hAnsiTheme="minorHAnsi" w:cstheme="minorHAnsi"/>
          <w:sz w:val="22"/>
          <w:szCs w:val="22"/>
        </w:rPr>
        <w:t xml:space="preserve"> their collective capabilities.</w:t>
      </w:r>
    </w:p>
    <w:p w14:paraId="4D033E9E" w14:textId="618FCF83" w:rsidR="00DA6CE7" w:rsidRPr="00124A45" w:rsidRDefault="00DA6CE7" w:rsidP="005375FD">
      <w:pPr>
        <w:pStyle w:val="Heading3"/>
      </w:pPr>
      <w:r w:rsidRPr="00124A45">
        <w:t>Pre-condit</w:t>
      </w:r>
      <w:r w:rsidR="003A54D7">
        <w:t>ions for effective partnerships</w:t>
      </w:r>
    </w:p>
    <w:p w14:paraId="10860A9E" w14:textId="622B6825" w:rsidR="00DA6CE7" w:rsidRPr="00124A45" w:rsidRDefault="00DA6CE7" w:rsidP="002F46C6">
      <w:pPr>
        <w:pStyle w:val="Default"/>
        <w:rPr>
          <w:rFonts w:asciiTheme="minorHAnsi" w:hAnsiTheme="minorHAnsi" w:cstheme="minorHAnsi"/>
          <w:sz w:val="22"/>
          <w:szCs w:val="22"/>
        </w:rPr>
      </w:pPr>
      <w:r w:rsidRPr="00124A45">
        <w:rPr>
          <w:rFonts w:asciiTheme="minorHAnsi" w:hAnsiTheme="minorHAnsi" w:cstheme="minorHAnsi"/>
          <w:sz w:val="22"/>
          <w:szCs w:val="22"/>
        </w:rPr>
        <w:t xml:space="preserve">When establishing a partnership the following preconditions </w:t>
      </w:r>
      <w:r>
        <w:rPr>
          <w:rFonts w:asciiTheme="minorHAnsi" w:hAnsiTheme="minorHAnsi" w:cstheme="minorHAnsi"/>
          <w:sz w:val="22"/>
          <w:szCs w:val="22"/>
        </w:rPr>
        <w:t>apply</w:t>
      </w:r>
      <w:r w:rsidR="003A54D7">
        <w:rPr>
          <w:rFonts w:asciiTheme="minorHAnsi" w:hAnsiTheme="minorHAnsi" w:cstheme="minorHAnsi"/>
          <w:sz w:val="22"/>
          <w:szCs w:val="22"/>
        </w:rPr>
        <w:t>:</w:t>
      </w:r>
    </w:p>
    <w:p w14:paraId="0152135D" w14:textId="049EAB8C"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national need for effecti</w:t>
      </w:r>
      <w:r w:rsidR="003A54D7">
        <w:rPr>
          <w:rFonts w:asciiTheme="minorHAnsi" w:hAnsiTheme="minorHAnsi" w:cstheme="minorHAnsi"/>
          <w:sz w:val="22"/>
          <w:szCs w:val="22"/>
        </w:rPr>
        <w:t>ve collaboration and ownership;</w:t>
      </w:r>
    </w:p>
    <w:p w14:paraId="44BD8098" w14:textId="319DFA7D"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clear and measureable objectives of the ef</w:t>
      </w:r>
      <w:r w:rsidR="003A54D7">
        <w:rPr>
          <w:rFonts w:asciiTheme="minorHAnsi" w:hAnsiTheme="minorHAnsi" w:cstheme="minorHAnsi"/>
          <w:sz w:val="22"/>
          <w:szCs w:val="22"/>
        </w:rPr>
        <w:t>fectiveness of the partnership;</w:t>
      </w:r>
    </w:p>
    <w:p w14:paraId="34FB2EB2" w14:textId="7A09A998"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an open mind-set and expectati</w:t>
      </w:r>
      <w:r w:rsidR="003A54D7">
        <w:rPr>
          <w:rFonts w:asciiTheme="minorHAnsi" w:hAnsiTheme="minorHAnsi" w:cstheme="minorHAnsi"/>
          <w:sz w:val="22"/>
          <w:szCs w:val="22"/>
        </w:rPr>
        <w:t>on of willingness to cooperate;</w:t>
      </w:r>
    </w:p>
    <w:p w14:paraId="233B420D" w14:textId="1CDACBA4"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commitment, trust and agreement to mutual respect;</w:t>
      </w:r>
    </w:p>
    <w:p w14:paraId="3361A8F7" w14:textId="6A0A4F97"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positive an</w:t>
      </w:r>
      <w:r w:rsidR="003A54D7">
        <w:rPr>
          <w:rFonts w:asciiTheme="minorHAnsi" w:hAnsiTheme="minorHAnsi" w:cstheme="minorHAnsi"/>
          <w:sz w:val="22"/>
          <w:szCs w:val="22"/>
        </w:rPr>
        <w:t>d progressive leadership;</w:t>
      </w:r>
    </w:p>
    <w:p w14:paraId="449BE711" w14:textId="3813515F"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good g</w:t>
      </w:r>
      <w:r w:rsidR="003A54D7">
        <w:rPr>
          <w:rFonts w:asciiTheme="minorHAnsi" w:hAnsiTheme="minorHAnsi" w:cstheme="minorHAnsi"/>
          <w:sz w:val="22"/>
          <w:szCs w:val="22"/>
        </w:rPr>
        <w:t>overnance and transparency; and</w:t>
      </w:r>
    </w:p>
    <w:p w14:paraId="0C26DC53" w14:textId="50CE143A" w:rsidR="00DA6CE7" w:rsidRPr="005375FD" w:rsidRDefault="00DA6CE7" w:rsidP="006923CA">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qualification (by experience, resources and commitment) of actors involved.</w:t>
      </w:r>
    </w:p>
    <w:p w14:paraId="49DF0B82" w14:textId="7C5F1349" w:rsidR="00DA6CE7" w:rsidRPr="00124A45" w:rsidRDefault="003A54D7" w:rsidP="005375FD">
      <w:pPr>
        <w:pStyle w:val="Heading3"/>
      </w:pPr>
      <w:r>
        <w:t>Setting up partnerships</w:t>
      </w:r>
    </w:p>
    <w:p w14:paraId="0CC94C47" w14:textId="545578FC" w:rsidR="00DA6CE7" w:rsidRPr="00B23053" w:rsidRDefault="00DA6CE7" w:rsidP="002F46C6">
      <w:pPr>
        <w:pStyle w:val="Default"/>
        <w:rPr>
          <w:rFonts w:asciiTheme="minorHAnsi" w:hAnsiTheme="minorHAnsi" w:cstheme="minorHAnsi"/>
          <w:sz w:val="22"/>
          <w:szCs w:val="22"/>
        </w:rPr>
      </w:pPr>
      <w:r w:rsidRPr="00B23053">
        <w:rPr>
          <w:rFonts w:asciiTheme="minorHAnsi" w:hAnsiTheme="minorHAnsi" w:cstheme="minorHAnsi"/>
          <w:sz w:val="22"/>
          <w:szCs w:val="22"/>
        </w:rPr>
        <w:t>A Partnership agreement should be basis on shared vision and o</w:t>
      </w:r>
      <w:r w:rsidR="003A54D7">
        <w:rPr>
          <w:rFonts w:asciiTheme="minorHAnsi" w:hAnsiTheme="minorHAnsi" w:cstheme="minorHAnsi"/>
          <w:sz w:val="22"/>
          <w:szCs w:val="22"/>
        </w:rPr>
        <w:t>bjective. The agreement should:</w:t>
      </w:r>
    </w:p>
    <w:p w14:paraId="217FEF4D" w14:textId="14DDF2A9"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include consideration of partnership roles and, the decision</w:t>
      </w:r>
      <w:r>
        <w:rPr>
          <w:rFonts w:asciiTheme="minorHAnsi" w:hAnsiTheme="minorHAnsi" w:cstheme="minorHAnsi"/>
          <w:sz w:val="22"/>
          <w:szCs w:val="22"/>
        </w:rPr>
        <w:t>-</w:t>
      </w:r>
      <w:r w:rsidR="003A54D7">
        <w:rPr>
          <w:rFonts w:asciiTheme="minorHAnsi" w:hAnsiTheme="minorHAnsi" w:cstheme="minorHAnsi"/>
          <w:sz w:val="22"/>
          <w:szCs w:val="22"/>
        </w:rPr>
        <w:t>making process;</w:t>
      </w:r>
    </w:p>
    <w:p w14:paraId="440C1698" w14:textId="5923B4A6"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develop and mai</w:t>
      </w:r>
      <w:r w:rsidR="003A54D7">
        <w:rPr>
          <w:rFonts w:asciiTheme="minorHAnsi" w:hAnsiTheme="minorHAnsi" w:cstheme="minorHAnsi"/>
          <w:sz w:val="22"/>
          <w:szCs w:val="22"/>
        </w:rPr>
        <w:t>ntain trust and mutual respect;</w:t>
      </w:r>
    </w:p>
    <w:p w14:paraId="1ECB92D9" w14:textId="67392194" w:rsidR="00DA6CE7" w:rsidRPr="00124A45" w:rsidRDefault="00DA6CE7" w:rsidP="002F46C6">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be clear about risks and rewards fo</w:t>
      </w:r>
      <w:r w:rsidR="003A54D7">
        <w:rPr>
          <w:rFonts w:asciiTheme="minorHAnsi" w:hAnsiTheme="minorHAnsi" w:cstheme="minorHAnsi"/>
          <w:sz w:val="22"/>
          <w:szCs w:val="22"/>
        </w:rPr>
        <w:t>r all partners; and</w:t>
      </w:r>
    </w:p>
    <w:p w14:paraId="4A5FD0C1" w14:textId="4E42E390" w:rsidR="00884F04" w:rsidRPr="005375FD" w:rsidRDefault="00DA6CE7" w:rsidP="006923CA">
      <w:pPr>
        <w:pStyle w:val="Default"/>
        <w:numPr>
          <w:ilvl w:val="0"/>
          <w:numId w:val="37"/>
        </w:numPr>
        <w:ind w:left="567" w:hanging="567"/>
        <w:rPr>
          <w:rFonts w:asciiTheme="minorHAnsi" w:hAnsiTheme="minorHAnsi" w:cstheme="minorHAnsi"/>
          <w:sz w:val="22"/>
          <w:szCs w:val="22"/>
        </w:rPr>
      </w:pPr>
      <w:r w:rsidRPr="00124A45">
        <w:rPr>
          <w:rFonts w:asciiTheme="minorHAnsi" w:hAnsiTheme="minorHAnsi" w:cstheme="minorHAnsi"/>
          <w:sz w:val="22"/>
          <w:szCs w:val="22"/>
        </w:rPr>
        <w:t>provide for evaluation and monitoring of the effectiveness of partnership arrangement,</w:t>
      </w:r>
      <w:r w:rsidR="003A54D7">
        <w:rPr>
          <w:rFonts w:asciiTheme="minorHAnsi" w:hAnsiTheme="minorHAnsi" w:cstheme="minorHAnsi"/>
          <w:sz w:val="22"/>
          <w:szCs w:val="22"/>
        </w:rPr>
        <w:t xml:space="preserve"> and the outcomes of decisions.</w:t>
      </w:r>
      <w:bookmarkEnd w:id="2"/>
    </w:p>
    <w:sectPr w:rsidR="00884F04" w:rsidRPr="005375FD" w:rsidSect="000206A5">
      <w:footerReference w:type="default" r:id="rId17"/>
      <w:pgSz w:w="11907" w:h="16840" w:code="9"/>
      <w:pgMar w:top="1304" w:right="1304" w:bottom="1304" w:left="130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E8E2" w14:textId="77777777" w:rsidR="00E61C88" w:rsidRDefault="00E61C88" w:rsidP="006923CA">
      <w:r>
        <w:separator/>
      </w:r>
    </w:p>
  </w:endnote>
  <w:endnote w:type="continuationSeparator" w:id="0">
    <w:p w14:paraId="1B8B48A8" w14:textId="77777777" w:rsidR="00E61C88" w:rsidRDefault="00E61C88" w:rsidP="006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2AA" w14:textId="0AB7572F" w:rsidR="000C471E" w:rsidRPr="00C709BB" w:rsidRDefault="000C471E" w:rsidP="006923CA">
    <w:r w:rsidRPr="00C709BB">
      <w:fldChar w:fldCharType="begin"/>
    </w:r>
    <w:r w:rsidRPr="00C709BB">
      <w:instrText xml:space="preserve">PAGE  </w:instrText>
    </w:r>
    <w:r w:rsidRPr="00C709BB">
      <w:fldChar w:fldCharType="separate"/>
    </w:r>
    <w:r w:rsidR="00B746F1">
      <w:rPr>
        <w:noProof/>
      </w:rPr>
      <w:t>9</w:t>
    </w:r>
    <w:r w:rsidRPr="00C709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8F91" w14:textId="77777777" w:rsidR="00E61C88" w:rsidRDefault="00E61C88" w:rsidP="006923CA">
      <w:r>
        <w:separator/>
      </w:r>
    </w:p>
  </w:footnote>
  <w:footnote w:type="continuationSeparator" w:id="0">
    <w:p w14:paraId="3F5FDFB6" w14:textId="77777777" w:rsidR="00E61C88" w:rsidRDefault="00E61C88" w:rsidP="0069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8A"/>
    <w:multiLevelType w:val="multilevel"/>
    <w:tmpl w:val="DC02D9AA"/>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05B40C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515F7"/>
    <w:multiLevelType w:val="hybridMultilevel"/>
    <w:tmpl w:val="A4E43FB0"/>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B55CF1"/>
    <w:multiLevelType w:val="hybridMultilevel"/>
    <w:tmpl w:val="A290FC9C"/>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0B23115"/>
    <w:multiLevelType w:val="hybridMultilevel"/>
    <w:tmpl w:val="D91EE8F2"/>
    <w:lvl w:ilvl="0" w:tplc="351E262E">
      <w:start w:val="1"/>
      <w:numFmt w:val="bullet"/>
      <w:lvlText w:val="o"/>
      <w:lvlJc w:val="left"/>
      <w:pPr>
        <w:ind w:left="371" w:hanging="360"/>
      </w:pPr>
      <w:rPr>
        <w:rFonts w:ascii="Courier New" w:hAnsi="Courier New" w:cs="Courier New" w:hint="default"/>
        <w:sz w:val="16"/>
        <w:szCs w:val="16"/>
      </w:rPr>
    </w:lvl>
    <w:lvl w:ilvl="1" w:tplc="0C090003">
      <w:start w:val="1"/>
      <w:numFmt w:val="bullet"/>
      <w:lvlText w:val="o"/>
      <w:lvlJc w:val="left"/>
      <w:pPr>
        <w:ind w:left="1091" w:hanging="360"/>
      </w:pPr>
      <w:rPr>
        <w:rFonts w:ascii="Courier New" w:hAnsi="Courier New" w:cs="Courier New" w:hint="default"/>
      </w:rPr>
    </w:lvl>
    <w:lvl w:ilvl="2" w:tplc="0C090005">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5" w15:restartNumberingAfterBreak="0">
    <w:nsid w:val="15702ECC"/>
    <w:multiLevelType w:val="hybridMultilevel"/>
    <w:tmpl w:val="2D90799E"/>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tabs>
          <w:tab w:val="num" w:pos="3087"/>
        </w:tabs>
        <w:ind w:left="3087" w:hanging="360"/>
      </w:pPr>
      <w:rPr>
        <w:rFonts w:ascii="Symbol" w:hAnsi="Symbol" w:hint="default"/>
      </w:rPr>
    </w:lvl>
    <w:lvl w:ilvl="4" w:tplc="0C090003">
      <w:start w:val="1"/>
      <w:numFmt w:val="bullet"/>
      <w:lvlText w:val="o"/>
      <w:lvlJc w:val="left"/>
      <w:pPr>
        <w:tabs>
          <w:tab w:val="num" w:pos="3807"/>
        </w:tabs>
        <w:ind w:left="3807" w:hanging="360"/>
      </w:pPr>
      <w:rPr>
        <w:rFonts w:ascii="Courier New" w:hAnsi="Courier New" w:hint="default"/>
      </w:rPr>
    </w:lvl>
    <w:lvl w:ilvl="5" w:tplc="0C090005">
      <w:start w:val="1"/>
      <w:numFmt w:val="bullet"/>
      <w:lvlText w:val=""/>
      <w:lvlJc w:val="left"/>
      <w:pPr>
        <w:tabs>
          <w:tab w:val="num" w:pos="4527"/>
        </w:tabs>
        <w:ind w:left="4527" w:hanging="360"/>
      </w:pPr>
      <w:rPr>
        <w:rFonts w:ascii="Wingdings" w:hAnsi="Wingdings" w:hint="default"/>
      </w:rPr>
    </w:lvl>
    <w:lvl w:ilvl="6" w:tplc="0C090001">
      <w:start w:val="1"/>
      <w:numFmt w:val="bullet"/>
      <w:lvlText w:val=""/>
      <w:lvlJc w:val="left"/>
      <w:pPr>
        <w:tabs>
          <w:tab w:val="num" w:pos="5247"/>
        </w:tabs>
        <w:ind w:left="5247" w:hanging="360"/>
      </w:pPr>
      <w:rPr>
        <w:rFonts w:ascii="Symbol" w:hAnsi="Symbol" w:hint="default"/>
      </w:rPr>
    </w:lvl>
    <w:lvl w:ilvl="7" w:tplc="0C090003">
      <w:start w:val="1"/>
      <w:numFmt w:val="bullet"/>
      <w:lvlText w:val="o"/>
      <w:lvlJc w:val="left"/>
      <w:pPr>
        <w:tabs>
          <w:tab w:val="num" w:pos="5967"/>
        </w:tabs>
        <w:ind w:left="5967" w:hanging="360"/>
      </w:pPr>
      <w:rPr>
        <w:rFonts w:ascii="Courier New" w:hAnsi="Courier New" w:hint="default"/>
      </w:rPr>
    </w:lvl>
    <w:lvl w:ilvl="8" w:tplc="0C09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8C0273A"/>
    <w:multiLevelType w:val="hybridMultilevel"/>
    <w:tmpl w:val="501EF992"/>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tabs>
          <w:tab w:val="num" w:pos="3087"/>
        </w:tabs>
        <w:ind w:left="3087" w:hanging="360"/>
      </w:pPr>
      <w:rPr>
        <w:rFonts w:ascii="Symbol" w:hAnsi="Symbol" w:hint="default"/>
      </w:rPr>
    </w:lvl>
    <w:lvl w:ilvl="4" w:tplc="0C090003">
      <w:start w:val="1"/>
      <w:numFmt w:val="bullet"/>
      <w:lvlText w:val="o"/>
      <w:lvlJc w:val="left"/>
      <w:pPr>
        <w:tabs>
          <w:tab w:val="num" w:pos="3807"/>
        </w:tabs>
        <w:ind w:left="3807" w:hanging="360"/>
      </w:pPr>
      <w:rPr>
        <w:rFonts w:ascii="Courier New" w:hAnsi="Courier New" w:hint="default"/>
      </w:rPr>
    </w:lvl>
    <w:lvl w:ilvl="5" w:tplc="0C090005">
      <w:start w:val="1"/>
      <w:numFmt w:val="bullet"/>
      <w:lvlText w:val=""/>
      <w:lvlJc w:val="left"/>
      <w:pPr>
        <w:tabs>
          <w:tab w:val="num" w:pos="4527"/>
        </w:tabs>
        <w:ind w:left="4527" w:hanging="360"/>
      </w:pPr>
      <w:rPr>
        <w:rFonts w:ascii="Wingdings" w:hAnsi="Wingdings" w:hint="default"/>
      </w:rPr>
    </w:lvl>
    <w:lvl w:ilvl="6" w:tplc="0C090001">
      <w:start w:val="1"/>
      <w:numFmt w:val="bullet"/>
      <w:lvlText w:val=""/>
      <w:lvlJc w:val="left"/>
      <w:pPr>
        <w:tabs>
          <w:tab w:val="num" w:pos="5247"/>
        </w:tabs>
        <w:ind w:left="5247" w:hanging="360"/>
      </w:pPr>
      <w:rPr>
        <w:rFonts w:ascii="Symbol" w:hAnsi="Symbol" w:hint="default"/>
      </w:rPr>
    </w:lvl>
    <w:lvl w:ilvl="7" w:tplc="0C090003">
      <w:start w:val="1"/>
      <w:numFmt w:val="bullet"/>
      <w:lvlText w:val="o"/>
      <w:lvlJc w:val="left"/>
      <w:pPr>
        <w:tabs>
          <w:tab w:val="num" w:pos="5967"/>
        </w:tabs>
        <w:ind w:left="5967" w:hanging="360"/>
      </w:pPr>
      <w:rPr>
        <w:rFonts w:ascii="Courier New" w:hAnsi="Courier New" w:hint="default"/>
      </w:rPr>
    </w:lvl>
    <w:lvl w:ilvl="8" w:tplc="0C09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B107336"/>
    <w:multiLevelType w:val="hybridMultilevel"/>
    <w:tmpl w:val="4656AAF2"/>
    <w:lvl w:ilvl="0" w:tplc="705CD6EC">
      <w:start w:val="1"/>
      <w:numFmt w:val="bullet"/>
      <w:lvlText w:val=""/>
      <w:lvlJc w:val="left"/>
      <w:pPr>
        <w:tabs>
          <w:tab w:val="num" w:pos="1713"/>
        </w:tabs>
        <w:ind w:left="1713" w:hanging="360"/>
      </w:pPr>
      <w:rPr>
        <w:rFonts w:ascii="Symbol" w:hAnsi="Symbol" w:hint="default"/>
        <w:color w:val="auto"/>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06A3B02"/>
    <w:multiLevelType w:val="multilevel"/>
    <w:tmpl w:val="FA84549A"/>
    <w:lvl w:ilvl="0">
      <w:start w:val="4"/>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13A6C90"/>
    <w:multiLevelType w:val="hybridMultilevel"/>
    <w:tmpl w:val="5CF0E702"/>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3B47B05"/>
    <w:multiLevelType w:val="singleLevel"/>
    <w:tmpl w:val="6AE43B7A"/>
    <w:lvl w:ilvl="0">
      <w:start w:val="13"/>
      <w:numFmt w:val="bullet"/>
      <w:lvlText w:val="-"/>
      <w:lvlJc w:val="left"/>
      <w:pPr>
        <w:tabs>
          <w:tab w:val="num" w:pos="1137"/>
        </w:tabs>
        <w:ind w:left="1137" w:hanging="570"/>
      </w:pPr>
      <w:rPr>
        <w:rFonts w:hint="default"/>
      </w:rPr>
    </w:lvl>
  </w:abstractNum>
  <w:abstractNum w:abstractNumId="11" w15:restartNumberingAfterBreak="0">
    <w:nsid w:val="26C20DF7"/>
    <w:multiLevelType w:val="hybridMultilevel"/>
    <w:tmpl w:val="FAF04C6E"/>
    <w:lvl w:ilvl="0" w:tplc="C60C699A">
      <w:start w:val="1"/>
      <w:numFmt w:val="bullet"/>
      <w:lvlText w:val="⁻"/>
      <w:lvlJc w:val="left"/>
      <w:pPr>
        <w:ind w:left="644" w:hanging="360"/>
      </w:pPr>
      <w:rPr>
        <w:rFonts w:ascii="Times New Roman" w:hAnsi="Times New Roman" w:cs="Times New Roman" w:hint="default"/>
      </w:rPr>
    </w:lvl>
    <w:lvl w:ilvl="1" w:tplc="C60C699A">
      <w:start w:val="1"/>
      <w:numFmt w:val="bullet"/>
      <w:lvlText w:val="⁻"/>
      <w:lvlJc w:val="left"/>
      <w:pPr>
        <w:ind w:left="1364" w:hanging="360"/>
      </w:pPr>
      <w:rPr>
        <w:rFonts w:ascii="Times New Roman" w:hAnsi="Times New Roman" w:cs="Times New Roman" w:hint="default"/>
      </w:rPr>
    </w:lvl>
    <w:lvl w:ilvl="2" w:tplc="DA522AA8">
      <w:numFmt w:val="bullet"/>
      <w:lvlText w:val="-"/>
      <w:lvlJc w:val="left"/>
      <w:pPr>
        <w:ind w:left="2084" w:hanging="360"/>
      </w:pPr>
      <w:rPr>
        <w:rFonts w:ascii="Times New Roman" w:eastAsiaTheme="minorHAnsi" w:hAnsi="Times New Roman" w:cs="Times New Roman"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E680FBB"/>
    <w:multiLevelType w:val="hybridMultilevel"/>
    <w:tmpl w:val="A3E29024"/>
    <w:lvl w:ilvl="0" w:tplc="BDE8F2EA">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EA82927"/>
    <w:multiLevelType w:val="hybridMultilevel"/>
    <w:tmpl w:val="EA08F0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00E4C"/>
    <w:multiLevelType w:val="singleLevel"/>
    <w:tmpl w:val="E60C1338"/>
    <w:lvl w:ilvl="0">
      <w:numFmt w:val="bullet"/>
      <w:lvlText w:val=""/>
      <w:lvlJc w:val="left"/>
      <w:pPr>
        <w:tabs>
          <w:tab w:val="num" w:pos="420"/>
        </w:tabs>
        <w:ind w:left="420" w:hanging="360"/>
      </w:pPr>
      <w:rPr>
        <w:rFonts w:ascii="Symbol" w:hAnsi="Symbol" w:hint="default"/>
        <w:color w:val="auto"/>
      </w:rPr>
    </w:lvl>
  </w:abstractNum>
  <w:abstractNum w:abstractNumId="15" w15:restartNumberingAfterBreak="0">
    <w:nsid w:val="309E4DB4"/>
    <w:multiLevelType w:val="hybridMultilevel"/>
    <w:tmpl w:val="7FEAA95C"/>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tabs>
          <w:tab w:val="num" w:pos="3087"/>
        </w:tabs>
        <w:ind w:left="3087" w:hanging="360"/>
      </w:pPr>
      <w:rPr>
        <w:rFonts w:ascii="Symbol" w:hAnsi="Symbol" w:hint="default"/>
      </w:rPr>
    </w:lvl>
    <w:lvl w:ilvl="4" w:tplc="0C090003">
      <w:start w:val="1"/>
      <w:numFmt w:val="bullet"/>
      <w:lvlText w:val="o"/>
      <w:lvlJc w:val="left"/>
      <w:pPr>
        <w:tabs>
          <w:tab w:val="num" w:pos="3807"/>
        </w:tabs>
        <w:ind w:left="3807" w:hanging="360"/>
      </w:pPr>
      <w:rPr>
        <w:rFonts w:ascii="Courier New" w:hAnsi="Courier New" w:hint="default"/>
      </w:rPr>
    </w:lvl>
    <w:lvl w:ilvl="5" w:tplc="0C090005">
      <w:start w:val="1"/>
      <w:numFmt w:val="bullet"/>
      <w:lvlText w:val=""/>
      <w:lvlJc w:val="left"/>
      <w:pPr>
        <w:tabs>
          <w:tab w:val="num" w:pos="4527"/>
        </w:tabs>
        <w:ind w:left="4527" w:hanging="360"/>
      </w:pPr>
      <w:rPr>
        <w:rFonts w:ascii="Wingdings" w:hAnsi="Wingdings" w:hint="default"/>
      </w:rPr>
    </w:lvl>
    <w:lvl w:ilvl="6" w:tplc="0C090001">
      <w:start w:val="1"/>
      <w:numFmt w:val="bullet"/>
      <w:lvlText w:val=""/>
      <w:lvlJc w:val="left"/>
      <w:pPr>
        <w:tabs>
          <w:tab w:val="num" w:pos="5247"/>
        </w:tabs>
        <w:ind w:left="5247" w:hanging="360"/>
      </w:pPr>
      <w:rPr>
        <w:rFonts w:ascii="Symbol" w:hAnsi="Symbol" w:hint="default"/>
      </w:rPr>
    </w:lvl>
    <w:lvl w:ilvl="7" w:tplc="0C090003">
      <w:start w:val="1"/>
      <w:numFmt w:val="bullet"/>
      <w:lvlText w:val="o"/>
      <w:lvlJc w:val="left"/>
      <w:pPr>
        <w:tabs>
          <w:tab w:val="num" w:pos="5967"/>
        </w:tabs>
        <w:ind w:left="5967" w:hanging="360"/>
      </w:pPr>
      <w:rPr>
        <w:rFonts w:ascii="Courier New" w:hAnsi="Courier New" w:hint="default"/>
      </w:rPr>
    </w:lvl>
    <w:lvl w:ilvl="8" w:tplc="0C09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7B85B72"/>
    <w:multiLevelType w:val="hybridMultilevel"/>
    <w:tmpl w:val="830CE8C0"/>
    <w:lvl w:ilvl="0" w:tplc="AB6856CE">
      <w:start w:val="1"/>
      <w:numFmt w:val="bullet"/>
      <w:pStyle w:val="ListParagraph"/>
      <w:lvlText w:val=""/>
      <w:lvlJc w:val="left"/>
      <w:pPr>
        <w:ind w:left="363" w:hanging="360"/>
      </w:pPr>
      <w:rPr>
        <w:rFonts w:ascii="Symbol" w:hAnsi="Symbol" w:hint="default"/>
        <w:sz w:val="16"/>
        <w:szCs w:val="16"/>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4330581A"/>
    <w:multiLevelType w:val="hybridMultilevel"/>
    <w:tmpl w:val="2850E64E"/>
    <w:lvl w:ilvl="0" w:tplc="705CD6EC">
      <w:start w:val="1"/>
      <w:numFmt w:val="bullet"/>
      <w:lvlText w:val=""/>
      <w:lvlJc w:val="left"/>
      <w:pPr>
        <w:tabs>
          <w:tab w:val="num" w:pos="1713"/>
        </w:tabs>
        <w:ind w:left="1713"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44F26"/>
    <w:multiLevelType w:val="hybridMultilevel"/>
    <w:tmpl w:val="CE24B0D0"/>
    <w:lvl w:ilvl="0" w:tplc="B33EED1C">
      <w:start w:val="1"/>
      <w:numFmt w:val="decimal"/>
      <w:lvlText w:val="%1."/>
      <w:lvlJc w:val="left"/>
      <w:pPr>
        <w:ind w:left="720" w:hanging="360"/>
      </w:pPr>
      <w:rPr>
        <w:rFonts w:hint="default"/>
        <w:sz w:val="4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A720B8"/>
    <w:multiLevelType w:val="hybridMultilevel"/>
    <w:tmpl w:val="E6EA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F2173"/>
    <w:multiLevelType w:val="hybridMultilevel"/>
    <w:tmpl w:val="FC3297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B48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99679E"/>
    <w:multiLevelType w:val="singleLevel"/>
    <w:tmpl w:val="7832B752"/>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4BF2543E"/>
    <w:multiLevelType w:val="multilevel"/>
    <w:tmpl w:val="DAE4E47E"/>
    <w:lvl w:ilvl="0">
      <w:start w:val="3"/>
      <w:numFmt w:val="decimal"/>
      <w:lvlText w:val="%1."/>
      <w:lvlJc w:val="left"/>
      <w:pPr>
        <w:tabs>
          <w:tab w:val="num" w:pos="570"/>
        </w:tabs>
        <w:ind w:left="570" w:hanging="57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18F3435"/>
    <w:multiLevelType w:val="hybridMultilevel"/>
    <w:tmpl w:val="1E4CAF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1A6FC3"/>
    <w:multiLevelType w:val="hybridMultilevel"/>
    <w:tmpl w:val="CAC0D53C"/>
    <w:lvl w:ilvl="0" w:tplc="F72E2008">
      <w:start w:val="1"/>
      <w:numFmt w:val="bullet"/>
      <w:lvlText w:val="•"/>
      <w:lvlJc w:val="left"/>
      <w:pPr>
        <w:tabs>
          <w:tab w:val="num" w:pos="720"/>
        </w:tabs>
        <w:ind w:left="720" w:hanging="360"/>
      </w:pPr>
      <w:rPr>
        <w:rFonts w:ascii="Arial" w:hAnsi="Arial" w:hint="default"/>
      </w:rPr>
    </w:lvl>
    <w:lvl w:ilvl="1" w:tplc="5956C2C6" w:tentative="1">
      <w:start w:val="1"/>
      <w:numFmt w:val="bullet"/>
      <w:lvlText w:val="•"/>
      <w:lvlJc w:val="left"/>
      <w:pPr>
        <w:tabs>
          <w:tab w:val="num" w:pos="1440"/>
        </w:tabs>
        <w:ind w:left="1440" w:hanging="360"/>
      </w:pPr>
      <w:rPr>
        <w:rFonts w:ascii="Arial" w:hAnsi="Arial" w:hint="default"/>
      </w:rPr>
    </w:lvl>
    <w:lvl w:ilvl="2" w:tplc="97D8ADC6" w:tentative="1">
      <w:start w:val="1"/>
      <w:numFmt w:val="bullet"/>
      <w:lvlText w:val="•"/>
      <w:lvlJc w:val="left"/>
      <w:pPr>
        <w:tabs>
          <w:tab w:val="num" w:pos="2160"/>
        </w:tabs>
        <w:ind w:left="2160" w:hanging="360"/>
      </w:pPr>
      <w:rPr>
        <w:rFonts w:ascii="Arial" w:hAnsi="Arial" w:hint="default"/>
      </w:rPr>
    </w:lvl>
    <w:lvl w:ilvl="3" w:tplc="2D98929C" w:tentative="1">
      <w:start w:val="1"/>
      <w:numFmt w:val="bullet"/>
      <w:lvlText w:val="•"/>
      <w:lvlJc w:val="left"/>
      <w:pPr>
        <w:tabs>
          <w:tab w:val="num" w:pos="2880"/>
        </w:tabs>
        <w:ind w:left="2880" w:hanging="360"/>
      </w:pPr>
      <w:rPr>
        <w:rFonts w:ascii="Arial" w:hAnsi="Arial" w:hint="default"/>
      </w:rPr>
    </w:lvl>
    <w:lvl w:ilvl="4" w:tplc="14B6DCE6" w:tentative="1">
      <w:start w:val="1"/>
      <w:numFmt w:val="bullet"/>
      <w:lvlText w:val="•"/>
      <w:lvlJc w:val="left"/>
      <w:pPr>
        <w:tabs>
          <w:tab w:val="num" w:pos="3600"/>
        </w:tabs>
        <w:ind w:left="3600" w:hanging="360"/>
      </w:pPr>
      <w:rPr>
        <w:rFonts w:ascii="Arial" w:hAnsi="Arial" w:hint="default"/>
      </w:rPr>
    </w:lvl>
    <w:lvl w:ilvl="5" w:tplc="F57E68E6" w:tentative="1">
      <w:start w:val="1"/>
      <w:numFmt w:val="bullet"/>
      <w:lvlText w:val="•"/>
      <w:lvlJc w:val="left"/>
      <w:pPr>
        <w:tabs>
          <w:tab w:val="num" w:pos="4320"/>
        </w:tabs>
        <w:ind w:left="4320" w:hanging="360"/>
      </w:pPr>
      <w:rPr>
        <w:rFonts w:ascii="Arial" w:hAnsi="Arial" w:hint="default"/>
      </w:rPr>
    </w:lvl>
    <w:lvl w:ilvl="6" w:tplc="9B184FC0" w:tentative="1">
      <w:start w:val="1"/>
      <w:numFmt w:val="bullet"/>
      <w:lvlText w:val="•"/>
      <w:lvlJc w:val="left"/>
      <w:pPr>
        <w:tabs>
          <w:tab w:val="num" w:pos="5040"/>
        </w:tabs>
        <w:ind w:left="5040" w:hanging="360"/>
      </w:pPr>
      <w:rPr>
        <w:rFonts w:ascii="Arial" w:hAnsi="Arial" w:hint="default"/>
      </w:rPr>
    </w:lvl>
    <w:lvl w:ilvl="7" w:tplc="104819E8" w:tentative="1">
      <w:start w:val="1"/>
      <w:numFmt w:val="bullet"/>
      <w:lvlText w:val="•"/>
      <w:lvlJc w:val="left"/>
      <w:pPr>
        <w:tabs>
          <w:tab w:val="num" w:pos="5760"/>
        </w:tabs>
        <w:ind w:left="5760" w:hanging="360"/>
      </w:pPr>
      <w:rPr>
        <w:rFonts w:ascii="Arial" w:hAnsi="Arial" w:hint="default"/>
      </w:rPr>
    </w:lvl>
    <w:lvl w:ilvl="8" w:tplc="3AFE95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36762B"/>
    <w:multiLevelType w:val="singleLevel"/>
    <w:tmpl w:val="E60C1338"/>
    <w:lvl w:ilvl="0">
      <w:numFmt w:val="bullet"/>
      <w:lvlText w:val=""/>
      <w:lvlJc w:val="left"/>
      <w:pPr>
        <w:tabs>
          <w:tab w:val="num" w:pos="420"/>
        </w:tabs>
        <w:ind w:left="420" w:hanging="360"/>
      </w:pPr>
      <w:rPr>
        <w:rFonts w:ascii="Symbol" w:hAnsi="Symbol" w:hint="default"/>
        <w:color w:val="auto"/>
      </w:rPr>
    </w:lvl>
  </w:abstractNum>
  <w:abstractNum w:abstractNumId="27" w15:restartNumberingAfterBreak="0">
    <w:nsid w:val="55560105"/>
    <w:multiLevelType w:val="hybridMultilevel"/>
    <w:tmpl w:val="50E2720A"/>
    <w:lvl w:ilvl="0" w:tplc="0409000F">
      <w:start w:val="1"/>
      <w:numFmt w:val="decimal"/>
      <w:lvlText w:val="%1."/>
      <w:lvlJc w:val="left"/>
      <w:pPr>
        <w:tabs>
          <w:tab w:val="num" w:pos="720"/>
        </w:tabs>
        <w:ind w:left="720" w:hanging="360"/>
      </w:pPr>
      <w:rPr>
        <w:rFonts w:cs="Times New Roman" w:hint="default"/>
      </w:rPr>
    </w:lvl>
    <w:lvl w:ilvl="1" w:tplc="4EEC0D2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94E4774"/>
    <w:multiLevelType w:val="hybridMultilevel"/>
    <w:tmpl w:val="F9885E76"/>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A8E3CF1"/>
    <w:multiLevelType w:val="hybridMultilevel"/>
    <w:tmpl w:val="6F3CB2EE"/>
    <w:lvl w:ilvl="0" w:tplc="0DBC3FC6">
      <w:numFmt w:val="bullet"/>
      <w:lvlText w:val="•"/>
      <w:lvlJc w:val="left"/>
      <w:pPr>
        <w:ind w:left="359" w:hanging="360"/>
      </w:pPr>
      <w:rPr>
        <w:rFonts w:ascii="Times New Roman" w:eastAsiaTheme="minorHAnsi" w:hAnsi="Times New Roman" w:cs="Times New Roman" w:hint="default"/>
        <w:sz w:val="16"/>
      </w:rPr>
    </w:lvl>
    <w:lvl w:ilvl="1" w:tplc="FC2A74BE">
      <w:numFmt w:val="bullet"/>
      <w:lvlText w:val=""/>
      <w:lvlJc w:val="left"/>
      <w:pPr>
        <w:ind w:left="1079" w:hanging="360"/>
      </w:pPr>
      <w:rPr>
        <w:rFonts w:ascii="Symbol" w:eastAsiaTheme="minorHAnsi" w:hAnsi="Symbol" w:cs="Courier New" w:hint="default"/>
        <w:sz w:val="16"/>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30" w15:restartNumberingAfterBreak="0">
    <w:nsid w:val="5B312AA9"/>
    <w:multiLevelType w:val="singleLevel"/>
    <w:tmpl w:val="E60C1338"/>
    <w:lvl w:ilvl="0">
      <w:numFmt w:val="bullet"/>
      <w:lvlText w:val=""/>
      <w:lvlJc w:val="left"/>
      <w:pPr>
        <w:tabs>
          <w:tab w:val="num" w:pos="420"/>
        </w:tabs>
        <w:ind w:left="420" w:hanging="360"/>
      </w:pPr>
      <w:rPr>
        <w:rFonts w:ascii="Symbol" w:hAnsi="Symbol" w:hint="default"/>
        <w:color w:val="auto"/>
      </w:rPr>
    </w:lvl>
  </w:abstractNum>
  <w:abstractNum w:abstractNumId="31" w15:restartNumberingAfterBreak="0">
    <w:nsid w:val="65B34FD9"/>
    <w:multiLevelType w:val="hybridMultilevel"/>
    <w:tmpl w:val="FA564DD4"/>
    <w:lvl w:ilvl="0" w:tplc="53DC9CE8">
      <w:start w:val="1"/>
      <w:numFmt w:val="bullet"/>
      <w:lvlText w:val="•"/>
      <w:lvlJc w:val="left"/>
      <w:pPr>
        <w:tabs>
          <w:tab w:val="num" w:pos="720"/>
        </w:tabs>
        <w:ind w:left="720" w:hanging="360"/>
      </w:pPr>
      <w:rPr>
        <w:rFonts w:ascii="Arial" w:hAnsi="Arial" w:hint="default"/>
      </w:rPr>
    </w:lvl>
    <w:lvl w:ilvl="1" w:tplc="1390D002" w:tentative="1">
      <w:start w:val="1"/>
      <w:numFmt w:val="bullet"/>
      <w:lvlText w:val="•"/>
      <w:lvlJc w:val="left"/>
      <w:pPr>
        <w:tabs>
          <w:tab w:val="num" w:pos="1440"/>
        </w:tabs>
        <w:ind w:left="1440" w:hanging="360"/>
      </w:pPr>
      <w:rPr>
        <w:rFonts w:ascii="Arial" w:hAnsi="Arial" w:hint="default"/>
      </w:rPr>
    </w:lvl>
    <w:lvl w:ilvl="2" w:tplc="7D76A1B0" w:tentative="1">
      <w:start w:val="1"/>
      <w:numFmt w:val="bullet"/>
      <w:lvlText w:val="•"/>
      <w:lvlJc w:val="left"/>
      <w:pPr>
        <w:tabs>
          <w:tab w:val="num" w:pos="2160"/>
        </w:tabs>
        <w:ind w:left="2160" w:hanging="360"/>
      </w:pPr>
      <w:rPr>
        <w:rFonts w:ascii="Arial" w:hAnsi="Arial" w:hint="default"/>
      </w:rPr>
    </w:lvl>
    <w:lvl w:ilvl="3" w:tplc="8F46DA7C" w:tentative="1">
      <w:start w:val="1"/>
      <w:numFmt w:val="bullet"/>
      <w:lvlText w:val="•"/>
      <w:lvlJc w:val="left"/>
      <w:pPr>
        <w:tabs>
          <w:tab w:val="num" w:pos="2880"/>
        </w:tabs>
        <w:ind w:left="2880" w:hanging="360"/>
      </w:pPr>
      <w:rPr>
        <w:rFonts w:ascii="Arial" w:hAnsi="Arial" w:hint="default"/>
      </w:rPr>
    </w:lvl>
    <w:lvl w:ilvl="4" w:tplc="69D20720" w:tentative="1">
      <w:start w:val="1"/>
      <w:numFmt w:val="bullet"/>
      <w:lvlText w:val="•"/>
      <w:lvlJc w:val="left"/>
      <w:pPr>
        <w:tabs>
          <w:tab w:val="num" w:pos="3600"/>
        </w:tabs>
        <w:ind w:left="3600" w:hanging="360"/>
      </w:pPr>
      <w:rPr>
        <w:rFonts w:ascii="Arial" w:hAnsi="Arial" w:hint="default"/>
      </w:rPr>
    </w:lvl>
    <w:lvl w:ilvl="5" w:tplc="A7EA6220" w:tentative="1">
      <w:start w:val="1"/>
      <w:numFmt w:val="bullet"/>
      <w:lvlText w:val="•"/>
      <w:lvlJc w:val="left"/>
      <w:pPr>
        <w:tabs>
          <w:tab w:val="num" w:pos="4320"/>
        </w:tabs>
        <w:ind w:left="4320" w:hanging="360"/>
      </w:pPr>
      <w:rPr>
        <w:rFonts w:ascii="Arial" w:hAnsi="Arial" w:hint="default"/>
      </w:rPr>
    </w:lvl>
    <w:lvl w:ilvl="6" w:tplc="FBF0EC54" w:tentative="1">
      <w:start w:val="1"/>
      <w:numFmt w:val="bullet"/>
      <w:lvlText w:val="•"/>
      <w:lvlJc w:val="left"/>
      <w:pPr>
        <w:tabs>
          <w:tab w:val="num" w:pos="5040"/>
        </w:tabs>
        <w:ind w:left="5040" w:hanging="360"/>
      </w:pPr>
      <w:rPr>
        <w:rFonts w:ascii="Arial" w:hAnsi="Arial" w:hint="default"/>
      </w:rPr>
    </w:lvl>
    <w:lvl w:ilvl="7" w:tplc="DE2CC1C8" w:tentative="1">
      <w:start w:val="1"/>
      <w:numFmt w:val="bullet"/>
      <w:lvlText w:val="•"/>
      <w:lvlJc w:val="left"/>
      <w:pPr>
        <w:tabs>
          <w:tab w:val="num" w:pos="5760"/>
        </w:tabs>
        <w:ind w:left="5760" w:hanging="360"/>
      </w:pPr>
      <w:rPr>
        <w:rFonts w:ascii="Arial" w:hAnsi="Arial" w:hint="default"/>
      </w:rPr>
    </w:lvl>
    <w:lvl w:ilvl="8" w:tplc="BE1A95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E52DCD"/>
    <w:multiLevelType w:val="hybridMultilevel"/>
    <w:tmpl w:val="B2D06FE0"/>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start w:val="1"/>
      <w:numFmt w:val="bullet"/>
      <w:lvlText w:val=""/>
      <w:lvlJc w:val="left"/>
      <w:pPr>
        <w:tabs>
          <w:tab w:val="num" w:pos="3087"/>
        </w:tabs>
        <w:ind w:left="3087" w:hanging="360"/>
      </w:pPr>
      <w:rPr>
        <w:rFonts w:ascii="Symbol" w:hAnsi="Symbol" w:hint="default"/>
      </w:rPr>
    </w:lvl>
    <w:lvl w:ilvl="4" w:tplc="0C090003">
      <w:start w:val="1"/>
      <w:numFmt w:val="bullet"/>
      <w:lvlText w:val="o"/>
      <w:lvlJc w:val="left"/>
      <w:pPr>
        <w:tabs>
          <w:tab w:val="num" w:pos="3807"/>
        </w:tabs>
        <w:ind w:left="3807" w:hanging="360"/>
      </w:pPr>
      <w:rPr>
        <w:rFonts w:ascii="Courier New" w:hAnsi="Courier New" w:hint="default"/>
      </w:rPr>
    </w:lvl>
    <w:lvl w:ilvl="5" w:tplc="0C090005">
      <w:start w:val="1"/>
      <w:numFmt w:val="bullet"/>
      <w:lvlText w:val=""/>
      <w:lvlJc w:val="left"/>
      <w:pPr>
        <w:tabs>
          <w:tab w:val="num" w:pos="4527"/>
        </w:tabs>
        <w:ind w:left="4527" w:hanging="360"/>
      </w:pPr>
      <w:rPr>
        <w:rFonts w:ascii="Wingdings" w:hAnsi="Wingdings" w:hint="default"/>
      </w:rPr>
    </w:lvl>
    <w:lvl w:ilvl="6" w:tplc="0C090001">
      <w:start w:val="1"/>
      <w:numFmt w:val="bullet"/>
      <w:lvlText w:val=""/>
      <w:lvlJc w:val="left"/>
      <w:pPr>
        <w:tabs>
          <w:tab w:val="num" w:pos="5247"/>
        </w:tabs>
        <w:ind w:left="5247" w:hanging="360"/>
      </w:pPr>
      <w:rPr>
        <w:rFonts w:ascii="Symbol" w:hAnsi="Symbol" w:hint="default"/>
      </w:rPr>
    </w:lvl>
    <w:lvl w:ilvl="7" w:tplc="0C090003">
      <w:start w:val="1"/>
      <w:numFmt w:val="bullet"/>
      <w:lvlText w:val="o"/>
      <w:lvlJc w:val="left"/>
      <w:pPr>
        <w:tabs>
          <w:tab w:val="num" w:pos="5967"/>
        </w:tabs>
        <w:ind w:left="5967" w:hanging="360"/>
      </w:pPr>
      <w:rPr>
        <w:rFonts w:ascii="Courier New" w:hAnsi="Courier New" w:hint="default"/>
      </w:rPr>
    </w:lvl>
    <w:lvl w:ilvl="8" w:tplc="0C090005">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7167EBE"/>
    <w:multiLevelType w:val="hybridMultilevel"/>
    <w:tmpl w:val="47EEE3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96722"/>
    <w:multiLevelType w:val="hybridMultilevel"/>
    <w:tmpl w:val="8AB4B500"/>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5" w15:restartNumberingAfterBreak="0">
    <w:nsid w:val="6BE5786A"/>
    <w:multiLevelType w:val="hybridMultilevel"/>
    <w:tmpl w:val="9904D62A"/>
    <w:lvl w:ilvl="0" w:tplc="45009DD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A1D77"/>
    <w:multiLevelType w:val="hybridMultilevel"/>
    <w:tmpl w:val="2BFCBC9E"/>
    <w:lvl w:ilvl="0" w:tplc="C60C699A">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26355C"/>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0496AE5"/>
    <w:multiLevelType w:val="hybridMultilevel"/>
    <w:tmpl w:val="EA1E0A1C"/>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1FE6597"/>
    <w:multiLevelType w:val="hybridMultilevel"/>
    <w:tmpl w:val="20E8A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0289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1C228E"/>
    <w:multiLevelType w:val="hybridMultilevel"/>
    <w:tmpl w:val="D4E033D8"/>
    <w:lvl w:ilvl="0" w:tplc="3FA02E7C">
      <w:start w:val="1"/>
      <w:numFmt w:val="bullet"/>
      <w:lvlText w:val="•"/>
      <w:lvlJc w:val="left"/>
      <w:pPr>
        <w:tabs>
          <w:tab w:val="num" w:pos="720"/>
        </w:tabs>
        <w:ind w:left="720" w:hanging="360"/>
      </w:pPr>
      <w:rPr>
        <w:rFonts w:ascii="Arial" w:hAnsi="Arial" w:hint="default"/>
      </w:rPr>
    </w:lvl>
    <w:lvl w:ilvl="1" w:tplc="BD1435FA" w:tentative="1">
      <w:start w:val="1"/>
      <w:numFmt w:val="bullet"/>
      <w:lvlText w:val="•"/>
      <w:lvlJc w:val="left"/>
      <w:pPr>
        <w:tabs>
          <w:tab w:val="num" w:pos="1440"/>
        </w:tabs>
        <w:ind w:left="1440" w:hanging="360"/>
      </w:pPr>
      <w:rPr>
        <w:rFonts w:ascii="Arial" w:hAnsi="Arial" w:hint="default"/>
      </w:rPr>
    </w:lvl>
    <w:lvl w:ilvl="2" w:tplc="16BA6108" w:tentative="1">
      <w:start w:val="1"/>
      <w:numFmt w:val="bullet"/>
      <w:lvlText w:val="•"/>
      <w:lvlJc w:val="left"/>
      <w:pPr>
        <w:tabs>
          <w:tab w:val="num" w:pos="2160"/>
        </w:tabs>
        <w:ind w:left="2160" w:hanging="360"/>
      </w:pPr>
      <w:rPr>
        <w:rFonts w:ascii="Arial" w:hAnsi="Arial" w:hint="default"/>
      </w:rPr>
    </w:lvl>
    <w:lvl w:ilvl="3" w:tplc="DF7878F0" w:tentative="1">
      <w:start w:val="1"/>
      <w:numFmt w:val="bullet"/>
      <w:lvlText w:val="•"/>
      <w:lvlJc w:val="left"/>
      <w:pPr>
        <w:tabs>
          <w:tab w:val="num" w:pos="2880"/>
        </w:tabs>
        <w:ind w:left="2880" w:hanging="360"/>
      </w:pPr>
      <w:rPr>
        <w:rFonts w:ascii="Arial" w:hAnsi="Arial" w:hint="default"/>
      </w:rPr>
    </w:lvl>
    <w:lvl w:ilvl="4" w:tplc="08F62D1A" w:tentative="1">
      <w:start w:val="1"/>
      <w:numFmt w:val="bullet"/>
      <w:lvlText w:val="•"/>
      <w:lvlJc w:val="left"/>
      <w:pPr>
        <w:tabs>
          <w:tab w:val="num" w:pos="3600"/>
        </w:tabs>
        <w:ind w:left="3600" w:hanging="360"/>
      </w:pPr>
      <w:rPr>
        <w:rFonts w:ascii="Arial" w:hAnsi="Arial" w:hint="default"/>
      </w:rPr>
    </w:lvl>
    <w:lvl w:ilvl="5" w:tplc="BB7E71C8" w:tentative="1">
      <w:start w:val="1"/>
      <w:numFmt w:val="bullet"/>
      <w:lvlText w:val="•"/>
      <w:lvlJc w:val="left"/>
      <w:pPr>
        <w:tabs>
          <w:tab w:val="num" w:pos="4320"/>
        </w:tabs>
        <w:ind w:left="4320" w:hanging="360"/>
      </w:pPr>
      <w:rPr>
        <w:rFonts w:ascii="Arial" w:hAnsi="Arial" w:hint="default"/>
      </w:rPr>
    </w:lvl>
    <w:lvl w:ilvl="6" w:tplc="97622CA0" w:tentative="1">
      <w:start w:val="1"/>
      <w:numFmt w:val="bullet"/>
      <w:lvlText w:val="•"/>
      <w:lvlJc w:val="left"/>
      <w:pPr>
        <w:tabs>
          <w:tab w:val="num" w:pos="5040"/>
        </w:tabs>
        <w:ind w:left="5040" w:hanging="360"/>
      </w:pPr>
      <w:rPr>
        <w:rFonts w:ascii="Arial" w:hAnsi="Arial" w:hint="default"/>
      </w:rPr>
    </w:lvl>
    <w:lvl w:ilvl="7" w:tplc="3C7E0822" w:tentative="1">
      <w:start w:val="1"/>
      <w:numFmt w:val="bullet"/>
      <w:lvlText w:val="•"/>
      <w:lvlJc w:val="left"/>
      <w:pPr>
        <w:tabs>
          <w:tab w:val="num" w:pos="5760"/>
        </w:tabs>
        <w:ind w:left="5760" w:hanging="360"/>
      </w:pPr>
      <w:rPr>
        <w:rFonts w:ascii="Arial" w:hAnsi="Arial" w:hint="default"/>
      </w:rPr>
    </w:lvl>
    <w:lvl w:ilvl="8" w:tplc="5EB84DE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B037DE"/>
    <w:multiLevelType w:val="hybridMultilevel"/>
    <w:tmpl w:val="E15AB96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3" w15:restartNumberingAfterBreak="0">
    <w:nsid w:val="7EFA0336"/>
    <w:multiLevelType w:val="multilevel"/>
    <w:tmpl w:val="4B02EE3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57856"/>
    <w:multiLevelType w:val="hybridMultilevel"/>
    <w:tmpl w:val="A6D61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AF36E0"/>
    <w:multiLevelType w:val="hybridMultilevel"/>
    <w:tmpl w:val="F5A0AD80"/>
    <w:lvl w:ilvl="0" w:tplc="BDE8F2E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9157497">
    <w:abstractNumId w:val="21"/>
  </w:num>
  <w:num w:numId="2" w16cid:durableId="1576430405">
    <w:abstractNumId w:val="40"/>
  </w:num>
  <w:num w:numId="3" w16cid:durableId="1584950173">
    <w:abstractNumId w:val="37"/>
  </w:num>
  <w:num w:numId="4" w16cid:durableId="1189371864">
    <w:abstractNumId w:val="1"/>
  </w:num>
  <w:num w:numId="5" w16cid:durableId="649873215">
    <w:abstractNumId w:val="30"/>
  </w:num>
  <w:num w:numId="6" w16cid:durableId="726074151">
    <w:abstractNumId w:val="26"/>
  </w:num>
  <w:num w:numId="7" w16cid:durableId="1412921161">
    <w:abstractNumId w:val="14"/>
  </w:num>
  <w:num w:numId="8" w16cid:durableId="486169461">
    <w:abstractNumId w:val="23"/>
  </w:num>
  <w:num w:numId="9" w16cid:durableId="2057848445">
    <w:abstractNumId w:val="8"/>
  </w:num>
  <w:num w:numId="10" w16cid:durableId="1801654053">
    <w:abstractNumId w:val="10"/>
  </w:num>
  <w:num w:numId="11" w16cid:durableId="1951623820">
    <w:abstractNumId w:val="5"/>
  </w:num>
  <w:num w:numId="12" w16cid:durableId="791443162">
    <w:abstractNumId w:val="32"/>
  </w:num>
  <w:num w:numId="13" w16cid:durableId="1106466216">
    <w:abstractNumId w:val="15"/>
  </w:num>
  <w:num w:numId="14" w16cid:durableId="924344335">
    <w:abstractNumId w:val="6"/>
  </w:num>
  <w:num w:numId="15" w16cid:durableId="104857729">
    <w:abstractNumId w:val="38"/>
  </w:num>
  <w:num w:numId="16" w16cid:durableId="542906781">
    <w:abstractNumId w:val="2"/>
  </w:num>
  <w:num w:numId="17" w16cid:durableId="942225230">
    <w:abstractNumId w:val="28"/>
  </w:num>
  <w:num w:numId="18" w16cid:durableId="843861131">
    <w:abstractNumId w:val="9"/>
  </w:num>
  <w:num w:numId="19" w16cid:durableId="1890846408">
    <w:abstractNumId w:val="13"/>
  </w:num>
  <w:num w:numId="20" w16cid:durableId="411702207">
    <w:abstractNumId w:val="33"/>
  </w:num>
  <w:num w:numId="21" w16cid:durableId="1254784764">
    <w:abstractNumId w:val="39"/>
  </w:num>
  <w:num w:numId="22" w16cid:durableId="943272342">
    <w:abstractNumId w:val="20"/>
  </w:num>
  <w:num w:numId="23" w16cid:durableId="1738699699">
    <w:abstractNumId w:val="3"/>
  </w:num>
  <w:num w:numId="24" w16cid:durableId="1631201227">
    <w:abstractNumId w:val="7"/>
  </w:num>
  <w:num w:numId="25" w16cid:durableId="1667202322">
    <w:abstractNumId w:val="17"/>
  </w:num>
  <w:num w:numId="26" w16cid:durableId="1245189176">
    <w:abstractNumId w:val="27"/>
  </w:num>
  <w:num w:numId="27" w16cid:durableId="1317151066">
    <w:abstractNumId w:val="34"/>
  </w:num>
  <w:num w:numId="28" w16cid:durableId="202912998">
    <w:abstractNumId w:val="16"/>
  </w:num>
  <w:num w:numId="29" w16cid:durableId="1277761094">
    <w:abstractNumId w:val="19"/>
  </w:num>
  <w:num w:numId="30" w16cid:durableId="569123482">
    <w:abstractNumId w:val="22"/>
  </w:num>
  <w:num w:numId="31" w16cid:durableId="656038715">
    <w:abstractNumId w:val="35"/>
  </w:num>
  <w:num w:numId="32" w16cid:durableId="1146749494">
    <w:abstractNumId w:val="18"/>
  </w:num>
  <w:num w:numId="33" w16cid:durableId="203521586">
    <w:abstractNumId w:val="24"/>
  </w:num>
  <w:num w:numId="34" w16cid:durableId="220141234">
    <w:abstractNumId w:val="42"/>
  </w:num>
  <w:num w:numId="35" w16cid:durableId="1352955530">
    <w:abstractNumId w:val="29"/>
  </w:num>
  <w:num w:numId="36" w16cid:durableId="191386873">
    <w:abstractNumId w:val="11"/>
  </w:num>
  <w:num w:numId="37" w16cid:durableId="191967011">
    <w:abstractNumId w:val="4"/>
  </w:num>
  <w:num w:numId="38" w16cid:durableId="936249183">
    <w:abstractNumId w:val="36"/>
  </w:num>
  <w:num w:numId="39" w16cid:durableId="601571521">
    <w:abstractNumId w:val="31"/>
  </w:num>
  <w:num w:numId="40" w16cid:durableId="1650935830">
    <w:abstractNumId w:val="41"/>
  </w:num>
  <w:num w:numId="41" w16cid:durableId="1364404821">
    <w:abstractNumId w:val="0"/>
  </w:num>
  <w:num w:numId="42" w16cid:durableId="1446657787">
    <w:abstractNumId w:val="12"/>
  </w:num>
  <w:num w:numId="43" w16cid:durableId="1043284214">
    <w:abstractNumId w:val="25"/>
  </w:num>
  <w:num w:numId="44" w16cid:durableId="1002900661">
    <w:abstractNumId w:val="43"/>
  </w:num>
  <w:num w:numId="45" w16cid:durableId="270549589">
    <w:abstractNumId w:val="45"/>
  </w:num>
  <w:num w:numId="46" w16cid:durableId="2510882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EA"/>
    <w:rsid w:val="000206A5"/>
    <w:rsid w:val="00023C80"/>
    <w:rsid w:val="000240B3"/>
    <w:rsid w:val="00024E96"/>
    <w:rsid w:val="00035346"/>
    <w:rsid w:val="00057894"/>
    <w:rsid w:val="00057E67"/>
    <w:rsid w:val="00060A06"/>
    <w:rsid w:val="00082D2E"/>
    <w:rsid w:val="000862A9"/>
    <w:rsid w:val="00087D0E"/>
    <w:rsid w:val="000A43EF"/>
    <w:rsid w:val="000A5678"/>
    <w:rsid w:val="000C00CA"/>
    <w:rsid w:val="000C471E"/>
    <w:rsid w:val="000C53B7"/>
    <w:rsid w:val="000D2BB6"/>
    <w:rsid w:val="000F0697"/>
    <w:rsid w:val="00121943"/>
    <w:rsid w:val="00124A45"/>
    <w:rsid w:val="0012744E"/>
    <w:rsid w:val="00143579"/>
    <w:rsid w:val="0014382E"/>
    <w:rsid w:val="00154DE2"/>
    <w:rsid w:val="00164658"/>
    <w:rsid w:val="001712E7"/>
    <w:rsid w:val="001A0378"/>
    <w:rsid w:val="001A6F0F"/>
    <w:rsid w:val="001B1188"/>
    <w:rsid w:val="001C7F7B"/>
    <w:rsid w:val="001D090F"/>
    <w:rsid w:val="001D34BA"/>
    <w:rsid w:val="001E45A6"/>
    <w:rsid w:val="001E5AA2"/>
    <w:rsid w:val="001F4768"/>
    <w:rsid w:val="001F5E4E"/>
    <w:rsid w:val="00206252"/>
    <w:rsid w:val="00213460"/>
    <w:rsid w:val="0021497B"/>
    <w:rsid w:val="00222BFC"/>
    <w:rsid w:val="00226227"/>
    <w:rsid w:val="002308B2"/>
    <w:rsid w:val="00243723"/>
    <w:rsid w:val="00244CEB"/>
    <w:rsid w:val="00251B26"/>
    <w:rsid w:val="0025379B"/>
    <w:rsid w:val="00275E12"/>
    <w:rsid w:val="00284D39"/>
    <w:rsid w:val="00290E7A"/>
    <w:rsid w:val="002A4842"/>
    <w:rsid w:val="002B7A56"/>
    <w:rsid w:val="002B7F70"/>
    <w:rsid w:val="002C2F8B"/>
    <w:rsid w:val="002D0D8A"/>
    <w:rsid w:val="002D1591"/>
    <w:rsid w:val="002E080E"/>
    <w:rsid w:val="002E454C"/>
    <w:rsid w:val="002F46C6"/>
    <w:rsid w:val="0031409A"/>
    <w:rsid w:val="003142B5"/>
    <w:rsid w:val="0032591B"/>
    <w:rsid w:val="00334EE5"/>
    <w:rsid w:val="0034190B"/>
    <w:rsid w:val="00343663"/>
    <w:rsid w:val="0035403F"/>
    <w:rsid w:val="00376514"/>
    <w:rsid w:val="00376F4C"/>
    <w:rsid w:val="0038796F"/>
    <w:rsid w:val="0039029E"/>
    <w:rsid w:val="003A54D7"/>
    <w:rsid w:val="003A7BAE"/>
    <w:rsid w:val="003B2EC3"/>
    <w:rsid w:val="003D24C7"/>
    <w:rsid w:val="003D34E6"/>
    <w:rsid w:val="003D4EAD"/>
    <w:rsid w:val="003D507C"/>
    <w:rsid w:val="003E1DE4"/>
    <w:rsid w:val="003F1224"/>
    <w:rsid w:val="004045CB"/>
    <w:rsid w:val="00404B89"/>
    <w:rsid w:val="00413C0C"/>
    <w:rsid w:val="0041422E"/>
    <w:rsid w:val="00424D96"/>
    <w:rsid w:val="0042794C"/>
    <w:rsid w:val="00440169"/>
    <w:rsid w:val="00445834"/>
    <w:rsid w:val="00453222"/>
    <w:rsid w:val="0045590E"/>
    <w:rsid w:val="00473EB0"/>
    <w:rsid w:val="00481AE7"/>
    <w:rsid w:val="00482800"/>
    <w:rsid w:val="00486CA1"/>
    <w:rsid w:val="0049238E"/>
    <w:rsid w:val="004A1E99"/>
    <w:rsid w:val="004B0287"/>
    <w:rsid w:val="004C0639"/>
    <w:rsid w:val="004C65A3"/>
    <w:rsid w:val="004C6A75"/>
    <w:rsid w:val="004F3CF5"/>
    <w:rsid w:val="004F55E1"/>
    <w:rsid w:val="004F68E2"/>
    <w:rsid w:val="00502822"/>
    <w:rsid w:val="00512BCF"/>
    <w:rsid w:val="00517092"/>
    <w:rsid w:val="0052143D"/>
    <w:rsid w:val="0053063F"/>
    <w:rsid w:val="005375FD"/>
    <w:rsid w:val="005714AC"/>
    <w:rsid w:val="00574DE1"/>
    <w:rsid w:val="00592422"/>
    <w:rsid w:val="005952D2"/>
    <w:rsid w:val="005A10EF"/>
    <w:rsid w:val="005A63BD"/>
    <w:rsid w:val="005A6A62"/>
    <w:rsid w:val="005C0447"/>
    <w:rsid w:val="005C6E83"/>
    <w:rsid w:val="005D5312"/>
    <w:rsid w:val="005E39B9"/>
    <w:rsid w:val="005F490E"/>
    <w:rsid w:val="005F4F0E"/>
    <w:rsid w:val="00600104"/>
    <w:rsid w:val="006119C5"/>
    <w:rsid w:val="006132BC"/>
    <w:rsid w:val="00617D29"/>
    <w:rsid w:val="00621808"/>
    <w:rsid w:val="00622B9A"/>
    <w:rsid w:val="00631D11"/>
    <w:rsid w:val="00632BA1"/>
    <w:rsid w:val="00642F8B"/>
    <w:rsid w:val="00665BD2"/>
    <w:rsid w:val="0068015C"/>
    <w:rsid w:val="006864BD"/>
    <w:rsid w:val="006923CA"/>
    <w:rsid w:val="006A3294"/>
    <w:rsid w:val="006B0A44"/>
    <w:rsid w:val="006B0E4B"/>
    <w:rsid w:val="006B2537"/>
    <w:rsid w:val="006B50AF"/>
    <w:rsid w:val="006C09C0"/>
    <w:rsid w:val="006D524D"/>
    <w:rsid w:val="006F069C"/>
    <w:rsid w:val="006F14B9"/>
    <w:rsid w:val="006F374B"/>
    <w:rsid w:val="006F4068"/>
    <w:rsid w:val="006F43F9"/>
    <w:rsid w:val="007017F8"/>
    <w:rsid w:val="007033EA"/>
    <w:rsid w:val="00712712"/>
    <w:rsid w:val="00717856"/>
    <w:rsid w:val="007455CC"/>
    <w:rsid w:val="00750C43"/>
    <w:rsid w:val="00754CB0"/>
    <w:rsid w:val="007565E0"/>
    <w:rsid w:val="00772AF1"/>
    <w:rsid w:val="0078218A"/>
    <w:rsid w:val="00786F8A"/>
    <w:rsid w:val="007A7363"/>
    <w:rsid w:val="007B18F3"/>
    <w:rsid w:val="007B1F9D"/>
    <w:rsid w:val="007B2693"/>
    <w:rsid w:val="007E2545"/>
    <w:rsid w:val="007E7766"/>
    <w:rsid w:val="00801FAB"/>
    <w:rsid w:val="008029EA"/>
    <w:rsid w:val="00807FF3"/>
    <w:rsid w:val="00824125"/>
    <w:rsid w:val="00830119"/>
    <w:rsid w:val="0083107D"/>
    <w:rsid w:val="0084727D"/>
    <w:rsid w:val="00855B8F"/>
    <w:rsid w:val="0088245D"/>
    <w:rsid w:val="00884F04"/>
    <w:rsid w:val="00886565"/>
    <w:rsid w:val="00886E79"/>
    <w:rsid w:val="008A08A3"/>
    <w:rsid w:val="008C1D6F"/>
    <w:rsid w:val="008C30A5"/>
    <w:rsid w:val="008C4CA8"/>
    <w:rsid w:val="008C5574"/>
    <w:rsid w:val="008D3832"/>
    <w:rsid w:val="008F064F"/>
    <w:rsid w:val="008F4F08"/>
    <w:rsid w:val="00906281"/>
    <w:rsid w:val="009274FA"/>
    <w:rsid w:val="00932464"/>
    <w:rsid w:val="00952A87"/>
    <w:rsid w:val="00957CBF"/>
    <w:rsid w:val="00961013"/>
    <w:rsid w:val="0096130C"/>
    <w:rsid w:val="00961E36"/>
    <w:rsid w:val="00972359"/>
    <w:rsid w:val="00981B3F"/>
    <w:rsid w:val="00990186"/>
    <w:rsid w:val="009929EA"/>
    <w:rsid w:val="00994D32"/>
    <w:rsid w:val="009A6CD0"/>
    <w:rsid w:val="009B00CD"/>
    <w:rsid w:val="009D0176"/>
    <w:rsid w:val="009F2727"/>
    <w:rsid w:val="009F70E4"/>
    <w:rsid w:val="00A3167C"/>
    <w:rsid w:val="00A80245"/>
    <w:rsid w:val="00A82E51"/>
    <w:rsid w:val="00A84E80"/>
    <w:rsid w:val="00AC03A7"/>
    <w:rsid w:val="00AC3CCF"/>
    <w:rsid w:val="00AD7A8E"/>
    <w:rsid w:val="00AE5626"/>
    <w:rsid w:val="00AF2E24"/>
    <w:rsid w:val="00B0203D"/>
    <w:rsid w:val="00B15A09"/>
    <w:rsid w:val="00B214F0"/>
    <w:rsid w:val="00B23053"/>
    <w:rsid w:val="00B30802"/>
    <w:rsid w:val="00B62A2C"/>
    <w:rsid w:val="00B716F4"/>
    <w:rsid w:val="00B746F1"/>
    <w:rsid w:val="00B85C4D"/>
    <w:rsid w:val="00B865B9"/>
    <w:rsid w:val="00B865BF"/>
    <w:rsid w:val="00BA458B"/>
    <w:rsid w:val="00BB494E"/>
    <w:rsid w:val="00BC2A11"/>
    <w:rsid w:val="00BC3EA9"/>
    <w:rsid w:val="00BD6655"/>
    <w:rsid w:val="00BE405F"/>
    <w:rsid w:val="00BE4F9B"/>
    <w:rsid w:val="00BF3B67"/>
    <w:rsid w:val="00C03264"/>
    <w:rsid w:val="00C5020C"/>
    <w:rsid w:val="00C63935"/>
    <w:rsid w:val="00C7732D"/>
    <w:rsid w:val="00C9653B"/>
    <w:rsid w:val="00C977F9"/>
    <w:rsid w:val="00CA4006"/>
    <w:rsid w:val="00CA6BED"/>
    <w:rsid w:val="00CA7F17"/>
    <w:rsid w:val="00CB347A"/>
    <w:rsid w:val="00CB5581"/>
    <w:rsid w:val="00CE5680"/>
    <w:rsid w:val="00D05866"/>
    <w:rsid w:val="00D060BA"/>
    <w:rsid w:val="00D243B0"/>
    <w:rsid w:val="00D36E28"/>
    <w:rsid w:val="00D40C07"/>
    <w:rsid w:val="00D517B9"/>
    <w:rsid w:val="00D565A5"/>
    <w:rsid w:val="00D8472F"/>
    <w:rsid w:val="00D90130"/>
    <w:rsid w:val="00D9297D"/>
    <w:rsid w:val="00D93193"/>
    <w:rsid w:val="00DA3F1A"/>
    <w:rsid w:val="00DA6CE7"/>
    <w:rsid w:val="00DB53A1"/>
    <w:rsid w:val="00DE173B"/>
    <w:rsid w:val="00DE21D3"/>
    <w:rsid w:val="00E07FDB"/>
    <w:rsid w:val="00E139D9"/>
    <w:rsid w:val="00E16A88"/>
    <w:rsid w:val="00E1730D"/>
    <w:rsid w:val="00E21F23"/>
    <w:rsid w:val="00E248D0"/>
    <w:rsid w:val="00E53F25"/>
    <w:rsid w:val="00E57073"/>
    <w:rsid w:val="00E61C88"/>
    <w:rsid w:val="00E739F9"/>
    <w:rsid w:val="00E769DA"/>
    <w:rsid w:val="00E824CC"/>
    <w:rsid w:val="00E8530F"/>
    <w:rsid w:val="00EA1E16"/>
    <w:rsid w:val="00EE1BEA"/>
    <w:rsid w:val="00EE557B"/>
    <w:rsid w:val="00EF71EE"/>
    <w:rsid w:val="00F06C6C"/>
    <w:rsid w:val="00F07ECC"/>
    <w:rsid w:val="00F235E4"/>
    <w:rsid w:val="00F267A6"/>
    <w:rsid w:val="00F33FE7"/>
    <w:rsid w:val="00F35761"/>
    <w:rsid w:val="00F42998"/>
    <w:rsid w:val="00F6483B"/>
    <w:rsid w:val="00F85D21"/>
    <w:rsid w:val="00F9074B"/>
    <w:rsid w:val="00F95C69"/>
    <w:rsid w:val="00FC547E"/>
    <w:rsid w:val="00FD58FD"/>
    <w:rsid w:val="00FE6AE5"/>
    <w:rsid w:val="00FF3D2D"/>
    <w:rsid w:val="00FF55FB"/>
    <w:rsid w:val="00FF6D19"/>
    <w:rsid w:val="00FF7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DCE6"/>
  <w15:docId w15:val="{FB80CF16-037F-48F8-A71E-F450653A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CA"/>
    <w:pPr>
      <w:spacing w:before="120" w:after="120" w:line="240" w:lineRule="auto"/>
    </w:pPr>
  </w:style>
  <w:style w:type="paragraph" w:styleId="Heading1">
    <w:name w:val="heading 1"/>
    <w:basedOn w:val="Normal"/>
    <w:next w:val="Normal"/>
    <w:link w:val="Heading1Char"/>
    <w:uiPriority w:val="99"/>
    <w:qFormat/>
    <w:rsid w:val="005375FD"/>
    <w:pPr>
      <w:keepNext/>
      <w:spacing w:line="360" w:lineRule="auto"/>
      <w:jc w:val="center"/>
      <w:outlineLvl w:val="0"/>
    </w:pPr>
    <w:rPr>
      <w:rFonts w:ascii="Arial" w:hAnsi="Arial" w:cs="Berlin Sans FB"/>
      <w:b/>
      <w:bCs/>
      <w:sz w:val="28"/>
    </w:rPr>
  </w:style>
  <w:style w:type="paragraph" w:styleId="Heading2">
    <w:name w:val="heading 2"/>
    <w:basedOn w:val="Normal"/>
    <w:next w:val="Normal"/>
    <w:link w:val="Heading2Char"/>
    <w:uiPriority w:val="99"/>
    <w:qFormat/>
    <w:rsid w:val="00B85C4D"/>
    <w:pPr>
      <w:keepNext/>
      <w:outlineLvl w:val="1"/>
    </w:pPr>
    <w:rPr>
      <w:rFonts w:ascii="Verdana" w:hAnsi="Verdana" w:cs="Arial"/>
      <w:b/>
      <w:bCs/>
      <w:szCs w:val="28"/>
    </w:rPr>
  </w:style>
  <w:style w:type="paragraph" w:styleId="Heading3">
    <w:name w:val="heading 3"/>
    <w:basedOn w:val="Normal"/>
    <w:next w:val="Normal"/>
    <w:link w:val="Heading3Char"/>
    <w:uiPriority w:val="9"/>
    <w:unhideWhenUsed/>
    <w:qFormat/>
    <w:rsid w:val="00B746F1"/>
    <w:pPr>
      <w:keepNext/>
      <w:outlineLvl w:val="2"/>
    </w:pPr>
    <w:rPr>
      <w:color w:val="595959" w:themeColor="text1" w:themeTint="A6"/>
    </w:rPr>
  </w:style>
  <w:style w:type="paragraph" w:styleId="Heading4">
    <w:name w:val="heading 4"/>
    <w:basedOn w:val="Normal"/>
    <w:next w:val="Normal"/>
    <w:link w:val="Heading4Char"/>
    <w:uiPriority w:val="99"/>
    <w:qFormat/>
    <w:rsid w:val="002D1591"/>
    <w:pPr>
      <w:keepNext/>
      <w:spacing w:after="80"/>
      <w:ind w:left="720" w:hanging="720"/>
      <w:outlineLvl w:val="3"/>
    </w:pPr>
    <w:rPr>
      <w:rFonts w:ascii="Verdana" w:hAnsi="Verdana" w:cs="Verdana"/>
      <w:b/>
      <w:bCs/>
      <w:i/>
      <w:iCs/>
    </w:rPr>
  </w:style>
  <w:style w:type="paragraph" w:styleId="Heading5">
    <w:name w:val="heading 5"/>
    <w:basedOn w:val="Heading4"/>
    <w:next w:val="Normal"/>
    <w:link w:val="Heading5Char"/>
    <w:uiPriority w:val="9"/>
    <w:unhideWhenUsed/>
    <w:qFormat/>
    <w:rsid w:val="002F46C6"/>
    <w:pPr>
      <w:outlineLvl w:val="4"/>
    </w:pPr>
    <w:rPr>
      <w:i w:val="0"/>
    </w:rPr>
  </w:style>
  <w:style w:type="paragraph" w:styleId="Heading6">
    <w:name w:val="heading 6"/>
    <w:basedOn w:val="Normal"/>
    <w:next w:val="Normal"/>
    <w:link w:val="Heading6Char"/>
    <w:uiPriority w:val="99"/>
    <w:qFormat/>
    <w:rsid w:val="002F46C6"/>
    <w:pPr>
      <w:keepNext/>
      <w:outlineLvl w:val="5"/>
    </w:pPr>
    <w:rPr>
      <w:rFonts w:cstheme="minorHAnsi"/>
      <w:szCs w:val="28"/>
      <w:u w:val="single"/>
    </w:rPr>
  </w:style>
  <w:style w:type="paragraph" w:styleId="Heading7">
    <w:name w:val="heading 7"/>
    <w:basedOn w:val="Normal"/>
    <w:next w:val="Normal"/>
    <w:link w:val="Heading7Char"/>
    <w:uiPriority w:val="99"/>
    <w:qFormat/>
    <w:rsid w:val="002D1591"/>
    <w:pPr>
      <w:keepNext/>
      <w:pBdr>
        <w:top w:val="single" w:sz="4" w:space="1" w:color="auto"/>
        <w:left w:val="single" w:sz="4" w:space="4" w:color="auto"/>
        <w:bottom w:val="single" w:sz="4" w:space="1" w:color="auto"/>
        <w:right w:val="single" w:sz="4" w:space="4" w:color="auto"/>
      </w:pBdr>
      <w:shd w:val="pct25" w:color="auto" w:fill="FFFFFF"/>
      <w:outlineLvl w:val="6"/>
    </w:pPr>
    <w:rPr>
      <w:b/>
      <w:bCs/>
    </w:rPr>
  </w:style>
  <w:style w:type="paragraph" w:styleId="Heading8">
    <w:name w:val="heading 8"/>
    <w:basedOn w:val="Normal"/>
    <w:next w:val="Normal"/>
    <w:link w:val="Heading8Char"/>
    <w:uiPriority w:val="99"/>
    <w:qFormat/>
    <w:rsid w:val="002D1591"/>
    <w:pPr>
      <w:keepNext/>
      <w:outlineLvl w:val="7"/>
    </w:pPr>
    <w:rPr>
      <w:b/>
      <w:bCs/>
      <w:sz w:val="36"/>
      <w:szCs w:val="36"/>
    </w:rPr>
  </w:style>
  <w:style w:type="paragraph" w:styleId="Heading9">
    <w:name w:val="heading 9"/>
    <w:basedOn w:val="Normal"/>
    <w:next w:val="Normal"/>
    <w:link w:val="Heading9Char"/>
    <w:uiPriority w:val="99"/>
    <w:qFormat/>
    <w:rsid w:val="002D1591"/>
    <w:pPr>
      <w:keepNext/>
      <w:spacing w:line="360" w:lineRule="auto"/>
      <w:jc w:val="both"/>
      <w:outlineLvl w:val="8"/>
    </w:pPr>
    <w:rPr>
      <w:rFonts w:ascii="Berlin Sans FB" w:hAnsi="Berlin Sans FB" w:cs="Berlin Sans FB"/>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75FD"/>
    <w:rPr>
      <w:rFonts w:ascii="Arial" w:hAnsi="Arial" w:cs="Berlin Sans FB"/>
      <w:b/>
      <w:bCs/>
      <w:sz w:val="28"/>
    </w:rPr>
  </w:style>
  <w:style w:type="character" w:customStyle="1" w:styleId="Heading2Char">
    <w:name w:val="Heading 2 Char"/>
    <w:basedOn w:val="DefaultParagraphFont"/>
    <w:link w:val="Heading2"/>
    <w:uiPriority w:val="99"/>
    <w:rsid w:val="00B85C4D"/>
    <w:rPr>
      <w:rFonts w:ascii="Verdana" w:hAnsi="Verdana" w:cs="Arial"/>
      <w:b/>
      <w:bCs/>
      <w:szCs w:val="28"/>
    </w:rPr>
  </w:style>
  <w:style w:type="character" w:customStyle="1" w:styleId="Heading4Char">
    <w:name w:val="Heading 4 Char"/>
    <w:basedOn w:val="DefaultParagraphFont"/>
    <w:link w:val="Heading4"/>
    <w:uiPriority w:val="99"/>
    <w:rsid w:val="002D1591"/>
    <w:rPr>
      <w:rFonts w:ascii="Verdana" w:eastAsia="Times New Roman" w:hAnsi="Verdana" w:cs="Verdana"/>
      <w:b/>
      <w:bCs/>
      <w:i/>
      <w:iCs/>
      <w:lang w:eastAsia="en-AU"/>
    </w:rPr>
  </w:style>
  <w:style w:type="character" w:customStyle="1" w:styleId="Heading6Char">
    <w:name w:val="Heading 6 Char"/>
    <w:basedOn w:val="DefaultParagraphFont"/>
    <w:link w:val="Heading6"/>
    <w:uiPriority w:val="99"/>
    <w:rsid w:val="002F46C6"/>
    <w:rPr>
      <w:rFonts w:cstheme="minorHAnsi"/>
      <w:szCs w:val="28"/>
      <w:u w:val="single"/>
      <w:lang w:eastAsia="en-AU"/>
    </w:rPr>
  </w:style>
  <w:style w:type="character" w:customStyle="1" w:styleId="Heading7Char">
    <w:name w:val="Heading 7 Char"/>
    <w:basedOn w:val="DefaultParagraphFont"/>
    <w:link w:val="Heading7"/>
    <w:uiPriority w:val="99"/>
    <w:rsid w:val="002D1591"/>
    <w:rPr>
      <w:rFonts w:ascii="Times New Roman" w:eastAsia="Times New Roman" w:hAnsi="Times New Roman" w:cs="Times New Roman"/>
      <w:b/>
      <w:bCs/>
      <w:sz w:val="24"/>
      <w:szCs w:val="24"/>
      <w:shd w:val="pct25" w:color="auto" w:fill="FFFFFF"/>
      <w:lang w:eastAsia="en-AU"/>
    </w:rPr>
  </w:style>
  <w:style w:type="character" w:customStyle="1" w:styleId="Heading8Char">
    <w:name w:val="Heading 8 Char"/>
    <w:basedOn w:val="DefaultParagraphFont"/>
    <w:link w:val="Heading8"/>
    <w:uiPriority w:val="99"/>
    <w:rsid w:val="002D1591"/>
    <w:rPr>
      <w:rFonts w:ascii="Times New Roman" w:eastAsia="Times New Roman" w:hAnsi="Times New Roman" w:cs="Times New Roman"/>
      <w:b/>
      <w:bCs/>
      <w:sz w:val="36"/>
      <w:szCs w:val="36"/>
      <w:lang w:eastAsia="en-AU"/>
    </w:rPr>
  </w:style>
  <w:style w:type="character" w:customStyle="1" w:styleId="Heading9Char">
    <w:name w:val="Heading 9 Char"/>
    <w:basedOn w:val="DefaultParagraphFont"/>
    <w:link w:val="Heading9"/>
    <w:uiPriority w:val="99"/>
    <w:rsid w:val="002D1591"/>
    <w:rPr>
      <w:rFonts w:ascii="Berlin Sans FB" w:eastAsia="Times New Roman" w:hAnsi="Berlin Sans FB" w:cs="Berlin Sans FB"/>
      <w:b/>
      <w:bCs/>
      <w:sz w:val="28"/>
      <w:szCs w:val="28"/>
      <w:lang w:eastAsia="en-AU"/>
    </w:rPr>
  </w:style>
  <w:style w:type="paragraph" w:styleId="TOC1">
    <w:name w:val="toc 1"/>
    <w:basedOn w:val="Normal"/>
    <w:next w:val="Normal"/>
    <w:autoRedefine/>
    <w:uiPriority w:val="99"/>
    <w:semiHidden/>
    <w:rsid w:val="002D1591"/>
    <w:pPr>
      <w:spacing w:before="360"/>
    </w:pPr>
    <w:rPr>
      <w:rFonts w:ascii="Arial" w:hAnsi="Arial" w:cs="Arial"/>
      <w:b/>
      <w:bCs/>
      <w:caps/>
    </w:rPr>
  </w:style>
  <w:style w:type="paragraph" w:styleId="BodyText">
    <w:name w:val="Body Text"/>
    <w:basedOn w:val="Normal"/>
    <w:link w:val="BodyTextChar"/>
    <w:uiPriority w:val="99"/>
    <w:rsid w:val="002D1591"/>
    <w:pPr>
      <w:spacing w:line="360" w:lineRule="auto"/>
      <w:jc w:val="both"/>
    </w:pPr>
    <w:rPr>
      <w:rFonts w:ascii="Berlin Sans FB" w:hAnsi="Berlin Sans FB" w:cs="Berlin Sans FB"/>
    </w:rPr>
  </w:style>
  <w:style w:type="character" w:customStyle="1" w:styleId="BodyTextChar">
    <w:name w:val="Body Text Char"/>
    <w:basedOn w:val="DefaultParagraphFont"/>
    <w:link w:val="BodyText"/>
    <w:uiPriority w:val="99"/>
    <w:rsid w:val="002D1591"/>
    <w:rPr>
      <w:rFonts w:ascii="Berlin Sans FB" w:eastAsia="Times New Roman" w:hAnsi="Berlin Sans FB" w:cs="Berlin Sans FB"/>
      <w:sz w:val="24"/>
      <w:szCs w:val="24"/>
      <w:lang w:eastAsia="en-AU"/>
    </w:rPr>
  </w:style>
  <w:style w:type="paragraph" w:styleId="Header">
    <w:name w:val="header"/>
    <w:basedOn w:val="Normal"/>
    <w:link w:val="HeaderChar"/>
    <w:uiPriority w:val="99"/>
    <w:rsid w:val="002D1591"/>
    <w:pPr>
      <w:tabs>
        <w:tab w:val="center" w:pos="4153"/>
        <w:tab w:val="right" w:pos="8306"/>
      </w:tabs>
    </w:pPr>
  </w:style>
  <w:style w:type="character" w:customStyle="1" w:styleId="HeaderChar">
    <w:name w:val="Header Char"/>
    <w:basedOn w:val="DefaultParagraphFont"/>
    <w:link w:val="Header"/>
    <w:uiPriority w:val="99"/>
    <w:rsid w:val="002D1591"/>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2D1591"/>
    <w:rPr>
      <w:rFonts w:cs="Times New Roman"/>
    </w:rPr>
  </w:style>
  <w:style w:type="paragraph" w:styleId="Footer">
    <w:name w:val="footer"/>
    <w:basedOn w:val="Normal"/>
    <w:link w:val="FooterChar"/>
    <w:uiPriority w:val="99"/>
    <w:rsid w:val="002D1591"/>
    <w:pPr>
      <w:tabs>
        <w:tab w:val="center" w:pos="4153"/>
        <w:tab w:val="right" w:pos="8306"/>
      </w:tabs>
    </w:pPr>
  </w:style>
  <w:style w:type="character" w:customStyle="1" w:styleId="FooterChar">
    <w:name w:val="Footer Char"/>
    <w:basedOn w:val="DefaultParagraphFont"/>
    <w:link w:val="Footer"/>
    <w:uiPriority w:val="99"/>
    <w:rsid w:val="002D1591"/>
    <w:rPr>
      <w:rFonts w:ascii="Times New Roman" w:eastAsia="Times New Roman" w:hAnsi="Times New Roman" w:cs="Times New Roman"/>
      <w:sz w:val="24"/>
      <w:szCs w:val="24"/>
      <w:lang w:eastAsia="en-AU"/>
    </w:rPr>
  </w:style>
  <w:style w:type="paragraph" w:styleId="Title">
    <w:name w:val="Title"/>
    <w:basedOn w:val="Normal"/>
    <w:link w:val="TitleChar"/>
    <w:uiPriority w:val="99"/>
    <w:qFormat/>
    <w:rsid w:val="00F9074B"/>
    <w:pPr>
      <w:spacing w:before="3000"/>
      <w:jc w:val="right"/>
    </w:pPr>
    <w:rPr>
      <w:b/>
      <w:bCs/>
      <w:sz w:val="32"/>
      <w:szCs w:val="32"/>
    </w:rPr>
  </w:style>
  <w:style w:type="character" w:customStyle="1" w:styleId="TitleChar">
    <w:name w:val="Title Char"/>
    <w:basedOn w:val="DefaultParagraphFont"/>
    <w:link w:val="Title"/>
    <w:uiPriority w:val="99"/>
    <w:rsid w:val="00F9074B"/>
    <w:rPr>
      <w:b/>
      <w:bCs/>
      <w:sz w:val="32"/>
      <w:szCs w:val="32"/>
    </w:rPr>
  </w:style>
  <w:style w:type="character" w:styleId="IntenseEmphasis">
    <w:name w:val="Intense Emphasis"/>
    <w:basedOn w:val="DefaultParagraphFont"/>
    <w:uiPriority w:val="21"/>
    <w:qFormat/>
    <w:rsid w:val="000206A5"/>
    <w:rPr>
      <w:i/>
      <w:iCs/>
      <w:color w:val="4F81BD" w:themeColor="accent1"/>
    </w:rPr>
  </w:style>
  <w:style w:type="table" w:styleId="TableGrid">
    <w:name w:val="Table Grid"/>
    <w:basedOn w:val="TableNormal"/>
    <w:uiPriority w:val="99"/>
    <w:rsid w:val="00B85C4D"/>
    <w:pPr>
      <w:spacing w:after="0" w:line="240" w:lineRule="auto"/>
    </w:pPr>
    <w:rPr>
      <w:rFonts w:eastAsia="Times New Roman"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character" w:styleId="CommentReference">
    <w:name w:val="annotation reference"/>
    <w:basedOn w:val="DefaultParagraphFont"/>
    <w:uiPriority w:val="99"/>
    <w:semiHidden/>
    <w:unhideWhenUsed/>
    <w:rsid w:val="002D1591"/>
    <w:rPr>
      <w:sz w:val="16"/>
      <w:szCs w:val="16"/>
    </w:rPr>
  </w:style>
  <w:style w:type="paragraph" w:styleId="CommentText">
    <w:name w:val="annotation text"/>
    <w:basedOn w:val="Normal"/>
    <w:link w:val="CommentTextChar"/>
    <w:uiPriority w:val="99"/>
    <w:semiHidden/>
    <w:unhideWhenUsed/>
    <w:rsid w:val="002D1591"/>
    <w:rPr>
      <w:sz w:val="20"/>
      <w:szCs w:val="20"/>
    </w:rPr>
  </w:style>
  <w:style w:type="character" w:customStyle="1" w:styleId="CommentTextChar">
    <w:name w:val="Comment Text Char"/>
    <w:basedOn w:val="DefaultParagraphFont"/>
    <w:link w:val="CommentText"/>
    <w:uiPriority w:val="99"/>
    <w:semiHidden/>
    <w:rsid w:val="002D159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1591"/>
    <w:rPr>
      <w:b/>
      <w:bCs/>
    </w:rPr>
  </w:style>
  <w:style w:type="character" w:customStyle="1" w:styleId="CommentSubjectChar">
    <w:name w:val="Comment Subject Char"/>
    <w:basedOn w:val="CommentTextChar"/>
    <w:link w:val="CommentSubject"/>
    <w:uiPriority w:val="99"/>
    <w:semiHidden/>
    <w:rsid w:val="002D159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D1591"/>
    <w:rPr>
      <w:rFonts w:ascii="Tahoma" w:hAnsi="Tahoma" w:cs="Tahoma"/>
      <w:sz w:val="16"/>
      <w:szCs w:val="16"/>
    </w:rPr>
  </w:style>
  <w:style w:type="character" w:customStyle="1" w:styleId="BalloonTextChar">
    <w:name w:val="Balloon Text Char"/>
    <w:basedOn w:val="DefaultParagraphFont"/>
    <w:link w:val="BalloonText"/>
    <w:uiPriority w:val="99"/>
    <w:semiHidden/>
    <w:rsid w:val="002D1591"/>
    <w:rPr>
      <w:rFonts w:ascii="Tahoma" w:eastAsia="Times New Roman" w:hAnsi="Tahoma" w:cs="Tahoma"/>
      <w:sz w:val="16"/>
      <w:szCs w:val="16"/>
      <w:lang w:eastAsia="en-AU"/>
    </w:rPr>
  </w:style>
  <w:style w:type="paragraph" w:styleId="ListParagraph">
    <w:name w:val="List Paragraph"/>
    <w:basedOn w:val="Normal"/>
    <w:uiPriority w:val="34"/>
    <w:qFormat/>
    <w:rsid w:val="00B746F1"/>
    <w:pPr>
      <w:numPr>
        <w:numId w:val="28"/>
      </w:numPr>
      <w:contextualSpacing/>
    </w:pPr>
  </w:style>
  <w:style w:type="character" w:styleId="Emphasis">
    <w:name w:val="Emphasis"/>
    <w:basedOn w:val="DefaultParagraphFont"/>
    <w:uiPriority w:val="20"/>
    <w:qFormat/>
    <w:rsid w:val="00FF7BDD"/>
    <w:rPr>
      <w:i/>
      <w:iCs/>
    </w:rPr>
  </w:style>
  <w:style w:type="paragraph" w:styleId="FootnoteText">
    <w:name w:val="footnote text"/>
    <w:basedOn w:val="Normal"/>
    <w:link w:val="FootnoteTextChar"/>
    <w:uiPriority w:val="99"/>
    <w:semiHidden/>
    <w:unhideWhenUsed/>
    <w:rsid w:val="003B2EC3"/>
    <w:rPr>
      <w:sz w:val="20"/>
      <w:szCs w:val="20"/>
    </w:rPr>
  </w:style>
  <w:style w:type="character" w:customStyle="1" w:styleId="FootnoteTextChar">
    <w:name w:val="Footnote Text Char"/>
    <w:basedOn w:val="DefaultParagraphFont"/>
    <w:link w:val="FootnoteText"/>
    <w:uiPriority w:val="99"/>
    <w:semiHidden/>
    <w:rsid w:val="003B2EC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3B2EC3"/>
    <w:rPr>
      <w:vertAlign w:val="superscript"/>
    </w:rPr>
  </w:style>
  <w:style w:type="paragraph" w:styleId="EndnoteText">
    <w:name w:val="endnote text"/>
    <w:basedOn w:val="Normal"/>
    <w:link w:val="EndnoteTextChar"/>
    <w:uiPriority w:val="99"/>
    <w:semiHidden/>
    <w:unhideWhenUsed/>
    <w:rsid w:val="008C4CA8"/>
    <w:rPr>
      <w:sz w:val="20"/>
      <w:szCs w:val="20"/>
    </w:rPr>
  </w:style>
  <w:style w:type="character" w:customStyle="1" w:styleId="EndnoteTextChar">
    <w:name w:val="Endnote Text Char"/>
    <w:basedOn w:val="DefaultParagraphFont"/>
    <w:link w:val="EndnoteText"/>
    <w:uiPriority w:val="99"/>
    <w:semiHidden/>
    <w:rsid w:val="008C4CA8"/>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8C4CA8"/>
    <w:rPr>
      <w:vertAlign w:val="superscript"/>
    </w:rPr>
  </w:style>
  <w:style w:type="character" w:styleId="Hyperlink">
    <w:name w:val="Hyperlink"/>
    <w:basedOn w:val="DefaultParagraphFont"/>
    <w:uiPriority w:val="99"/>
    <w:unhideWhenUsed/>
    <w:rsid w:val="00376F4C"/>
    <w:rPr>
      <w:color w:val="0000FF" w:themeColor="hyperlink"/>
      <w:u w:val="single"/>
    </w:rPr>
  </w:style>
  <w:style w:type="character" w:customStyle="1" w:styleId="italic">
    <w:name w:val="italic"/>
    <w:uiPriority w:val="99"/>
    <w:rsid w:val="007E2545"/>
    <w:rPr>
      <w:i/>
      <w:iCs/>
    </w:rPr>
  </w:style>
  <w:style w:type="paragraph" w:customStyle="1" w:styleId="indentedbullets">
    <w:name w:val="indented bullets"/>
    <w:basedOn w:val="Normal"/>
    <w:uiPriority w:val="99"/>
    <w:rsid w:val="007A7363"/>
    <w:pPr>
      <w:widowControl w:val="0"/>
      <w:suppressAutoHyphens/>
      <w:autoSpaceDE w:val="0"/>
      <w:autoSpaceDN w:val="0"/>
      <w:adjustRightInd w:val="0"/>
      <w:spacing w:after="85" w:line="230" w:lineRule="atLeast"/>
      <w:ind w:left="567" w:hanging="170"/>
      <w:textAlignment w:val="center"/>
    </w:pPr>
    <w:rPr>
      <w:rFonts w:ascii="TimesNewRomanPSMT" w:hAnsi="TimesNewRomanPSMT" w:cs="TimesNewRomanPSMT"/>
      <w:color w:val="000000"/>
      <w:sz w:val="19"/>
      <w:szCs w:val="19"/>
      <w:lang w:val="en-GB"/>
    </w:rPr>
  </w:style>
  <w:style w:type="paragraph" w:customStyle="1" w:styleId="Default">
    <w:name w:val="Default"/>
    <w:rsid w:val="004F68E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E173B"/>
    <w:pPr>
      <w:spacing w:before="100" w:beforeAutospacing="1" w:after="100" w:afterAutospacing="1"/>
    </w:pPr>
    <w:rPr>
      <w:rFonts w:eastAsiaTheme="minorEastAsia"/>
    </w:rPr>
  </w:style>
  <w:style w:type="paragraph" w:styleId="Revision">
    <w:name w:val="Revision"/>
    <w:hidden/>
    <w:uiPriority w:val="99"/>
    <w:semiHidden/>
    <w:rsid w:val="00164658"/>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F55E1"/>
    <w:rPr>
      <w:color w:val="800080" w:themeColor="followedHyperlink"/>
      <w:u w:val="single"/>
    </w:rPr>
  </w:style>
  <w:style w:type="numbering" w:customStyle="1" w:styleId="List19">
    <w:name w:val="List 19"/>
    <w:basedOn w:val="NoList"/>
    <w:rsid w:val="00B865B9"/>
    <w:pPr>
      <w:numPr>
        <w:numId w:val="41"/>
      </w:numPr>
    </w:pPr>
  </w:style>
  <w:style w:type="paragraph" w:styleId="Caption">
    <w:name w:val="caption"/>
    <w:basedOn w:val="Normal"/>
    <w:next w:val="Normal"/>
    <w:uiPriority w:val="35"/>
    <w:unhideWhenUsed/>
    <w:qFormat/>
    <w:rsid w:val="00990186"/>
    <w:pPr>
      <w:spacing w:after="200"/>
    </w:pPr>
    <w:rPr>
      <w:i/>
      <w:iCs/>
      <w:color w:val="1F497D" w:themeColor="text2"/>
      <w:sz w:val="18"/>
      <w:szCs w:val="18"/>
    </w:rPr>
  </w:style>
  <w:style w:type="character" w:styleId="SubtleEmphasis">
    <w:name w:val="Subtle Emphasis"/>
    <w:basedOn w:val="DefaultParagraphFont"/>
    <w:uiPriority w:val="19"/>
    <w:qFormat/>
    <w:rsid w:val="00E16A88"/>
    <w:rPr>
      <w:i/>
      <w:iCs/>
      <w:color w:val="404040" w:themeColor="text1" w:themeTint="BF"/>
    </w:rPr>
  </w:style>
  <w:style w:type="character" w:customStyle="1" w:styleId="Heading5Char">
    <w:name w:val="Heading 5 Char"/>
    <w:basedOn w:val="DefaultParagraphFont"/>
    <w:link w:val="Heading5"/>
    <w:uiPriority w:val="9"/>
    <w:rsid w:val="002F46C6"/>
    <w:rPr>
      <w:rFonts w:ascii="Verdana" w:hAnsi="Verdana" w:cs="Verdana"/>
      <w:b/>
      <w:bCs/>
      <w:iCs/>
    </w:rPr>
  </w:style>
  <w:style w:type="character" w:customStyle="1" w:styleId="Heading3Char">
    <w:name w:val="Heading 3 Char"/>
    <w:basedOn w:val="DefaultParagraphFont"/>
    <w:link w:val="Heading3"/>
    <w:uiPriority w:val="9"/>
    <w:rsid w:val="005375FD"/>
    <w:rPr>
      <w:color w:val="595959" w:themeColor="text1" w:themeTint="A6"/>
    </w:rPr>
  </w:style>
  <w:style w:type="character" w:styleId="Strong">
    <w:name w:val="Strong"/>
    <w:basedOn w:val="DefaultParagraphFont"/>
    <w:uiPriority w:val="22"/>
    <w:qFormat/>
    <w:rsid w:val="00B85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9624">
      <w:bodyDiv w:val="1"/>
      <w:marLeft w:val="0"/>
      <w:marRight w:val="0"/>
      <w:marTop w:val="0"/>
      <w:marBottom w:val="0"/>
      <w:divBdr>
        <w:top w:val="none" w:sz="0" w:space="0" w:color="auto"/>
        <w:left w:val="none" w:sz="0" w:space="0" w:color="auto"/>
        <w:bottom w:val="none" w:sz="0" w:space="0" w:color="auto"/>
        <w:right w:val="none" w:sz="0" w:space="0" w:color="auto"/>
      </w:divBdr>
    </w:div>
    <w:div w:id="5179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resource-centre/regulation/best-practice-regulation-guide-ministerial-councils-and-national-standard-setting-bodi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pmc.gov.au/resource-centre/regulation/australian-government-ris-preliminary-assessment-form-ris-requir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mc.gov.au/resource-centre/regulation/best-practice-regulation-guide-ministerial-councils-and-national-standard-setting-bodi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reasury.govt.nz/information-and-services/regulation/impact-analysis-requirements-regulatory-proposals" TargetMode="External"/><Relationship Id="rId10" Type="http://schemas.openxmlformats.org/officeDocument/2006/relationships/hyperlink" Target="http://foodregulation.gov.au/internet/fr/publishing.nsf/Content/Food-polic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mc.gov.au/resource-centre/regulation/australian-government-guide-regulatio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364885CA-92A9-48C6-92C9-F16EF7D240C6}">
  <ds:schemaRefs>
    <ds:schemaRef ds:uri="http://schemas.openxmlformats.org/officeDocument/2006/bibliography"/>
  </ds:schemaRefs>
</ds:datastoreItem>
</file>

<file path=customXml/itemProps2.xml><?xml version="1.0" encoding="utf-8"?>
<ds:datastoreItem xmlns:ds="http://schemas.openxmlformats.org/officeDocument/2006/customXml" ds:itemID="{E247FE7A-7A0C-47D5-885B-ABF5C6DF39E9}"/>
</file>

<file path=customXml/itemProps3.xml><?xml version="1.0" encoding="utf-8"?>
<ds:datastoreItem xmlns:ds="http://schemas.openxmlformats.org/officeDocument/2006/customXml" ds:itemID="{4BDF5203-E2A7-4032-9B78-EA3DE47389AE}"/>
</file>

<file path=customXml/itemProps4.xml><?xml version="1.0" encoding="utf-8"?>
<ds:datastoreItem xmlns:ds="http://schemas.openxmlformats.org/officeDocument/2006/customXml" ds:itemID="{2C372908-F94D-4621-9168-3CD3DF714C67}"/>
</file>

<file path=docProps/app.xml><?xml version="1.0" encoding="utf-8"?>
<Properties xmlns="http://schemas.openxmlformats.org/officeDocument/2006/extended-properties" xmlns:vt="http://schemas.openxmlformats.org/officeDocument/2006/docPropsVTypes">
  <Template>Normal.dotm</Template>
  <TotalTime>9</TotalTime>
  <Pages>9</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Principles and protocols for the development of Food regulation policy guidelines</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and protocols for the development of Food regulation policy guidelines</dc:title>
  <dc:subject>Policy and regulation</dc:subject>
  <dc:creator>Australia and New Zealand Ministerial Forum on Food Regulation</dc:creator>
  <cp:keywords>Food Regulation Policy Framework; identifying issues; initial assessment; first gateway; policy advice; second gateway; communication and engagement</cp:keywords>
  <dc:description>_x000d_
</dc:description>
  <cp:lastModifiedBy>MORRISON, Lisa</cp:lastModifiedBy>
  <cp:revision>5</cp:revision>
  <cp:lastPrinted>2019-02-26T03:01:00Z</cp:lastPrinted>
  <dcterms:created xsi:type="dcterms:W3CDTF">2023-08-09T01:08:00Z</dcterms:created>
  <dcterms:modified xsi:type="dcterms:W3CDTF">2023-08-09T02:29:00Z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