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header6.xml" ContentType="application/vnd.openxmlformats-officedocument.wordprocessingml.header+xml"/>
  <Override PartName="/word/header2.xml" ContentType="application/vnd.openxmlformats-officedocument.wordprocessingml.header+xml"/>
  <Override PartName="/word/header4.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1.xml" ContentType="application/vnd.openxmlformats-officedocument.wordprocessingml.header+xml"/>
  <Override PartName="/word/header1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5.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A48C9" w14:textId="77777777" w:rsidR="008D6885" w:rsidRPr="00A00B62" w:rsidRDefault="008D6885">
      <w:pPr>
        <w:rPr>
          <w:rFonts w:ascii="OpenSansRegular" w:hAnsi="OpenSansRegular" w:cs="OpenSansRegular"/>
        </w:rPr>
      </w:pPr>
      <w:r w:rsidRPr="00A00B62">
        <w:rPr>
          <w:rFonts w:ascii="OpenSansRegular" w:hAnsi="OpenSansRegular" w:cs="OpenSansRegular"/>
          <w:noProof/>
          <w:lang w:eastAsia="en-AU"/>
        </w:rPr>
        <mc:AlternateContent>
          <mc:Choice Requires="wps">
            <w:drawing>
              <wp:anchor distT="0" distB="0" distL="114300" distR="114300" simplePos="0" relativeHeight="251652608" behindDoc="0" locked="0" layoutInCell="1" allowOverlap="1" wp14:anchorId="43C3693B" wp14:editId="52C639CD">
                <wp:simplePos x="0" y="0"/>
                <wp:positionH relativeFrom="margin">
                  <wp:posOffset>-922655</wp:posOffset>
                </wp:positionH>
                <wp:positionV relativeFrom="paragraph">
                  <wp:posOffset>-1303655</wp:posOffset>
                </wp:positionV>
                <wp:extent cx="7575550" cy="11212642"/>
                <wp:effectExtent l="0" t="0" r="25400" b="2730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75550" cy="11212642"/>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E91CE" id="Rectangle 1" o:spid="_x0000_s1026" alt="&quot;&quot;" style="position:absolute;margin-left:-72.65pt;margin-top:-102.65pt;width:596.5pt;height:882.9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" fillcolor="black [3200]" strokecolor="black [1600]" strokeweight="1pt">
                <w10:wrap anchorx="margin"/>
              </v:rect>
            </w:pict>
          </mc:Fallback>
        </mc:AlternateContent>
      </w:r>
      <w:r w:rsidRPr="00A00B62">
        <w:rPr>
          <w:rFonts w:ascii="OpenSansRegular" w:hAnsi="OpenSansRegular" w:cs="OpenSansRegular"/>
          <w:noProof/>
          <w:lang w:eastAsia="en-AU"/>
        </w:rPr>
        <w:drawing>
          <wp:anchor distT="0" distB="0" distL="114300" distR="114300" simplePos="0" relativeHeight="251662848" behindDoc="1" locked="0" layoutInCell="1" allowOverlap="1" wp14:anchorId="7BFA1889" wp14:editId="36B68D4E">
            <wp:simplePos x="0" y="0"/>
            <wp:positionH relativeFrom="column">
              <wp:posOffset>0</wp:posOffset>
            </wp:positionH>
            <wp:positionV relativeFrom="paragraph">
              <wp:posOffset>0</wp:posOffset>
            </wp:positionV>
            <wp:extent cx="1937385" cy="363855"/>
            <wp:effectExtent l="0" t="0" r="5715" b="0"/>
            <wp:wrapTopAndBottom/>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7385" cy="363855"/>
                    </a:xfrm>
                    <a:prstGeom prst="rect">
                      <a:avLst/>
                    </a:prstGeom>
                    <a:noFill/>
                    <a:ln>
                      <a:noFill/>
                    </a:ln>
                  </pic:spPr>
                </pic:pic>
              </a:graphicData>
            </a:graphic>
          </wp:anchor>
        </w:drawing>
      </w:r>
    </w:p>
    <w:p w14:paraId="5A97079B" w14:textId="06439DFB" w:rsidR="002B2B4F" w:rsidRDefault="00A23293">
      <w:pPr>
        <w:pStyle w:val="TOCHeading"/>
        <w:rPr>
          <w:rFonts w:ascii="OpenSansRegular" w:hAnsi="OpenSansRegular" w:cs="OpenSansRegular"/>
        </w:rPr>
      </w:pPr>
      <w:r>
        <w:rPr>
          <w:rFonts w:ascii="OpenSansRegular" w:hAnsi="OpenSansRegular" w:cs="OpenSansRegular"/>
          <w:noProof/>
          <w:lang w:val="en-AU" w:eastAsia="en-AU"/>
        </w:rPr>
        <w:drawing>
          <wp:anchor distT="0" distB="0" distL="114300" distR="114300" simplePos="0" relativeHeight="251659264" behindDoc="0" locked="0" layoutInCell="1" allowOverlap="1" wp14:anchorId="52F7EB35" wp14:editId="0FE31438">
            <wp:simplePos x="0" y="0"/>
            <wp:positionH relativeFrom="margin">
              <wp:align>center</wp:align>
            </wp:positionH>
            <wp:positionV relativeFrom="paragraph">
              <wp:posOffset>820199</wp:posOffset>
            </wp:positionV>
            <wp:extent cx="5078730" cy="4954270"/>
            <wp:effectExtent l="57150" t="57150" r="45720" b="55880"/>
            <wp:wrapTopAndBottom/>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9">
                      <a:extLst>
                        <a:ext uri="{28A0092B-C50C-407E-A947-70E740481C1C}">
                          <a14:useLocalDpi xmlns:a14="http://schemas.microsoft.com/office/drawing/2010/main" val="0"/>
                        </a:ext>
                      </a:extLst>
                    </a:blip>
                    <a:srcRect l="13147" t="13681" r="13436" b="14578"/>
                    <a:stretch/>
                  </pic:blipFill>
                  <pic:spPr bwMode="auto">
                    <a:xfrm>
                      <a:off x="0" y="0"/>
                      <a:ext cx="5078730" cy="4954270"/>
                    </a:xfrm>
                    <a:prstGeom prst="ellipse">
                      <a:avLst/>
                    </a:prstGeom>
                    <a:ln w="63500" cap="rnd" cmpd="sng" algn="ctr">
                      <a:noFill/>
                      <a:prstDash val="solid"/>
                      <a:round/>
                      <a:headEnd type="none" w="med" len="med"/>
                      <a:tailEnd type="none" w="med" len="med"/>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786B" w:rsidRPr="00A00B62">
        <w:rPr>
          <w:rFonts w:ascii="OpenSansRegular" w:hAnsi="OpenSansRegular" w:cs="OpenSansRegular"/>
          <w:noProof/>
          <w:lang w:val="en-AU" w:eastAsia="en-AU"/>
        </w:rPr>
        <mc:AlternateContent>
          <mc:Choice Requires="wps">
            <w:drawing>
              <wp:anchor distT="0" distB="0" distL="114300" distR="114300" simplePos="0" relativeHeight="251657216" behindDoc="0" locked="0" layoutInCell="1" allowOverlap="1" wp14:anchorId="0A1D49F0" wp14:editId="79206940">
                <wp:simplePos x="0" y="0"/>
                <wp:positionH relativeFrom="margin">
                  <wp:posOffset>-412750</wp:posOffset>
                </wp:positionH>
                <wp:positionV relativeFrom="paragraph">
                  <wp:posOffset>6398895</wp:posOffset>
                </wp:positionV>
                <wp:extent cx="5721350" cy="1666240"/>
                <wp:effectExtent l="0" t="0" r="0" b="0"/>
                <wp:wrapNone/>
                <wp:docPr id="7" name="Subtit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5721350" cy="1666240"/>
                        </a:xfrm>
                        <a:prstGeom prst="rect">
                          <a:avLst/>
                        </a:prstGeom>
                      </wps:spPr>
                      <wps:txbx>
                        <w:txbxContent>
                          <w:p w14:paraId="36667E70" w14:textId="77777777" w:rsidR="00AF4A89" w:rsidRPr="00ED06BD" w:rsidRDefault="00AF4A89" w:rsidP="0030786B">
                            <w:pPr>
                              <w:pStyle w:val="Bodycopy"/>
                              <w:spacing w:after="120"/>
                              <w:rPr>
                                <w:rFonts w:ascii="Verdana" w:hAnsi="Verdana" w:cs="OpenSansRegular"/>
                                <w:b/>
                                <w:sz w:val="32"/>
                              </w:rPr>
                            </w:pPr>
                            <w:r w:rsidRPr="00ED06BD">
                              <w:rPr>
                                <w:rFonts w:ascii="Verdana" w:hAnsi="Verdana" w:cs="OpenSansRegular"/>
                                <w:b/>
                                <w:bCs/>
                                <w:color w:val="FFFFFF" w:themeColor="background1"/>
                                <w:kern w:val="24"/>
                                <w:sz w:val="44"/>
                                <w:szCs w:val="36"/>
                              </w:rPr>
                              <w:t>Department of Health</w:t>
                            </w:r>
                          </w:p>
                          <w:p w14:paraId="150D57D2" w14:textId="77777777" w:rsidR="00AF4A89" w:rsidRPr="00AE17ED" w:rsidRDefault="00AF4A89" w:rsidP="008D6885">
                            <w:pPr>
                              <w:spacing w:after="120"/>
                              <w:rPr>
                                <w:rFonts w:ascii="OpenSansRegular" w:hAnsi="OpenSansRegular" w:cs="OpenSansRegular"/>
                                <w:sz w:val="28"/>
                              </w:rPr>
                            </w:pPr>
                            <w:r>
                              <w:rPr>
                                <w:rFonts w:ascii="Verdana" w:hAnsi="Verdana" w:cs="OpenSansRegular"/>
                                <w:bCs/>
                                <w:color w:val="FFFFFF" w:themeColor="background1"/>
                                <w:kern w:val="24"/>
                                <w:sz w:val="40"/>
                                <w:szCs w:val="36"/>
                              </w:rPr>
                              <w:t>Sports Supplements Roundtable</w:t>
                            </w:r>
                            <w:r w:rsidRPr="00ED06BD">
                              <w:rPr>
                                <w:rFonts w:ascii="Verdana" w:hAnsi="Verdana" w:cs="OpenSansRegular"/>
                                <w:bCs/>
                                <w:color w:val="FFFFFF" w:themeColor="background1"/>
                                <w:kern w:val="24"/>
                                <w:sz w:val="40"/>
                                <w:szCs w:val="36"/>
                              </w:rPr>
                              <w:t>:</w:t>
                            </w:r>
                            <w:r w:rsidRPr="00ED06BD">
                              <w:rPr>
                                <w:rFonts w:ascii="Verdana" w:hAnsi="Verdana" w:cs="OpenSansRegular"/>
                                <w:bCs/>
                                <w:color w:val="FFFFFF" w:themeColor="background1"/>
                                <w:kern w:val="24"/>
                                <w:sz w:val="40"/>
                                <w:szCs w:val="36"/>
                              </w:rPr>
                              <w:br/>
                              <w:t>Re</w:t>
                            </w:r>
                            <w:r>
                              <w:rPr>
                                <w:rFonts w:ascii="Verdana" w:hAnsi="Verdana" w:cs="OpenSansRegular"/>
                                <w:bCs/>
                                <w:color w:val="FFFFFF" w:themeColor="background1"/>
                                <w:kern w:val="24"/>
                                <w:sz w:val="40"/>
                                <w:szCs w:val="36"/>
                              </w:rPr>
                              <w:t>port on Discussions and Next Steps</w:t>
                            </w:r>
                          </w:p>
                        </w:txbxContent>
                      </wps:txbx>
                      <wps:bodyPr vert="horz" lIns="0" tIns="0" rIns="0" bIns="0" rtlCol="0" anchor="b" anchorCtr="0">
                        <a:noAutofit/>
                      </wps:bodyPr>
                    </wps:wsp>
                  </a:graphicData>
                </a:graphic>
                <wp14:sizeRelV relativeFrom="margin">
                  <wp14:pctHeight>0</wp14:pctHeight>
                </wp14:sizeRelV>
              </wp:anchor>
            </w:drawing>
          </mc:Choice>
          <mc:Fallback>
            <w:pict>
              <v:rect w14:anchorId="0A1D49F0" id="Subtitle 3" o:spid="_x0000_s1026" alt="&quot;&quot;" style="position:absolute;margin-left:-32.5pt;margin-top:503.85pt;width:450.5pt;height:131.2pt;z-index:251657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bottom"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" filled="f" stroked="f">
                <o:lock v:ext="edit" grouping="t"/>
                <v:textbox inset="0,0,0,0">
                  <w:txbxContent>
                    <w:p w14:paraId="36667E70" w14:textId="77777777" w:rsidR="00AF4A89" w:rsidRPr="00ED06BD" w:rsidRDefault="00AF4A89" w:rsidP="0030786B">
                      <w:pPr>
                        <w:pStyle w:val="Bodycopy"/>
                        <w:spacing w:after="120"/>
                        <w:rPr>
                          <w:rFonts w:ascii="Verdana" w:hAnsi="Verdana" w:cs="OpenSansRegular"/>
                          <w:b/>
                          <w:sz w:val="32"/>
                        </w:rPr>
                      </w:pPr>
                      <w:r w:rsidRPr="00ED06BD">
                        <w:rPr>
                          <w:rFonts w:ascii="Verdana" w:hAnsi="Verdana" w:cs="OpenSansRegular"/>
                          <w:b/>
                          <w:bCs/>
                          <w:color w:val="FFFFFF" w:themeColor="background1"/>
                          <w:kern w:val="24"/>
                          <w:sz w:val="44"/>
                          <w:szCs w:val="36"/>
                        </w:rPr>
                        <w:t>Department of Health</w:t>
                      </w:r>
                    </w:p>
                    <w:p w14:paraId="150D57D2" w14:textId="77777777" w:rsidR="00AF4A89" w:rsidRPr="00AE17ED" w:rsidRDefault="00AF4A89" w:rsidP="008D6885">
                      <w:pPr>
                        <w:spacing w:after="120"/>
                        <w:rPr>
                          <w:rFonts w:ascii="OpenSansRegular" w:hAnsi="OpenSansRegular" w:cs="OpenSansRegular"/>
                          <w:sz w:val="28"/>
                        </w:rPr>
                      </w:pPr>
                      <w:r>
                        <w:rPr>
                          <w:rFonts w:ascii="Verdana" w:hAnsi="Verdana" w:cs="OpenSansRegular"/>
                          <w:bCs/>
                          <w:color w:val="FFFFFF" w:themeColor="background1"/>
                          <w:kern w:val="24"/>
                          <w:sz w:val="40"/>
                          <w:szCs w:val="36"/>
                        </w:rPr>
                        <w:t>Sports Supplements Roundtable</w:t>
                      </w:r>
                      <w:r w:rsidRPr="00ED06BD">
                        <w:rPr>
                          <w:rFonts w:ascii="Verdana" w:hAnsi="Verdana" w:cs="OpenSansRegular"/>
                          <w:bCs/>
                          <w:color w:val="FFFFFF" w:themeColor="background1"/>
                          <w:kern w:val="24"/>
                          <w:sz w:val="40"/>
                          <w:szCs w:val="36"/>
                        </w:rPr>
                        <w:t>:</w:t>
                      </w:r>
                      <w:r w:rsidRPr="00ED06BD">
                        <w:rPr>
                          <w:rFonts w:ascii="Verdana" w:hAnsi="Verdana" w:cs="OpenSansRegular"/>
                          <w:bCs/>
                          <w:color w:val="FFFFFF" w:themeColor="background1"/>
                          <w:kern w:val="24"/>
                          <w:sz w:val="40"/>
                          <w:szCs w:val="36"/>
                        </w:rPr>
                        <w:br/>
                        <w:t>Re</w:t>
                      </w:r>
                      <w:r>
                        <w:rPr>
                          <w:rFonts w:ascii="Verdana" w:hAnsi="Verdana" w:cs="OpenSansRegular"/>
                          <w:bCs/>
                          <w:color w:val="FFFFFF" w:themeColor="background1"/>
                          <w:kern w:val="24"/>
                          <w:sz w:val="40"/>
                          <w:szCs w:val="36"/>
                        </w:rPr>
                        <w:t>port on Discussions and Next Steps</w:t>
                      </w:r>
                    </w:p>
                  </w:txbxContent>
                </v:textbox>
                <w10:wrap anchorx="margin"/>
              </v:rect>
            </w:pict>
          </mc:Fallback>
        </mc:AlternateContent>
      </w:r>
      <w:r w:rsidR="008D6885" w:rsidRPr="00A00B62">
        <w:rPr>
          <w:rFonts w:ascii="OpenSansRegular" w:hAnsi="OpenSansRegular" w:cs="OpenSansRegular"/>
          <w:noProof/>
          <w:lang w:val="en-AU" w:eastAsia="en-AU"/>
        </w:rPr>
        <mc:AlternateContent>
          <mc:Choice Requires="wps">
            <w:drawing>
              <wp:anchor distT="0" distB="0" distL="114300" distR="114300" simplePos="0" relativeHeight="251657728" behindDoc="0" locked="0" layoutInCell="1" allowOverlap="1" wp14:anchorId="3BA5C1EC" wp14:editId="6B72C3DE">
                <wp:simplePos x="0" y="0"/>
                <wp:positionH relativeFrom="margin">
                  <wp:posOffset>-412750</wp:posOffset>
                </wp:positionH>
                <wp:positionV relativeFrom="paragraph">
                  <wp:posOffset>8114030</wp:posOffset>
                </wp:positionV>
                <wp:extent cx="4195445" cy="298450"/>
                <wp:effectExtent l="0" t="0" r="0" b="0"/>
                <wp:wrapNone/>
                <wp:docPr id="10" name="Text Placeholder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195445" cy="298450"/>
                        </a:xfrm>
                        <a:prstGeom prst="rect">
                          <a:avLst/>
                        </a:prstGeom>
                      </wps:spPr>
                      <wps:txbx>
                        <w:txbxContent>
                          <w:p w14:paraId="53EA0C40" w14:textId="77777777" w:rsidR="00AF4A89" w:rsidRPr="00ED06BD" w:rsidRDefault="00AF4A89" w:rsidP="008D6885">
                            <w:pPr>
                              <w:spacing w:after="0"/>
                              <w:rPr>
                                <w:rFonts w:ascii="Verdana" w:hAnsi="Verdana" w:cs="OpenSansRegular"/>
                                <w:sz w:val="26"/>
                              </w:rPr>
                            </w:pPr>
                            <w:r>
                              <w:rPr>
                                <w:rFonts w:ascii="Verdana" w:hAnsi="Verdana" w:cs="OpenSansRegular"/>
                                <w:color w:val="FFFFFF" w:themeColor="background1"/>
                                <w:kern w:val="24"/>
                                <w:sz w:val="23"/>
                                <w:szCs w:val="21"/>
                                <w:lang w:val="en-US"/>
                              </w:rPr>
                              <w:t>August</w:t>
                            </w:r>
                            <w:r w:rsidRPr="00ED06BD">
                              <w:rPr>
                                <w:rFonts w:ascii="Verdana" w:hAnsi="Verdana" w:cs="OpenSansRegular"/>
                                <w:color w:val="FFFFFF" w:themeColor="background1"/>
                                <w:kern w:val="24"/>
                                <w:sz w:val="23"/>
                                <w:szCs w:val="21"/>
                                <w:lang w:val="en-US"/>
                              </w:rPr>
                              <w:t xml:space="preserve"> 2018</w:t>
                            </w:r>
                          </w:p>
                        </w:txbxContent>
                      </wps:txbx>
                      <wps:bodyPr vert="horz" lIns="0" tIns="0" rIns="0" bIns="0" rtlCol="0">
                        <a:noAutofit/>
                      </wps:bodyPr>
                    </wps:wsp>
                  </a:graphicData>
                </a:graphic>
              </wp:anchor>
            </w:drawing>
          </mc:Choice>
          <mc:Fallback>
            <w:pict>
              <v:rect w14:anchorId="3BA5C1EC" id="Text Placeholder 4" o:spid="_x0000_s1027" alt="&quot;&quot;" style="position:absolute;margin-left:-32.5pt;margin-top:638.9pt;width:330.35pt;height:23.5pt;z-index:2516577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" filled="f" stroked="f">
                <o:lock v:ext="edit" grouping="t"/>
                <v:textbox inset="0,0,0,0">
                  <w:txbxContent>
                    <w:p w14:paraId="53EA0C40" w14:textId="77777777" w:rsidR="00AF4A89" w:rsidRPr="00ED06BD" w:rsidRDefault="00AF4A89" w:rsidP="008D6885">
                      <w:pPr>
                        <w:spacing w:after="0"/>
                        <w:rPr>
                          <w:rFonts w:ascii="Verdana" w:hAnsi="Verdana" w:cs="OpenSansRegular"/>
                          <w:sz w:val="26"/>
                        </w:rPr>
                      </w:pPr>
                      <w:r>
                        <w:rPr>
                          <w:rFonts w:ascii="Verdana" w:hAnsi="Verdana" w:cs="OpenSansRegular"/>
                          <w:color w:val="FFFFFF" w:themeColor="background1"/>
                          <w:kern w:val="24"/>
                          <w:sz w:val="23"/>
                          <w:szCs w:val="21"/>
                          <w:lang w:val="en-US"/>
                        </w:rPr>
                        <w:t>August</w:t>
                      </w:r>
                      <w:r w:rsidRPr="00ED06BD">
                        <w:rPr>
                          <w:rFonts w:ascii="Verdana" w:hAnsi="Verdana" w:cs="OpenSansRegular"/>
                          <w:color w:val="FFFFFF" w:themeColor="background1"/>
                          <w:kern w:val="24"/>
                          <w:sz w:val="23"/>
                          <w:szCs w:val="21"/>
                          <w:lang w:val="en-US"/>
                        </w:rPr>
                        <w:t xml:space="preserve"> 2018</w:t>
                      </w:r>
                    </w:p>
                  </w:txbxContent>
                </v:textbox>
                <w10:wrap anchorx="margin"/>
              </v:rect>
            </w:pict>
          </mc:Fallback>
        </mc:AlternateContent>
      </w:r>
      <w:r w:rsidR="008D6885" w:rsidRPr="00A00B62">
        <w:rPr>
          <w:rFonts w:ascii="OpenSansRegular" w:hAnsi="OpenSansRegular" w:cs="OpenSansRegular"/>
        </w:rPr>
        <w:br w:type="page"/>
      </w:r>
    </w:p>
    <w:sdt>
      <w:sdtPr>
        <w:rPr>
          <w:rFonts w:ascii="Verdana" w:hAnsi="Verdana" w:cs="OpenSansRegular"/>
          <w:color w:val="000000" w:themeColor="text1"/>
          <w:sz w:val="40"/>
        </w:rPr>
        <w:id w:val="-1160845797"/>
        <w:docPartObj>
          <w:docPartGallery w:val="Table of Contents"/>
          <w:docPartUnique/>
        </w:docPartObj>
      </w:sdtPr>
      <w:sdtEndPr>
        <w:rPr>
          <w:b/>
          <w:bCs/>
          <w:noProof/>
          <w:color w:val="auto"/>
          <w:sz w:val="22"/>
        </w:rPr>
      </w:sdtEndPr>
      <w:sdtContent>
        <w:p w14:paraId="6F0BB52D" w14:textId="77777777" w:rsidR="00985111" w:rsidRPr="00512C3E" w:rsidRDefault="008D6885" w:rsidP="00512C3E">
          <w:pPr>
            <w:rPr>
              <w:rFonts w:ascii="Verdana" w:hAnsi="Verdana" w:cs="OpenSansRegular"/>
              <w:noProof/>
              <w:color w:val="000000" w:themeColor="text1"/>
              <w:sz w:val="40"/>
            </w:rPr>
          </w:pPr>
          <w:r w:rsidRPr="00ED06BD">
            <w:rPr>
              <w:rFonts w:ascii="Verdana" w:hAnsi="Verdana" w:cs="OpenSansRegular"/>
              <w:color w:val="000000" w:themeColor="text1"/>
              <w:sz w:val="40"/>
            </w:rPr>
            <w:t>Contents</w:t>
          </w:r>
          <w:r w:rsidRPr="00ED06BD">
            <w:rPr>
              <w:rFonts w:ascii="Verdana" w:hAnsi="Verdana" w:cs="OpenSansRegular"/>
            </w:rPr>
            <w:fldChar w:fldCharType="begin"/>
          </w:r>
          <w:r w:rsidRPr="00ED06BD">
            <w:rPr>
              <w:rFonts w:ascii="Verdana" w:hAnsi="Verdana" w:cs="OpenSansRegular"/>
            </w:rPr>
            <w:instrText xml:space="preserve"> TOC \o "1-3" \h \z \u </w:instrText>
          </w:r>
          <w:r w:rsidRPr="00ED06BD">
            <w:rPr>
              <w:rFonts w:ascii="Verdana" w:hAnsi="Verdana" w:cs="OpenSansRegular"/>
            </w:rPr>
            <w:fldChar w:fldCharType="separate"/>
          </w:r>
        </w:p>
        <w:p w14:paraId="2F326075" w14:textId="77777777" w:rsidR="00985111" w:rsidRDefault="008D7ECA">
          <w:pPr>
            <w:pStyle w:val="TOC1"/>
            <w:tabs>
              <w:tab w:val="right" w:leader="dot" w:pos="9016"/>
            </w:tabs>
            <w:rPr>
              <w:rFonts w:eastAsiaTheme="minorEastAsia"/>
              <w:noProof/>
              <w:lang w:eastAsia="en-AU"/>
            </w:rPr>
          </w:pPr>
          <w:hyperlink w:anchor="_Toc521503519" w:history="1">
            <w:r w:rsidR="00985111" w:rsidRPr="0084479C">
              <w:rPr>
                <w:rStyle w:val="Hyperlink"/>
                <w:rFonts w:ascii="Verdana" w:eastAsia="Times New Roman" w:hAnsi="Verdana" w:cs="OpenSansRegular"/>
                <w:bCs/>
                <w:noProof/>
                <w:kern w:val="32"/>
              </w:rPr>
              <w:t>Background</w:t>
            </w:r>
            <w:r w:rsidR="00985111">
              <w:rPr>
                <w:noProof/>
                <w:webHidden/>
              </w:rPr>
              <w:tab/>
            </w:r>
            <w:r w:rsidR="00985111">
              <w:rPr>
                <w:noProof/>
                <w:webHidden/>
              </w:rPr>
              <w:fldChar w:fldCharType="begin"/>
            </w:r>
            <w:r w:rsidR="00985111">
              <w:rPr>
                <w:noProof/>
                <w:webHidden/>
              </w:rPr>
              <w:instrText xml:space="preserve"> PAGEREF _Toc521503519 \h </w:instrText>
            </w:r>
            <w:r w:rsidR="00985111">
              <w:rPr>
                <w:noProof/>
                <w:webHidden/>
              </w:rPr>
            </w:r>
            <w:r w:rsidR="00985111">
              <w:rPr>
                <w:noProof/>
                <w:webHidden/>
              </w:rPr>
              <w:fldChar w:fldCharType="separate"/>
            </w:r>
            <w:r w:rsidR="006F03F1">
              <w:rPr>
                <w:noProof/>
                <w:webHidden/>
              </w:rPr>
              <w:t>4</w:t>
            </w:r>
            <w:r w:rsidR="00985111">
              <w:rPr>
                <w:noProof/>
                <w:webHidden/>
              </w:rPr>
              <w:fldChar w:fldCharType="end"/>
            </w:r>
          </w:hyperlink>
        </w:p>
        <w:p w14:paraId="3AAB2B91" w14:textId="77777777" w:rsidR="00985111" w:rsidRDefault="008D7ECA">
          <w:pPr>
            <w:pStyle w:val="TOC1"/>
            <w:tabs>
              <w:tab w:val="right" w:leader="dot" w:pos="9016"/>
            </w:tabs>
            <w:rPr>
              <w:rFonts w:eastAsiaTheme="minorEastAsia"/>
              <w:noProof/>
              <w:lang w:eastAsia="en-AU"/>
            </w:rPr>
          </w:pPr>
          <w:hyperlink w:anchor="_Toc521503521" w:history="1">
            <w:r w:rsidR="00985111" w:rsidRPr="0084479C">
              <w:rPr>
                <w:rStyle w:val="Hyperlink"/>
                <w:rFonts w:ascii="Verdana" w:eastAsia="Times New Roman" w:hAnsi="Verdana" w:cs="OpenSansRegular"/>
                <w:bCs/>
                <w:noProof/>
                <w:kern w:val="32"/>
              </w:rPr>
              <w:t>Attendees</w:t>
            </w:r>
            <w:r w:rsidR="00985111">
              <w:rPr>
                <w:noProof/>
                <w:webHidden/>
              </w:rPr>
              <w:tab/>
            </w:r>
            <w:r w:rsidR="00985111">
              <w:rPr>
                <w:noProof/>
                <w:webHidden/>
              </w:rPr>
              <w:fldChar w:fldCharType="begin"/>
            </w:r>
            <w:r w:rsidR="00985111">
              <w:rPr>
                <w:noProof/>
                <w:webHidden/>
              </w:rPr>
              <w:instrText xml:space="preserve"> PAGEREF _Toc521503521 \h </w:instrText>
            </w:r>
            <w:r w:rsidR="00985111">
              <w:rPr>
                <w:noProof/>
                <w:webHidden/>
              </w:rPr>
            </w:r>
            <w:r w:rsidR="00985111">
              <w:rPr>
                <w:noProof/>
                <w:webHidden/>
              </w:rPr>
              <w:fldChar w:fldCharType="separate"/>
            </w:r>
            <w:r w:rsidR="006F03F1">
              <w:rPr>
                <w:noProof/>
                <w:webHidden/>
              </w:rPr>
              <w:t>4</w:t>
            </w:r>
            <w:r w:rsidR="00985111">
              <w:rPr>
                <w:noProof/>
                <w:webHidden/>
              </w:rPr>
              <w:fldChar w:fldCharType="end"/>
            </w:r>
          </w:hyperlink>
        </w:p>
        <w:p w14:paraId="53B322F4" w14:textId="77777777" w:rsidR="00985111" w:rsidRDefault="008D7ECA">
          <w:pPr>
            <w:pStyle w:val="TOC1"/>
            <w:tabs>
              <w:tab w:val="right" w:leader="dot" w:pos="9016"/>
            </w:tabs>
            <w:rPr>
              <w:rFonts w:eastAsiaTheme="minorEastAsia"/>
              <w:noProof/>
              <w:lang w:eastAsia="en-AU"/>
            </w:rPr>
          </w:pPr>
          <w:hyperlink w:anchor="_Toc521503523" w:history="1">
            <w:r w:rsidR="00985111" w:rsidRPr="0084479C">
              <w:rPr>
                <w:rStyle w:val="Hyperlink"/>
                <w:rFonts w:ascii="Verdana" w:eastAsia="Times New Roman" w:hAnsi="Verdana" w:cs="OpenSansRegular"/>
                <w:bCs/>
                <w:noProof/>
                <w:kern w:val="32"/>
              </w:rPr>
              <w:t>Presentations</w:t>
            </w:r>
            <w:r w:rsidR="00985111">
              <w:rPr>
                <w:noProof/>
                <w:webHidden/>
              </w:rPr>
              <w:tab/>
            </w:r>
            <w:r w:rsidR="00985111">
              <w:rPr>
                <w:noProof/>
                <w:webHidden/>
              </w:rPr>
              <w:fldChar w:fldCharType="begin"/>
            </w:r>
            <w:r w:rsidR="00985111">
              <w:rPr>
                <w:noProof/>
                <w:webHidden/>
              </w:rPr>
              <w:instrText xml:space="preserve"> PAGEREF _Toc521503523 \h </w:instrText>
            </w:r>
            <w:r w:rsidR="00985111">
              <w:rPr>
                <w:noProof/>
                <w:webHidden/>
              </w:rPr>
            </w:r>
            <w:r w:rsidR="00985111">
              <w:rPr>
                <w:noProof/>
                <w:webHidden/>
              </w:rPr>
              <w:fldChar w:fldCharType="separate"/>
            </w:r>
            <w:r w:rsidR="006F03F1">
              <w:rPr>
                <w:noProof/>
                <w:webHidden/>
              </w:rPr>
              <w:t>5</w:t>
            </w:r>
            <w:r w:rsidR="00985111">
              <w:rPr>
                <w:noProof/>
                <w:webHidden/>
              </w:rPr>
              <w:fldChar w:fldCharType="end"/>
            </w:r>
          </w:hyperlink>
        </w:p>
        <w:p w14:paraId="1A50DD35" w14:textId="77777777" w:rsidR="00985111" w:rsidRDefault="008D7ECA">
          <w:pPr>
            <w:pStyle w:val="TOC1"/>
            <w:tabs>
              <w:tab w:val="right" w:leader="dot" w:pos="9016"/>
            </w:tabs>
            <w:rPr>
              <w:rFonts w:eastAsiaTheme="minorEastAsia"/>
              <w:noProof/>
              <w:lang w:eastAsia="en-AU"/>
            </w:rPr>
          </w:pPr>
          <w:hyperlink w:anchor="_Toc521503524" w:history="1">
            <w:r w:rsidR="00985111" w:rsidRPr="0084479C">
              <w:rPr>
                <w:rStyle w:val="Hyperlink"/>
                <w:rFonts w:ascii="Verdana" w:eastAsia="Times New Roman" w:hAnsi="Verdana" w:cs="OpenSansRegular"/>
                <w:bCs/>
                <w:noProof/>
                <w:kern w:val="32"/>
              </w:rPr>
              <w:t>Register of Issues Raised</w:t>
            </w:r>
            <w:r w:rsidR="00985111">
              <w:rPr>
                <w:noProof/>
                <w:webHidden/>
              </w:rPr>
              <w:tab/>
            </w:r>
            <w:r w:rsidR="00985111">
              <w:rPr>
                <w:noProof/>
                <w:webHidden/>
              </w:rPr>
              <w:fldChar w:fldCharType="begin"/>
            </w:r>
            <w:r w:rsidR="00985111">
              <w:rPr>
                <w:noProof/>
                <w:webHidden/>
              </w:rPr>
              <w:instrText xml:space="preserve"> PAGEREF _Toc521503524 \h </w:instrText>
            </w:r>
            <w:r w:rsidR="00985111">
              <w:rPr>
                <w:noProof/>
                <w:webHidden/>
              </w:rPr>
            </w:r>
            <w:r w:rsidR="00985111">
              <w:rPr>
                <w:noProof/>
                <w:webHidden/>
              </w:rPr>
              <w:fldChar w:fldCharType="separate"/>
            </w:r>
            <w:r w:rsidR="006F03F1">
              <w:rPr>
                <w:noProof/>
                <w:webHidden/>
              </w:rPr>
              <w:t>10</w:t>
            </w:r>
            <w:r w:rsidR="00985111">
              <w:rPr>
                <w:noProof/>
                <w:webHidden/>
              </w:rPr>
              <w:fldChar w:fldCharType="end"/>
            </w:r>
          </w:hyperlink>
        </w:p>
        <w:p w14:paraId="2B4309AE" w14:textId="77777777" w:rsidR="00985111" w:rsidRDefault="008D7ECA">
          <w:pPr>
            <w:pStyle w:val="TOC1"/>
            <w:tabs>
              <w:tab w:val="right" w:leader="dot" w:pos="9016"/>
            </w:tabs>
            <w:rPr>
              <w:rFonts w:eastAsiaTheme="minorEastAsia"/>
              <w:noProof/>
              <w:lang w:eastAsia="en-AU"/>
            </w:rPr>
          </w:pPr>
          <w:hyperlink w:anchor="_Toc521503532" w:history="1">
            <w:r w:rsidR="00985111" w:rsidRPr="0084479C">
              <w:rPr>
                <w:rStyle w:val="Hyperlink"/>
                <w:rFonts w:ascii="Verdana" w:eastAsia="Times New Roman" w:hAnsi="Verdana" w:cs="OpenSansRegular"/>
                <w:bCs/>
                <w:noProof/>
                <w:kern w:val="32"/>
              </w:rPr>
              <w:t>Options to Improve Consumer Safety</w:t>
            </w:r>
            <w:r w:rsidR="00985111">
              <w:rPr>
                <w:noProof/>
                <w:webHidden/>
              </w:rPr>
              <w:tab/>
            </w:r>
            <w:r w:rsidR="00985111">
              <w:rPr>
                <w:noProof/>
                <w:webHidden/>
              </w:rPr>
              <w:fldChar w:fldCharType="begin"/>
            </w:r>
            <w:r w:rsidR="00985111">
              <w:rPr>
                <w:noProof/>
                <w:webHidden/>
              </w:rPr>
              <w:instrText xml:space="preserve"> PAGEREF _Toc521503532 \h </w:instrText>
            </w:r>
            <w:r w:rsidR="00985111">
              <w:rPr>
                <w:noProof/>
                <w:webHidden/>
              </w:rPr>
            </w:r>
            <w:r w:rsidR="00985111">
              <w:rPr>
                <w:noProof/>
                <w:webHidden/>
              </w:rPr>
              <w:fldChar w:fldCharType="separate"/>
            </w:r>
            <w:r w:rsidR="006F03F1">
              <w:rPr>
                <w:noProof/>
                <w:webHidden/>
              </w:rPr>
              <w:t>12</w:t>
            </w:r>
            <w:r w:rsidR="00985111">
              <w:rPr>
                <w:noProof/>
                <w:webHidden/>
              </w:rPr>
              <w:fldChar w:fldCharType="end"/>
            </w:r>
          </w:hyperlink>
        </w:p>
        <w:p w14:paraId="45D7205E" w14:textId="77777777" w:rsidR="00985111" w:rsidRDefault="008D7ECA">
          <w:pPr>
            <w:pStyle w:val="TOC1"/>
            <w:tabs>
              <w:tab w:val="right" w:leader="dot" w:pos="9016"/>
            </w:tabs>
            <w:rPr>
              <w:rFonts w:eastAsiaTheme="minorEastAsia"/>
              <w:noProof/>
              <w:lang w:eastAsia="en-AU"/>
            </w:rPr>
          </w:pPr>
          <w:hyperlink w:anchor="_Toc521503538" w:history="1">
            <w:r w:rsidR="00985111" w:rsidRPr="0084479C">
              <w:rPr>
                <w:rStyle w:val="Hyperlink"/>
                <w:rFonts w:ascii="Verdana" w:eastAsia="Times New Roman" w:hAnsi="Verdana" w:cs="OpenSansRegular"/>
                <w:bCs/>
                <w:noProof/>
                <w:kern w:val="32"/>
              </w:rPr>
              <w:t>Next Steps</w:t>
            </w:r>
            <w:r w:rsidR="00985111">
              <w:rPr>
                <w:noProof/>
                <w:webHidden/>
              </w:rPr>
              <w:tab/>
            </w:r>
            <w:r w:rsidR="00985111">
              <w:rPr>
                <w:noProof/>
                <w:webHidden/>
              </w:rPr>
              <w:fldChar w:fldCharType="begin"/>
            </w:r>
            <w:r w:rsidR="00985111">
              <w:rPr>
                <w:noProof/>
                <w:webHidden/>
              </w:rPr>
              <w:instrText xml:space="preserve"> PAGEREF _Toc521503538 \h </w:instrText>
            </w:r>
            <w:r w:rsidR="00985111">
              <w:rPr>
                <w:noProof/>
                <w:webHidden/>
              </w:rPr>
            </w:r>
            <w:r w:rsidR="00985111">
              <w:rPr>
                <w:noProof/>
                <w:webHidden/>
              </w:rPr>
              <w:fldChar w:fldCharType="separate"/>
            </w:r>
            <w:r w:rsidR="006F03F1">
              <w:rPr>
                <w:noProof/>
                <w:webHidden/>
              </w:rPr>
              <w:t>14</w:t>
            </w:r>
            <w:r w:rsidR="00985111">
              <w:rPr>
                <w:noProof/>
                <w:webHidden/>
              </w:rPr>
              <w:fldChar w:fldCharType="end"/>
            </w:r>
          </w:hyperlink>
        </w:p>
        <w:p w14:paraId="69018CEA" w14:textId="77777777" w:rsidR="008E0E32" w:rsidRPr="00ED06BD" w:rsidRDefault="008D6885" w:rsidP="008E0E32">
          <w:pPr>
            <w:rPr>
              <w:rFonts w:ascii="Verdana" w:hAnsi="Verdana" w:cs="OpenSansRegular"/>
            </w:rPr>
          </w:pPr>
          <w:r w:rsidRPr="00ED06BD">
            <w:rPr>
              <w:rFonts w:ascii="Verdana" w:hAnsi="Verdana" w:cs="OpenSansRegular"/>
              <w:b/>
              <w:bCs/>
              <w:noProof/>
            </w:rPr>
            <w:fldChar w:fldCharType="end"/>
          </w:r>
        </w:p>
      </w:sdtContent>
    </w:sdt>
    <w:p w14:paraId="7B87D3E2" w14:textId="77777777" w:rsidR="008E0E32" w:rsidRPr="00ED06BD" w:rsidRDefault="008E0E32" w:rsidP="008E0E32">
      <w:pPr>
        <w:rPr>
          <w:rFonts w:ascii="Verdana" w:hAnsi="Verdana" w:cs="OpenSansRegular"/>
        </w:rPr>
        <w:sectPr w:rsidR="008E0E32" w:rsidRPr="00ED06BD" w:rsidSect="00346686">
          <w:footerReference w:type="default" r:id="rId10"/>
          <w:pgSz w:w="11906" w:h="16838" w:code="9"/>
          <w:pgMar w:top="1440" w:right="1440" w:bottom="1440" w:left="1440" w:header="709" w:footer="709" w:gutter="0"/>
          <w:cols w:space="708"/>
          <w:docGrid w:linePitch="360"/>
        </w:sectPr>
      </w:pPr>
    </w:p>
    <w:p w14:paraId="1E00DB3B" w14:textId="7CC973C8" w:rsidR="00346686" w:rsidRPr="00ED06BD" w:rsidRDefault="000C7D79" w:rsidP="005150E6">
      <w:pPr>
        <w:pStyle w:val="Heading1"/>
        <w:keepLines w:val="0"/>
        <w:tabs>
          <w:tab w:val="left" w:pos="2866"/>
        </w:tabs>
        <w:spacing w:before="0" w:after="240" w:line="240" w:lineRule="auto"/>
        <w:rPr>
          <w:rFonts w:ascii="Verdana" w:hAnsi="Verdana"/>
        </w:rPr>
        <w:sectPr w:rsidR="00346686" w:rsidRPr="00ED06BD" w:rsidSect="00DA5BBF">
          <w:type w:val="continuous"/>
          <w:pgSz w:w="11906" w:h="16838"/>
          <w:pgMar w:top="1440" w:right="1440" w:bottom="1440" w:left="1440" w:header="708" w:footer="708" w:gutter="0"/>
          <w:cols w:space="708"/>
          <w:docGrid w:linePitch="360"/>
        </w:sectPr>
      </w:pPr>
      <w:r w:rsidRPr="00ED06BD">
        <w:rPr>
          <w:rFonts w:ascii="Verdana" w:hAnsi="Verdana"/>
        </w:rPr>
        <w:tab/>
      </w:r>
    </w:p>
    <w:bookmarkStart w:id="0" w:name="_Toc521503518" w:displacedByCustomXml="next"/>
    <w:bookmarkStart w:id="1" w:name="_Toc517430197" w:displacedByCustomXml="next"/>
    <w:bookmarkStart w:id="2" w:name="_Toc515893668" w:displacedByCustomXml="next"/>
    <w:bookmarkStart w:id="3" w:name="_Ref504563897" w:displacedByCustomXml="next"/>
    <w:sdt>
      <w:sdtPr>
        <w:rPr>
          <w:rFonts w:ascii="Verdana" w:eastAsiaTheme="minorHAnsi" w:hAnsi="Verdana" w:cstheme="minorBidi"/>
          <w:color w:val="auto"/>
          <w:sz w:val="22"/>
          <w:szCs w:val="22"/>
        </w:rPr>
        <w:id w:val="-1838615274"/>
        <w:docPartObj>
          <w:docPartGallery w:val="Cover Pages"/>
          <w:docPartUnique/>
        </w:docPartObj>
      </w:sdtPr>
      <w:sdtEndPr>
        <w:rPr>
          <w:rFonts w:eastAsia="Times New Roman" w:cs="Times New Roman"/>
          <w:sz w:val="20"/>
          <w:szCs w:val="20"/>
        </w:rPr>
      </w:sdtEndPr>
      <w:sdtContent>
        <w:p w14:paraId="707D5E4F" w14:textId="03EEA204" w:rsidR="00AD7E72" w:rsidRPr="00791EAD" w:rsidRDefault="00ED06BD" w:rsidP="00791EAD">
          <w:pPr>
            <w:pStyle w:val="Heading1"/>
            <w:spacing w:before="2000"/>
            <w:rPr>
              <w:rStyle w:val="BodycopyChar"/>
              <w:rFonts w:eastAsiaTheme="majorEastAsia"/>
              <w:color w:val="auto"/>
            </w:rPr>
          </w:pPr>
          <w:r w:rsidRPr="00791EAD">
            <w:rPr>
              <w:rStyle w:val="BodycopyChar"/>
              <w:rFonts w:eastAsiaTheme="majorEastAsia"/>
              <w:noProof/>
              <w:color w:val="auto"/>
            </w:rPr>
            <mc:AlternateContent>
              <mc:Choice Requires="wps">
                <w:drawing>
                  <wp:anchor distT="0" distB="0" distL="114300" distR="114300" simplePos="0" relativeHeight="251660800" behindDoc="0" locked="0" layoutInCell="1" allowOverlap="1" wp14:anchorId="56CE8472" wp14:editId="7907E5DF">
                    <wp:simplePos x="0" y="0"/>
                    <wp:positionH relativeFrom="column">
                      <wp:posOffset>4305782</wp:posOffset>
                    </wp:positionH>
                    <wp:positionV relativeFrom="paragraph">
                      <wp:posOffset>-381964</wp:posOffset>
                    </wp:positionV>
                    <wp:extent cx="1876425" cy="1643606"/>
                    <wp:effectExtent l="0" t="0" r="9525" b="0"/>
                    <wp:wrapNone/>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643606"/>
                            </a:xfrm>
                            <a:prstGeom prst="rect">
                              <a:avLst/>
                            </a:prstGeom>
                            <a:solidFill>
                              <a:srgbClr val="FFFFFF"/>
                            </a:solidFill>
                            <a:ln w="9525">
                              <a:noFill/>
                              <a:miter lim="800000"/>
                              <a:headEnd/>
                              <a:tailEnd/>
                            </a:ln>
                          </wps:spPr>
                          <wps:txbx>
                            <w:txbxContent>
                              <w:p w14:paraId="6B995AA0" w14:textId="29AD1921" w:rsidR="00AF4A89" w:rsidRPr="00ED06BD" w:rsidRDefault="00AF4A89" w:rsidP="003D5D41">
                                <w:pPr>
                                  <w:spacing w:before="30" w:line="180" w:lineRule="atLeast"/>
                                  <w:rPr>
                                    <w:rStyle w:val="AddressdetailsChar"/>
                                    <w:rFonts w:ascii="Verdana" w:eastAsiaTheme="minorHAnsi" w:hAnsi="Verdana"/>
                                  </w:rPr>
                                </w:pPr>
                                <w:r w:rsidRPr="00ED06BD">
                                  <w:rPr>
                                    <w:rStyle w:val="AddressdetailsChar"/>
                                    <w:rFonts w:ascii="Verdana" w:eastAsiaTheme="minorHAnsi" w:hAnsi="Verdana"/>
                                  </w:rPr>
                                  <w:t>Deloitte Consulting Pty Ltd</w:t>
                                </w:r>
                                <w:r w:rsidRPr="00ED06BD">
                                  <w:rPr>
                                    <w:rStyle w:val="AddressdetailsChar"/>
                                    <w:rFonts w:ascii="Verdana" w:eastAsiaTheme="minorHAnsi" w:hAnsi="Verdana"/>
                                  </w:rPr>
                                  <w:br/>
                                  <w:t>ABN 46 892 629 039</w:t>
                                </w:r>
                                <w:r w:rsidRPr="00ED06BD">
                                  <w:rPr>
                                    <w:rStyle w:val="AddressdetailsChar"/>
                                    <w:rFonts w:ascii="Verdana" w:eastAsiaTheme="minorHAnsi" w:hAnsi="Verdana"/>
                                  </w:rPr>
                                  <w:br/>
                                </w:r>
                                <w:r w:rsidRPr="00ED06BD">
                                  <w:rPr>
                                    <w:rStyle w:val="AddressdetailsChar"/>
                                    <w:rFonts w:ascii="Verdana" w:eastAsiaTheme="minorHAnsi" w:hAnsi="Verdana"/>
                                  </w:rPr>
                                  <w:br/>
                                  <w:t>8 Brindabella Circuit</w:t>
                                </w:r>
                                <w:r w:rsidRPr="00ED06BD">
                                  <w:rPr>
                                    <w:rStyle w:val="AddressdetailsChar"/>
                                    <w:rFonts w:ascii="Verdana" w:eastAsiaTheme="minorHAnsi" w:hAnsi="Verdana"/>
                                  </w:rPr>
                                  <w:br/>
                                  <w:t>Brindabella Business Park ACT 2609</w:t>
                                </w:r>
                                <w:r w:rsidRPr="00ED06BD">
                                  <w:rPr>
                                    <w:rStyle w:val="AddressdetailsChar"/>
                                    <w:rFonts w:ascii="Verdana" w:eastAsiaTheme="minorHAnsi" w:hAnsi="Verdana"/>
                                  </w:rPr>
                                  <w:br/>
                                  <w:t>GPO Box 823</w:t>
                                </w:r>
                                <w:r w:rsidRPr="00ED06BD">
                                  <w:rPr>
                                    <w:rStyle w:val="AddressdetailsChar"/>
                                    <w:rFonts w:ascii="Verdana" w:eastAsiaTheme="minorHAnsi" w:hAnsi="Verdana"/>
                                  </w:rPr>
                                  <w:br/>
                                  <w:t>Canberra ACT 2601 Australia</w:t>
                                </w:r>
                                <w:r w:rsidRPr="00ED06BD">
                                  <w:rPr>
                                    <w:rStyle w:val="AddressdetailsChar"/>
                                    <w:rFonts w:ascii="Verdana" w:eastAsiaTheme="minorHAnsi" w:hAnsi="Verdana"/>
                                  </w:rPr>
                                  <w:br/>
                                </w:r>
                                <w:r w:rsidRPr="00ED06BD">
                                  <w:rPr>
                                    <w:rStyle w:val="AddressdetailsChar"/>
                                    <w:rFonts w:ascii="Verdana" w:eastAsiaTheme="minorHAnsi" w:hAnsi="Verdana"/>
                                  </w:rPr>
                                  <w:br/>
                                  <w:t>Tel: +61 2 6263 7000</w:t>
                                </w:r>
                                <w:r w:rsidRPr="00ED06BD">
                                  <w:rPr>
                                    <w:rStyle w:val="AddressdetailsChar"/>
                                    <w:rFonts w:ascii="Verdana" w:eastAsiaTheme="minorHAnsi" w:hAnsi="Verdana"/>
                                  </w:rPr>
                                  <w:br/>
                                  <w:t>Fax: +61 2 6263 7004</w:t>
                                </w:r>
                                <w:r w:rsidRPr="00ED06BD">
                                  <w:rPr>
                                    <w:rStyle w:val="AddressdetailsChar"/>
                                    <w:rFonts w:ascii="Verdana" w:eastAsiaTheme="minorHAnsi" w:hAnsi="Verdana"/>
                                  </w:rPr>
                                  <w:br/>
                                  <w:t>www.deloitte.com.au</w:t>
                                </w:r>
                              </w:p>
                              <w:p w14:paraId="753695D9" w14:textId="77777777" w:rsidR="00AF4A89" w:rsidRDefault="00AF4A89" w:rsidP="003D5D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CE8472" id="_x0000_t202" coordsize="21600,21600" o:spt="202" path="m,l,21600r21600,l21600,xe">
                    <v:stroke joinstyle="miter"/>
                    <v:path gradientshapeok="t" o:connecttype="rect"/>
                  </v:shapetype>
                  <v:shape id="Text Box 2" o:spid="_x0000_s1028" type="#_x0000_t202" alt="&quot;&quot;" style="position:absolute;margin-left:339.05pt;margin-top:-30.1pt;width:147.75pt;height:129.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" stroked="f">
                    <v:textbox>
                      <w:txbxContent>
                        <w:p w14:paraId="6B995AA0" w14:textId="29AD1921" w:rsidR="00AF4A89" w:rsidRPr="00ED06BD" w:rsidRDefault="00AF4A89" w:rsidP="003D5D41">
                          <w:pPr>
                            <w:spacing w:before="30" w:line="180" w:lineRule="atLeast"/>
                            <w:rPr>
                              <w:rStyle w:val="AddressdetailsChar"/>
                              <w:rFonts w:ascii="Verdana" w:eastAsiaTheme="minorHAnsi" w:hAnsi="Verdana"/>
                            </w:rPr>
                          </w:pPr>
                          <w:r w:rsidRPr="00ED06BD">
                            <w:rPr>
                              <w:rStyle w:val="AddressdetailsChar"/>
                              <w:rFonts w:ascii="Verdana" w:eastAsiaTheme="minorHAnsi" w:hAnsi="Verdana"/>
                            </w:rPr>
                            <w:t>Deloitte Consulting Pty Ltd</w:t>
                          </w:r>
                          <w:r w:rsidRPr="00ED06BD">
                            <w:rPr>
                              <w:rStyle w:val="AddressdetailsChar"/>
                              <w:rFonts w:ascii="Verdana" w:eastAsiaTheme="minorHAnsi" w:hAnsi="Verdana"/>
                            </w:rPr>
                            <w:br/>
                            <w:t>ABN 46 892 629 039</w:t>
                          </w:r>
                          <w:r w:rsidRPr="00ED06BD">
                            <w:rPr>
                              <w:rStyle w:val="AddressdetailsChar"/>
                              <w:rFonts w:ascii="Verdana" w:eastAsiaTheme="minorHAnsi" w:hAnsi="Verdana"/>
                            </w:rPr>
                            <w:br/>
                          </w:r>
                          <w:r w:rsidRPr="00ED06BD">
                            <w:rPr>
                              <w:rStyle w:val="AddressdetailsChar"/>
                              <w:rFonts w:ascii="Verdana" w:eastAsiaTheme="minorHAnsi" w:hAnsi="Verdana"/>
                            </w:rPr>
                            <w:br/>
                            <w:t>8 Brindabella Circuit</w:t>
                          </w:r>
                          <w:r w:rsidRPr="00ED06BD">
                            <w:rPr>
                              <w:rStyle w:val="AddressdetailsChar"/>
                              <w:rFonts w:ascii="Verdana" w:eastAsiaTheme="minorHAnsi" w:hAnsi="Verdana"/>
                            </w:rPr>
                            <w:br/>
                            <w:t>Brindabella Business Park ACT 2609</w:t>
                          </w:r>
                          <w:r w:rsidRPr="00ED06BD">
                            <w:rPr>
                              <w:rStyle w:val="AddressdetailsChar"/>
                              <w:rFonts w:ascii="Verdana" w:eastAsiaTheme="minorHAnsi" w:hAnsi="Verdana"/>
                            </w:rPr>
                            <w:br/>
                            <w:t>GPO Box 823</w:t>
                          </w:r>
                          <w:r w:rsidRPr="00ED06BD">
                            <w:rPr>
                              <w:rStyle w:val="AddressdetailsChar"/>
                              <w:rFonts w:ascii="Verdana" w:eastAsiaTheme="minorHAnsi" w:hAnsi="Verdana"/>
                            </w:rPr>
                            <w:br/>
                            <w:t>Canberra ACT 2601 Australia</w:t>
                          </w:r>
                          <w:r w:rsidRPr="00ED06BD">
                            <w:rPr>
                              <w:rStyle w:val="AddressdetailsChar"/>
                              <w:rFonts w:ascii="Verdana" w:eastAsiaTheme="minorHAnsi" w:hAnsi="Verdana"/>
                            </w:rPr>
                            <w:br/>
                          </w:r>
                          <w:r w:rsidRPr="00ED06BD">
                            <w:rPr>
                              <w:rStyle w:val="AddressdetailsChar"/>
                              <w:rFonts w:ascii="Verdana" w:eastAsiaTheme="minorHAnsi" w:hAnsi="Verdana"/>
                            </w:rPr>
                            <w:br/>
                            <w:t>Tel: +61 2 6263 7000</w:t>
                          </w:r>
                          <w:r w:rsidRPr="00ED06BD">
                            <w:rPr>
                              <w:rStyle w:val="AddressdetailsChar"/>
                              <w:rFonts w:ascii="Verdana" w:eastAsiaTheme="minorHAnsi" w:hAnsi="Verdana"/>
                            </w:rPr>
                            <w:br/>
                            <w:t>Fax: +61 2 6263 7004</w:t>
                          </w:r>
                          <w:r w:rsidRPr="00ED06BD">
                            <w:rPr>
                              <w:rStyle w:val="AddressdetailsChar"/>
                              <w:rFonts w:ascii="Verdana" w:eastAsiaTheme="minorHAnsi" w:hAnsi="Verdana"/>
                            </w:rPr>
                            <w:br/>
                            <w:t>www.deloitte.com.au</w:t>
                          </w:r>
                        </w:p>
                        <w:p w14:paraId="753695D9" w14:textId="77777777" w:rsidR="00AF4A89" w:rsidRDefault="00AF4A89" w:rsidP="003D5D41"/>
                      </w:txbxContent>
                    </v:textbox>
                  </v:shape>
                </w:pict>
              </mc:Fallback>
            </mc:AlternateContent>
          </w:r>
          <w:r w:rsidR="00EC7697" w:rsidRPr="00791EAD">
            <w:rPr>
              <w:rStyle w:val="BodycopyChar"/>
              <w:rFonts w:eastAsiaTheme="majorEastAsia"/>
              <w:noProof/>
              <w:color w:val="auto"/>
            </w:rPr>
            <w:drawing>
              <wp:anchor distT="0" distB="0" distL="114300" distR="114300" simplePos="0" relativeHeight="251661824" behindDoc="0" locked="0" layoutInCell="1" allowOverlap="1" wp14:anchorId="02ADDEEB" wp14:editId="53754542">
                <wp:simplePos x="0" y="0"/>
                <wp:positionH relativeFrom="page">
                  <wp:posOffset>919109</wp:posOffset>
                </wp:positionH>
                <wp:positionV relativeFrom="page">
                  <wp:posOffset>668020</wp:posOffset>
                </wp:positionV>
                <wp:extent cx="1638300" cy="304800"/>
                <wp:effectExtent l="0" t="0" r="0" b="0"/>
                <wp:wrapNone/>
                <wp:docPr id="4" name="HDR_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HDR_LOGO">
                          <a:extLst>
                            <a:ext uri="{C183D7F6-B498-43B3-948B-1728B52AA6E4}">
                              <adec:decorative xmlns:adec="http://schemas.microsoft.com/office/drawing/2017/decorative" val="1"/>
                            </a:ext>
                          </a:extLst>
                        </pic:cNvPr>
                        <pic:cNvPicPr/>
                      </pic:nvPicPr>
                      <pic:blipFill>
                        <a:blip r:embed="rId11"/>
                        <a:stretch>
                          <a:fillRect/>
                        </a:stretch>
                      </pic:blipFill>
                      <pic:spPr>
                        <a:xfrm>
                          <a:off x="0" y="0"/>
                          <a:ext cx="1638300" cy="304800"/>
                        </a:xfrm>
                        <a:prstGeom prst="rect">
                          <a:avLst/>
                        </a:prstGeom>
                      </pic:spPr>
                    </pic:pic>
                  </a:graphicData>
                </a:graphic>
              </wp:anchor>
            </w:drawing>
          </w:r>
          <w:bookmarkEnd w:id="2"/>
          <w:bookmarkEnd w:id="1"/>
          <w:bookmarkEnd w:id="0"/>
          <w:r w:rsidR="00AD7E72" w:rsidRPr="00791EAD">
            <w:rPr>
              <w:rStyle w:val="BodycopyChar"/>
              <w:rFonts w:eastAsiaTheme="majorEastAsia"/>
              <w:color w:val="auto"/>
            </w:rPr>
            <w:t>6 August 2018</w:t>
          </w:r>
        </w:p>
        <w:p w14:paraId="25CB1BDF" w14:textId="77777777" w:rsidR="003D5D41" w:rsidRPr="00ED06BD" w:rsidRDefault="0075494E" w:rsidP="00CF48DD">
          <w:pPr>
            <w:pStyle w:val="Bodycopy"/>
            <w:spacing w:before="240" w:after="400"/>
            <w:rPr>
              <w:rFonts w:ascii="Verdana" w:hAnsi="Verdana" w:cs="Arial"/>
              <w:color w:val="000000" w:themeColor="text1"/>
            </w:rPr>
          </w:pPr>
          <w:r>
            <w:rPr>
              <w:rFonts w:ascii="Verdana" w:eastAsia="Times" w:hAnsi="Verdana"/>
              <w:b/>
              <w:color w:val="000000" w:themeColor="text1"/>
              <w:szCs w:val="18"/>
            </w:rPr>
            <w:t>Sports Supplements</w:t>
          </w:r>
          <w:r w:rsidR="003D5D41" w:rsidRPr="00ED06BD">
            <w:rPr>
              <w:rFonts w:ascii="Verdana" w:eastAsia="Times" w:hAnsi="Verdana"/>
              <w:b/>
              <w:color w:val="000000" w:themeColor="text1"/>
              <w:szCs w:val="18"/>
            </w:rPr>
            <w:t xml:space="preserve"> </w:t>
          </w:r>
          <w:r w:rsidR="00851B50">
            <w:rPr>
              <w:rFonts w:ascii="Verdana" w:eastAsia="Times" w:hAnsi="Verdana"/>
              <w:b/>
              <w:color w:val="000000" w:themeColor="text1"/>
              <w:szCs w:val="18"/>
            </w:rPr>
            <w:t>Roundtable – Report on Discussions and Next Steps</w:t>
          </w:r>
        </w:p>
        <w:p w14:paraId="4F828166" w14:textId="361D1AD2" w:rsidR="003B35EC" w:rsidRDefault="004A54EC" w:rsidP="00CF48DD">
          <w:pPr>
            <w:pStyle w:val="Bodycopy"/>
            <w:spacing w:after="400"/>
            <w:rPr>
              <w:rFonts w:ascii="Verdana" w:hAnsi="Verdana" w:cstheme="minorHAnsi"/>
            </w:rPr>
          </w:pPr>
          <w:r>
            <w:rPr>
              <w:rFonts w:ascii="Verdana" w:hAnsi="Verdana" w:cstheme="minorHAnsi"/>
            </w:rPr>
            <w:t xml:space="preserve">In </w:t>
          </w:r>
          <w:r w:rsidR="00AD7E72">
            <w:rPr>
              <w:rFonts w:ascii="Verdana" w:hAnsi="Verdana" w:cstheme="minorHAnsi"/>
            </w:rPr>
            <w:t>July</w:t>
          </w:r>
          <w:r>
            <w:rPr>
              <w:rFonts w:ascii="Verdana" w:hAnsi="Verdana" w:cstheme="minorHAnsi"/>
            </w:rPr>
            <w:t xml:space="preserve"> 2018, </w:t>
          </w:r>
          <w:r w:rsidR="00080B10">
            <w:rPr>
              <w:rFonts w:ascii="Verdana" w:hAnsi="Verdana" w:cstheme="minorHAnsi"/>
            </w:rPr>
            <w:t>Deloitte</w:t>
          </w:r>
          <w:r w:rsidR="00080B10" w:rsidRPr="00ED06BD">
            <w:rPr>
              <w:rFonts w:ascii="Verdana" w:hAnsi="Verdana" w:cstheme="minorHAnsi"/>
            </w:rPr>
            <w:t xml:space="preserve"> </w:t>
          </w:r>
          <w:r w:rsidR="003D5D41" w:rsidRPr="00ED06BD">
            <w:rPr>
              <w:rFonts w:ascii="Verdana" w:hAnsi="Verdana" w:cstheme="minorHAnsi"/>
            </w:rPr>
            <w:t xml:space="preserve">was commissioned to </w:t>
          </w:r>
          <w:r w:rsidR="00AD7E72">
            <w:rPr>
              <w:rFonts w:ascii="Verdana" w:hAnsi="Verdana" w:cstheme="minorHAnsi"/>
            </w:rPr>
            <w:t>facilitate a Roundtable on the Regulation of Sport Supplements.</w:t>
          </w:r>
        </w:p>
        <w:p w14:paraId="28279A5B" w14:textId="499E8233" w:rsidR="003B35EC" w:rsidRDefault="008D071E" w:rsidP="00CF48DD">
          <w:pPr>
            <w:pStyle w:val="Bodycopy"/>
            <w:spacing w:after="400"/>
            <w:rPr>
              <w:rFonts w:ascii="Verdana" w:hAnsi="Verdana" w:cstheme="minorHAnsi"/>
            </w:rPr>
          </w:pPr>
          <w:r>
            <w:rPr>
              <w:rFonts w:ascii="Verdana" w:hAnsi="Verdana" w:cstheme="minorHAnsi"/>
            </w:rPr>
            <w:t>The</w:t>
          </w:r>
          <w:r w:rsidR="00AD7E72" w:rsidRPr="00AD7E72">
            <w:rPr>
              <w:rFonts w:ascii="Verdana" w:hAnsi="Verdana" w:cstheme="minorHAnsi"/>
            </w:rPr>
            <w:t xml:space="preserve"> </w:t>
          </w:r>
          <w:r w:rsidR="00A56D04">
            <w:rPr>
              <w:rFonts w:ascii="Verdana" w:hAnsi="Verdana" w:cstheme="minorHAnsi"/>
            </w:rPr>
            <w:t>roundtable</w:t>
          </w:r>
          <w:r w:rsidR="00AD7E72" w:rsidRPr="00AD7E72">
            <w:rPr>
              <w:rFonts w:ascii="Verdana" w:hAnsi="Verdana" w:cstheme="minorHAnsi"/>
            </w:rPr>
            <w:t xml:space="preserve"> was convened by the Australian Government Department of Health on behalf of the Food Regu</w:t>
          </w:r>
          <w:r w:rsidR="003B35EC">
            <w:rPr>
              <w:rFonts w:ascii="Verdana" w:hAnsi="Verdana" w:cstheme="minorHAnsi"/>
            </w:rPr>
            <w:t>lation Standing Committee after a request</w:t>
          </w:r>
          <w:r w:rsidR="00AD7E72" w:rsidRPr="00AD7E72">
            <w:rPr>
              <w:rFonts w:ascii="Verdana" w:hAnsi="Verdana" w:cstheme="minorHAnsi"/>
            </w:rPr>
            <w:t xml:space="preserve"> from the </w:t>
          </w:r>
          <w:r w:rsidR="00903D59">
            <w:rPr>
              <w:rFonts w:ascii="Verdana" w:hAnsi="Verdana" w:cstheme="minorHAnsi"/>
            </w:rPr>
            <w:t xml:space="preserve">Australian Government </w:t>
          </w:r>
          <w:r w:rsidR="00AD7E72" w:rsidRPr="00AD7E72">
            <w:rPr>
              <w:rFonts w:ascii="Verdana" w:hAnsi="Verdana" w:cstheme="minorHAnsi"/>
            </w:rPr>
            <w:t>Minister for Health, the Hon Greg Hunt MP</w:t>
          </w:r>
          <w:r w:rsidR="003B35EC">
            <w:rPr>
              <w:rFonts w:ascii="Verdana" w:hAnsi="Verdana" w:cstheme="minorHAnsi"/>
            </w:rPr>
            <w:t>.</w:t>
          </w:r>
        </w:p>
        <w:p w14:paraId="125958F2" w14:textId="77777777" w:rsidR="008D071E" w:rsidRDefault="00AD7E72" w:rsidP="00CF48DD">
          <w:pPr>
            <w:pStyle w:val="Bodycopy"/>
            <w:spacing w:after="400"/>
            <w:rPr>
              <w:rFonts w:ascii="Verdana" w:hAnsi="Verdana" w:cstheme="minorHAnsi"/>
            </w:rPr>
          </w:pPr>
          <w:r w:rsidRPr="00AD7E72">
            <w:rPr>
              <w:rFonts w:ascii="Verdana" w:hAnsi="Verdana" w:cstheme="minorHAnsi"/>
            </w:rPr>
            <w:t xml:space="preserve">The Minister requested a </w:t>
          </w:r>
          <w:r w:rsidR="00A56D04">
            <w:rPr>
              <w:rFonts w:ascii="Verdana" w:hAnsi="Verdana" w:cstheme="minorHAnsi"/>
            </w:rPr>
            <w:t>roundtable</w:t>
          </w:r>
          <w:r w:rsidR="003B35EC">
            <w:rPr>
              <w:rFonts w:ascii="Verdana" w:hAnsi="Verdana" w:cstheme="minorHAnsi"/>
            </w:rPr>
            <w:t xml:space="preserve"> discussion to consider </w:t>
          </w:r>
          <w:r w:rsidRPr="00AD7E72">
            <w:rPr>
              <w:rFonts w:ascii="Verdana" w:hAnsi="Verdana" w:cstheme="minorHAnsi"/>
            </w:rPr>
            <w:t xml:space="preserve">whether there are opportunities at the </w:t>
          </w:r>
          <w:r w:rsidR="00E22F9B">
            <w:rPr>
              <w:rFonts w:ascii="Verdana" w:hAnsi="Verdana" w:cstheme="minorHAnsi"/>
            </w:rPr>
            <w:t xml:space="preserve">Australian Government </w:t>
          </w:r>
          <w:r w:rsidRPr="00AD7E72">
            <w:rPr>
              <w:rFonts w:ascii="Verdana" w:hAnsi="Verdana" w:cstheme="minorHAnsi"/>
            </w:rPr>
            <w:t xml:space="preserve">and/or state and territory levels to enhance the safety of consumers who choose to use sports supplements. </w:t>
          </w:r>
        </w:p>
        <w:p w14:paraId="609FE35B" w14:textId="0291C60A" w:rsidR="003D5D41" w:rsidRPr="00CF48DD" w:rsidRDefault="003B35EC" w:rsidP="00CF48DD">
          <w:pPr>
            <w:pStyle w:val="Bodycopy"/>
            <w:spacing w:after="400"/>
            <w:rPr>
              <w:rFonts w:ascii="Verdana" w:hAnsi="Verdana" w:cs="Arial"/>
            </w:rPr>
          </w:pPr>
          <w:r>
            <w:rPr>
              <w:rFonts w:ascii="Verdana" w:hAnsi="Verdana" w:cs="Arial"/>
            </w:rPr>
            <w:t>The attached document report</w:t>
          </w:r>
          <w:r w:rsidR="008351C1">
            <w:rPr>
              <w:rFonts w:ascii="Verdana" w:hAnsi="Verdana" w:cs="Arial"/>
            </w:rPr>
            <w:t>s</w:t>
          </w:r>
          <w:r>
            <w:rPr>
              <w:rFonts w:ascii="Verdana" w:hAnsi="Verdana" w:cs="Arial"/>
            </w:rPr>
            <w:t xml:space="preserve"> on the proceedings of the Roundtable, the key issues raised and recommends further work on some options for improving safety for consumers of such products.</w:t>
          </w:r>
        </w:p>
      </w:sdtContent>
    </w:sdt>
    <w:p w14:paraId="2A0FECC5" w14:textId="77777777" w:rsidR="00CF48DD" w:rsidRDefault="003D5D41" w:rsidP="00CF48DD">
      <w:pPr>
        <w:rPr>
          <w:rFonts w:ascii="Verdana" w:hAnsi="Verdana" w:cs="Arial"/>
          <w:sz w:val="20"/>
          <w:szCs w:val="20"/>
        </w:rPr>
      </w:pPr>
      <w:r w:rsidRPr="00ED06BD">
        <w:rPr>
          <w:rFonts w:ascii="Verdana" w:hAnsi="Verdana" w:cs="Arial"/>
          <w:noProof/>
          <w:sz w:val="20"/>
          <w:szCs w:val="20"/>
          <w:lang w:eastAsia="en-AU"/>
        </w:rPr>
        <w:drawing>
          <wp:inline distT="0" distB="0" distL="0" distR="0" wp14:anchorId="30F44F6E" wp14:editId="279808CD">
            <wp:extent cx="1085333" cy="504746"/>
            <wp:effectExtent l="0" t="0" r="635" b="0"/>
            <wp:docPr id="6" name="Picture 6" descr="Signature: Gary Ra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4372" cy="546155"/>
                    </a:xfrm>
                    <a:prstGeom prst="rect">
                      <a:avLst/>
                    </a:prstGeom>
                    <a:noFill/>
                    <a:ln>
                      <a:noFill/>
                    </a:ln>
                  </pic:spPr>
                </pic:pic>
              </a:graphicData>
            </a:graphic>
          </wp:inline>
        </w:drawing>
      </w:r>
    </w:p>
    <w:p w14:paraId="276D8F32" w14:textId="43302BDF" w:rsidR="003D5D41" w:rsidRPr="00ED06BD" w:rsidRDefault="003D5D41" w:rsidP="00CF48DD">
      <w:pPr>
        <w:rPr>
          <w:rFonts w:ascii="Verdana" w:hAnsi="Verdana"/>
          <w:b/>
          <w:sz w:val="20"/>
          <w:szCs w:val="20"/>
        </w:rPr>
      </w:pPr>
      <w:r w:rsidRPr="00ED06BD">
        <w:rPr>
          <w:rFonts w:ascii="Verdana" w:hAnsi="Verdana"/>
          <w:b/>
          <w:sz w:val="20"/>
          <w:szCs w:val="20"/>
        </w:rPr>
        <w:t>Gary Rake</w:t>
      </w:r>
    </w:p>
    <w:p w14:paraId="311B29BC" w14:textId="77777777" w:rsidR="00516450" w:rsidRPr="00ED06BD" w:rsidRDefault="003D5D41" w:rsidP="00516450">
      <w:pPr>
        <w:spacing w:after="0"/>
        <w:rPr>
          <w:rFonts w:ascii="Verdana" w:hAnsi="Verdana"/>
          <w:b/>
          <w:sz w:val="20"/>
          <w:szCs w:val="20"/>
        </w:rPr>
      </w:pPr>
      <w:r w:rsidRPr="00ED06BD">
        <w:rPr>
          <w:rFonts w:ascii="Verdana" w:hAnsi="Verdana"/>
          <w:b/>
          <w:sz w:val="20"/>
          <w:szCs w:val="20"/>
        </w:rPr>
        <w:t>Partner</w:t>
      </w:r>
    </w:p>
    <w:p w14:paraId="7A1CF074" w14:textId="77777777" w:rsidR="00516450" w:rsidRPr="00ED06BD" w:rsidRDefault="00080B10" w:rsidP="00B83FCB">
      <w:pPr>
        <w:spacing w:after="120"/>
        <w:rPr>
          <w:rFonts w:ascii="Verdana" w:hAnsi="Verdana"/>
          <w:b/>
          <w:sz w:val="20"/>
          <w:szCs w:val="20"/>
        </w:rPr>
      </w:pPr>
      <w:r>
        <w:rPr>
          <w:rFonts w:ascii="Verdana" w:hAnsi="Verdana"/>
          <w:b/>
          <w:sz w:val="20"/>
          <w:szCs w:val="20"/>
        </w:rPr>
        <w:t>Deloitte Consulting Pty Ltd</w:t>
      </w:r>
    </w:p>
    <w:p w14:paraId="43418634" w14:textId="77777777" w:rsidR="000C7D79" w:rsidRPr="00ED06BD" w:rsidRDefault="000C7D79" w:rsidP="007C55DE">
      <w:pPr>
        <w:pStyle w:val="Heading1"/>
        <w:keepLines w:val="0"/>
        <w:spacing w:before="0" w:after="240" w:line="240" w:lineRule="auto"/>
        <w:rPr>
          <w:rFonts w:ascii="Verdana" w:eastAsia="Times New Roman" w:hAnsi="Verdana" w:cs="OpenSansRegular"/>
          <w:bCs/>
          <w:color w:val="000000" w:themeColor="text1"/>
          <w:kern w:val="32"/>
          <w:sz w:val="40"/>
          <w:szCs w:val="40"/>
        </w:rPr>
        <w:sectPr w:rsidR="000C7D79" w:rsidRPr="00ED06BD" w:rsidSect="00346686">
          <w:headerReference w:type="even" r:id="rId13"/>
          <w:headerReference w:type="default" r:id="rId14"/>
          <w:headerReference w:type="first" r:id="rId15"/>
          <w:pgSz w:w="11906" w:h="16838"/>
          <w:pgMar w:top="1440" w:right="1440" w:bottom="1440" w:left="1440" w:header="708" w:footer="708" w:gutter="0"/>
          <w:cols w:space="708"/>
          <w:docGrid w:linePitch="360"/>
        </w:sectPr>
      </w:pPr>
    </w:p>
    <w:p w14:paraId="43C660AB" w14:textId="77777777" w:rsidR="003D5D41" w:rsidRPr="00ED06BD" w:rsidRDefault="003D5D41" w:rsidP="007C55DE">
      <w:pPr>
        <w:pStyle w:val="Heading1"/>
        <w:keepLines w:val="0"/>
        <w:spacing w:before="0" w:after="240" w:line="240" w:lineRule="auto"/>
        <w:rPr>
          <w:rFonts w:ascii="Verdana" w:eastAsia="Times New Roman" w:hAnsi="Verdana" w:cs="OpenSansRegular"/>
          <w:bCs/>
          <w:color w:val="000000" w:themeColor="text1"/>
          <w:kern w:val="32"/>
          <w:sz w:val="40"/>
          <w:szCs w:val="40"/>
        </w:rPr>
        <w:sectPr w:rsidR="003D5D41" w:rsidRPr="00ED06BD" w:rsidSect="000C7D79">
          <w:type w:val="continuous"/>
          <w:pgSz w:w="11906" w:h="16838"/>
          <w:pgMar w:top="1440" w:right="1440" w:bottom="1440" w:left="1440" w:header="708" w:footer="708" w:gutter="0"/>
          <w:cols w:space="708"/>
          <w:docGrid w:linePitch="360"/>
        </w:sectPr>
      </w:pPr>
    </w:p>
    <w:p w14:paraId="2C77498D" w14:textId="77777777" w:rsidR="007C55DE" w:rsidRPr="00ED06BD" w:rsidRDefault="008D071E" w:rsidP="007C55DE">
      <w:pPr>
        <w:pStyle w:val="Heading1"/>
        <w:keepLines w:val="0"/>
        <w:spacing w:before="0" w:after="240" w:line="240" w:lineRule="auto"/>
        <w:rPr>
          <w:rFonts w:ascii="Verdana" w:eastAsia="Verdana" w:hAnsi="Verdana" w:cs="OpenSansRegular"/>
          <w:sz w:val="18"/>
          <w:szCs w:val="18"/>
        </w:rPr>
      </w:pPr>
      <w:bookmarkStart w:id="4" w:name="_Toc521503519"/>
      <w:r>
        <w:rPr>
          <w:rFonts w:ascii="Verdana" w:eastAsia="Times New Roman" w:hAnsi="Verdana" w:cs="OpenSansRegular"/>
          <w:bCs/>
          <w:color w:val="000000" w:themeColor="text1"/>
          <w:kern w:val="32"/>
          <w:sz w:val="40"/>
          <w:szCs w:val="40"/>
        </w:rPr>
        <w:lastRenderedPageBreak/>
        <w:t>Background</w:t>
      </w:r>
      <w:bookmarkEnd w:id="4"/>
    </w:p>
    <w:p w14:paraId="774D805C" w14:textId="77777777" w:rsidR="008D071E" w:rsidRPr="008D071E" w:rsidRDefault="00A56D04" w:rsidP="008D071E">
      <w:pPr>
        <w:rPr>
          <w:rFonts w:ascii="Verdana" w:hAnsi="Verdana" w:cs="OpenSansRegular"/>
          <w:sz w:val="20"/>
          <w:szCs w:val="20"/>
        </w:rPr>
      </w:pPr>
      <w:r>
        <w:rPr>
          <w:rFonts w:ascii="Verdana" w:hAnsi="Verdana" w:cs="OpenSansRegular"/>
          <w:sz w:val="20"/>
          <w:szCs w:val="20"/>
        </w:rPr>
        <w:t>The round</w:t>
      </w:r>
      <w:r w:rsidR="008D071E" w:rsidRPr="008D071E">
        <w:rPr>
          <w:rFonts w:ascii="Verdana" w:hAnsi="Verdana" w:cs="OpenSansRegular"/>
          <w:sz w:val="20"/>
          <w:szCs w:val="20"/>
        </w:rPr>
        <w:t>table was convened by the Australian Government Department of Health on behalf of the Food Regulation Standing Committee (FRSC)</w:t>
      </w:r>
      <w:r>
        <w:rPr>
          <w:rFonts w:ascii="Verdana" w:hAnsi="Verdana" w:cs="OpenSansRegular"/>
          <w:sz w:val="20"/>
          <w:szCs w:val="20"/>
        </w:rPr>
        <w:t xml:space="preserve"> after th</w:t>
      </w:r>
      <w:r w:rsidR="008D071E" w:rsidRPr="008D071E">
        <w:rPr>
          <w:rFonts w:ascii="Verdana" w:hAnsi="Verdana" w:cs="OpenSansRegular"/>
          <w:sz w:val="20"/>
          <w:szCs w:val="20"/>
        </w:rPr>
        <w:t xml:space="preserve">e </w:t>
      </w:r>
      <w:r w:rsidR="00903D59">
        <w:rPr>
          <w:rFonts w:ascii="Verdana" w:hAnsi="Verdana" w:cs="OpenSansRegular"/>
          <w:sz w:val="20"/>
          <w:szCs w:val="20"/>
        </w:rPr>
        <w:t xml:space="preserve">Australian Government </w:t>
      </w:r>
      <w:r w:rsidR="008D071E" w:rsidRPr="008D071E">
        <w:rPr>
          <w:rFonts w:ascii="Verdana" w:hAnsi="Verdana" w:cs="OpenSansRegular"/>
          <w:sz w:val="20"/>
          <w:szCs w:val="20"/>
        </w:rPr>
        <w:t xml:space="preserve">Minister </w:t>
      </w:r>
      <w:r>
        <w:rPr>
          <w:rFonts w:ascii="Verdana" w:hAnsi="Verdana" w:cs="OpenSansRegular"/>
          <w:sz w:val="20"/>
          <w:szCs w:val="20"/>
        </w:rPr>
        <w:t>for Health wrote</w:t>
      </w:r>
      <w:r w:rsidR="008D071E" w:rsidRPr="008D071E">
        <w:rPr>
          <w:rFonts w:ascii="Verdana" w:hAnsi="Verdana" w:cs="OpenSansRegular"/>
          <w:sz w:val="20"/>
          <w:szCs w:val="20"/>
        </w:rPr>
        <w:t xml:space="preserve"> to the A</w:t>
      </w:r>
      <w:r>
        <w:rPr>
          <w:rFonts w:ascii="Verdana" w:hAnsi="Verdana" w:cs="OpenSansRegular"/>
          <w:sz w:val="20"/>
          <w:szCs w:val="20"/>
        </w:rPr>
        <w:t>cting</w:t>
      </w:r>
      <w:r w:rsidR="008D071E" w:rsidRPr="008D071E">
        <w:rPr>
          <w:rFonts w:ascii="Verdana" w:hAnsi="Verdana" w:cs="OpenSansRegular"/>
          <w:sz w:val="20"/>
          <w:szCs w:val="20"/>
        </w:rPr>
        <w:t xml:space="preserve"> Chair of FRSC in relation to the death of a young woman in Western Australia. </w:t>
      </w:r>
      <w:r>
        <w:rPr>
          <w:rFonts w:ascii="Verdana" w:hAnsi="Verdana" w:cs="OpenSansRegular"/>
          <w:sz w:val="20"/>
          <w:szCs w:val="20"/>
        </w:rPr>
        <w:t>The</w:t>
      </w:r>
      <w:r w:rsidR="008D071E" w:rsidRPr="008D071E">
        <w:rPr>
          <w:rFonts w:ascii="Verdana" w:hAnsi="Verdana" w:cs="OpenSansRegular"/>
          <w:sz w:val="20"/>
          <w:szCs w:val="20"/>
        </w:rPr>
        <w:t xml:space="preserve"> </w:t>
      </w:r>
      <w:r>
        <w:rPr>
          <w:rFonts w:ascii="Verdana" w:hAnsi="Verdana" w:cs="OpenSansRegular"/>
          <w:sz w:val="20"/>
          <w:szCs w:val="20"/>
        </w:rPr>
        <w:t>young woman’s death was</w:t>
      </w:r>
      <w:r w:rsidR="008D071E" w:rsidRPr="008D071E">
        <w:rPr>
          <w:rFonts w:ascii="Verdana" w:hAnsi="Verdana" w:cs="OpenSansRegular"/>
          <w:sz w:val="20"/>
          <w:szCs w:val="20"/>
        </w:rPr>
        <w:t xml:space="preserve"> attributed to an underlying metabolic disorder</w:t>
      </w:r>
      <w:r>
        <w:rPr>
          <w:rFonts w:ascii="Verdana" w:hAnsi="Verdana" w:cs="OpenSansRegular"/>
          <w:sz w:val="20"/>
          <w:szCs w:val="20"/>
        </w:rPr>
        <w:t xml:space="preserve"> </w:t>
      </w:r>
      <w:r w:rsidR="008D071E" w:rsidRPr="008D071E">
        <w:rPr>
          <w:rFonts w:ascii="Verdana" w:hAnsi="Verdana" w:cs="OpenSansRegular"/>
          <w:sz w:val="20"/>
          <w:szCs w:val="20"/>
        </w:rPr>
        <w:t>- Urea Cycle Disorder</w:t>
      </w:r>
      <w:r w:rsidR="008351C1">
        <w:rPr>
          <w:rFonts w:ascii="Verdana" w:hAnsi="Verdana" w:cs="OpenSansRegular"/>
          <w:sz w:val="20"/>
          <w:szCs w:val="20"/>
        </w:rPr>
        <w:t xml:space="preserve"> </w:t>
      </w:r>
      <w:r w:rsidR="008D071E" w:rsidRPr="008D071E">
        <w:rPr>
          <w:rFonts w:ascii="Verdana" w:hAnsi="Verdana" w:cs="OpenSansRegular"/>
          <w:sz w:val="20"/>
          <w:szCs w:val="20"/>
        </w:rPr>
        <w:t xml:space="preserve">- where her body was unable to metabolise </w:t>
      </w:r>
      <w:r>
        <w:rPr>
          <w:rFonts w:ascii="Verdana" w:hAnsi="Verdana" w:cs="OpenSansRegular"/>
          <w:sz w:val="20"/>
          <w:szCs w:val="20"/>
        </w:rPr>
        <w:t>her</w:t>
      </w:r>
      <w:r w:rsidR="008D071E" w:rsidRPr="008D071E">
        <w:rPr>
          <w:rFonts w:ascii="Verdana" w:hAnsi="Verdana" w:cs="OpenSansRegular"/>
          <w:sz w:val="20"/>
          <w:szCs w:val="20"/>
        </w:rPr>
        <w:t xml:space="preserve"> high protein diet</w:t>
      </w:r>
      <w:r w:rsidR="0060536B">
        <w:rPr>
          <w:rFonts w:ascii="Verdana" w:hAnsi="Verdana" w:cs="OpenSansRegular"/>
          <w:sz w:val="20"/>
          <w:szCs w:val="20"/>
        </w:rPr>
        <w:t xml:space="preserve"> (</w:t>
      </w:r>
      <w:r w:rsidR="008D071E" w:rsidRPr="008D071E">
        <w:rPr>
          <w:rFonts w:ascii="Verdana" w:hAnsi="Verdana" w:cs="OpenSansRegular"/>
          <w:sz w:val="20"/>
          <w:szCs w:val="20"/>
        </w:rPr>
        <w:t>includ</w:t>
      </w:r>
      <w:r w:rsidR="0060536B">
        <w:rPr>
          <w:rFonts w:ascii="Verdana" w:hAnsi="Verdana" w:cs="OpenSansRegular"/>
          <w:sz w:val="20"/>
          <w:szCs w:val="20"/>
        </w:rPr>
        <w:t>ing</w:t>
      </w:r>
      <w:r w:rsidR="008D071E" w:rsidRPr="008D071E">
        <w:rPr>
          <w:rFonts w:ascii="Verdana" w:hAnsi="Verdana" w:cs="OpenSansRegular"/>
          <w:sz w:val="20"/>
          <w:szCs w:val="20"/>
        </w:rPr>
        <w:t xml:space="preserve"> protein rich foods and various sports supplement protein powders</w:t>
      </w:r>
      <w:r w:rsidR="0060536B">
        <w:rPr>
          <w:rFonts w:ascii="Verdana" w:hAnsi="Verdana" w:cs="OpenSansRegular"/>
          <w:sz w:val="20"/>
          <w:szCs w:val="20"/>
        </w:rPr>
        <w:t>)</w:t>
      </w:r>
      <w:r w:rsidR="008D071E" w:rsidRPr="008D071E">
        <w:rPr>
          <w:rFonts w:ascii="Verdana" w:hAnsi="Verdana" w:cs="OpenSansRegular"/>
          <w:sz w:val="20"/>
          <w:szCs w:val="20"/>
        </w:rPr>
        <w:t>.</w:t>
      </w:r>
    </w:p>
    <w:p w14:paraId="734236F7" w14:textId="77777777" w:rsidR="00122A22" w:rsidRPr="00985111" w:rsidRDefault="00A56D04" w:rsidP="00985111">
      <w:pPr>
        <w:rPr>
          <w:rFonts w:ascii="Verdana" w:hAnsi="Verdana" w:cs="OpenSansRegular"/>
          <w:sz w:val="20"/>
          <w:szCs w:val="20"/>
        </w:rPr>
      </w:pPr>
      <w:r>
        <w:rPr>
          <w:rFonts w:ascii="Verdana" w:hAnsi="Verdana" w:cs="OpenSansRegular"/>
          <w:sz w:val="20"/>
          <w:szCs w:val="20"/>
        </w:rPr>
        <w:t>The Minister asked</w:t>
      </w:r>
      <w:r w:rsidR="008D071E" w:rsidRPr="008D071E">
        <w:rPr>
          <w:rFonts w:ascii="Verdana" w:hAnsi="Verdana" w:cs="OpenSansRegular"/>
          <w:sz w:val="20"/>
          <w:szCs w:val="20"/>
        </w:rPr>
        <w:t xml:space="preserve"> FRSC</w:t>
      </w:r>
      <w:r>
        <w:rPr>
          <w:rFonts w:ascii="Verdana" w:hAnsi="Verdana" w:cs="OpenSansRegular"/>
          <w:sz w:val="20"/>
          <w:szCs w:val="20"/>
        </w:rPr>
        <w:t xml:space="preserve"> to</w:t>
      </w:r>
      <w:r w:rsidR="008D071E" w:rsidRPr="008D071E">
        <w:rPr>
          <w:rFonts w:ascii="Verdana" w:hAnsi="Verdana" w:cs="OpenSansRegular"/>
          <w:sz w:val="20"/>
          <w:szCs w:val="20"/>
        </w:rPr>
        <w:t xml:space="preserve"> convene a </w:t>
      </w:r>
      <w:r>
        <w:rPr>
          <w:rFonts w:ascii="Verdana" w:hAnsi="Verdana" w:cs="OpenSansRegular"/>
          <w:sz w:val="20"/>
          <w:szCs w:val="20"/>
        </w:rPr>
        <w:t>roundtable</w:t>
      </w:r>
      <w:r w:rsidR="008D071E" w:rsidRPr="008D071E">
        <w:rPr>
          <w:rFonts w:ascii="Verdana" w:hAnsi="Verdana" w:cs="OpenSansRegular"/>
          <w:sz w:val="20"/>
          <w:szCs w:val="20"/>
        </w:rPr>
        <w:t xml:space="preserve"> to investigate whether there are opportunities at the commonwealth and/or state and territory levels to enhance the safety of consumers who choose to use sports supplements.</w:t>
      </w:r>
    </w:p>
    <w:p w14:paraId="4E439126" w14:textId="77777777" w:rsidR="007C55DE" w:rsidRPr="00122A22" w:rsidRDefault="008D071E" w:rsidP="00BC0D3D">
      <w:pPr>
        <w:pStyle w:val="Heading1"/>
        <w:keepLines w:val="0"/>
        <w:spacing w:before="0" w:after="120" w:line="240" w:lineRule="auto"/>
        <w:rPr>
          <w:rFonts w:ascii="Verdana" w:eastAsia="Times New Roman" w:hAnsi="Verdana" w:cs="OpenSansRegular"/>
          <w:bCs/>
          <w:color w:val="000000" w:themeColor="text1"/>
          <w:kern w:val="32"/>
          <w:sz w:val="40"/>
          <w:szCs w:val="40"/>
        </w:rPr>
      </w:pPr>
      <w:bookmarkStart w:id="5" w:name="_Toc521503521"/>
      <w:r w:rsidRPr="00122A22">
        <w:rPr>
          <w:rFonts w:ascii="Verdana" w:eastAsia="Times New Roman" w:hAnsi="Verdana" w:cs="OpenSansRegular"/>
          <w:bCs/>
          <w:color w:val="000000" w:themeColor="text1"/>
          <w:kern w:val="32"/>
          <w:sz w:val="40"/>
          <w:szCs w:val="40"/>
        </w:rPr>
        <w:t>Attendees</w:t>
      </w:r>
      <w:bookmarkEnd w:id="5"/>
    </w:p>
    <w:p w14:paraId="11243C8B" w14:textId="77777777" w:rsidR="00122A22" w:rsidRPr="00985111" w:rsidRDefault="007C55DE" w:rsidP="00985111">
      <w:pPr>
        <w:spacing w:after="0"/>
        <w:rPr>
          <w:rFonts w:ascii="Verdana" w:hAnsi="Verdana" w:cs="OpenSansRegular"/>
          <w:sz w:val="20"/>
          <w:szCs w:val="20"/>
        </w:rPr>
      </w:pPr>
      <w:r w:rsidRPr="00ED06BD">
        <w:rPr>
          <w:rFonts w:ascii="Verdana" w:hAnsi="Verdana" w:cs="OpenSansRegular"/>
          <w:sz w:val="20"/>
          <w:szCs w:val="20"/>
        </w:rPr>
        <w:t xml:space="preserve">The </w:t>
      </w:r>
      <w:r w:rsidR="003B35EC">
        <w:rPr>
          <w:rFonts w:ascii="Verdana" w:hAnsi="Verdana" w:cs="OpenSansRegular"/>
          <w:sz w:val="20"/>
          <w:szCs w:val="20"/>
        </w:rPr>
        <w:t>roundtable was attended by representatives from Australian Government agencies, state and territory governments, public health organisations and from in</w:t>
      </w:r>
      <w:r w:rsidR="00122A22">
        <w:rPr>
          <w:rFonts w:ascii="Verdana" w:hAnsi="Verdana" w:cs="OpenSansRegular"/>
          <w:sz w:val="20"/>
          <w:szCs w:val="20"/>
        </w:rPr>
        <w:t>dustry.</w:t>
      </w:r>
    </w:p>
    <w:tbl>
      <w:tblPr>
        <w:tblStyle w:val="TableGrid2"/>
        <w:tblpPr w:leftFromText="180" w:rightFromText="180" w:vertAnchor="text" w:horzAnchor="margin" w:tblpXSpec="center" w:tblpY="259"/>
        <w:tblW w:w="9243" w:type="dxa"/>
        <w:tblLook w:val="04A0" w:firstRow="1" w:lastRow="0" w:firstColumn="1" w:lastColumn="0" w:noHBand="0" w:noVBand="1"/>
        <w:tblDescription w:val="attendees."/>
      </w:tblPr>
      <w:tblGrid>
        <w:gridCol w:w="3261"/>
        <w:gridCol w:w="5982"/>
      </w:tblGrid>
      <w:tr w:rsidR="00985111" w:rsidRPr="00985111" w14:paraId="0FA2895F" w14:textId="77777777" w:rsidTr="006F03F1">
        <w:trPr>
          <w:tblHeader/>
        </w:trPr>
        <w:tc>
          <w:tcPr>
            <w:tcW w:w="3261" w:type="dxa"/>
            <w:shd w:val="clear" w:color="auto" w:fill="BFBFBF"/>
            <w:vAlign w:val="center"/>
          </w:tcPr>
          <w:p w14:paraId="36335CE4" w14:textId="77777777" w:rsidR="00985111" w:rsidRPr="00985111" w:rsidRDefault="00985111" w:rsidP="00A56D04">
            <w:pPr>
              <w:rPr>
                <w:rFonts w:ascii="Verdana" w:hAnsi="Verdana" w:cs="Arial"/>
                <w:sz w:val="18"/>
                <w:szCs w:val="18"/>
              </w:rPr>
            </w:pPr>
            <w:r w:rsidRPr="00985111">
              <w:rPr>
                <w:rFonts w:ascii="Verdana" w:hAnsi="Verdana" w:cs="Arial"/>
                <w:sz w:val="18"/>
                <w:szCs w:val="18"/>
              </w:rPr>
              <w:t>Name</w:t>
            </w:r>
          </w:p>
        </w:tc>
        <w:tc>
          <w:tcPr>
            <w:tcW w:w="5982" w:type="dxa"/>
            <w:shd w:val="clear" w:color="auto" w:fill="BFBFBF"/>
            <w:vAlign w:val="center"/>
          </w:tcPr>
          <w:p w14:paraId="6B7F59BD" w14:textId="77777777" w:rsidR="00985111" w:rsidRPr="00985111" w:rsidRDefault="00985111" w:rsidP="00A56D04">
            <w:pPr>
              <w:rPr>
                <w:rFonts w:ascii="Verdana" w:hAnsi="Verdana" w:cs="Arial"/>
                <w:sz w:val="18"/>
                <w:szCs w:val="18"/>
              </w:rPr>
            </w:pPr>
            <w:r w:rsidRPr="00985111">
              <w:rPr>
                <w:rFonts w:ascii="Verdana" w:hAnsi="Verdana" w:cs="Arial"/>
                <w:sz w:val="18"/>
                <w:szCs w:val="18"/>
              </w:rPr>
              <w:t>Organisation</w:t>
            </w:r>
          </w:p>
        </w:tc>
      </w:tr>
      <w:tr w:rsidR="00985111" w:rsidRPr="00985111" w14:paraId="3052A864" w14:textId="77777777" w:rsidTr="00BC0D3D">
        <w:tc>
          <w:tcPr>
            <w:tcW w:w="3261" w:type="dxa"/>
            <w:vAlign w:val="center"/>
          </w:tcPr>
          <w:p w14:paraId="697CAF97" w14:textId="77777777" w:rsidR="00985111" w:rsidRPr="00985111" w:rsidRDefault="00985111" w:rsidP="00A56D04">
            <w:pPr>
              <w:rPr>
                <w:rFonts w:ascii="Verdana" w:hAnsi="Verdana" w:cs="Arial"/>
                <w:sz w:val="18"/>
                <w:szCs w:val="18"/>
              </w:rPr>
            </w:pPr>
            <w:r w:rsidRPr="00985111">
              <w:rPr>
                <w:rFonts w:ascii="Verdana" w:hAnsi="Verdana" w:cs="Arial"/>
                <w:sz w:val="18"/>
                <w:szCs w:val="18"/>
              </w:rPr>
              <w:t>Gary Rake</w:t>
            </w:r>
          </w:p>
        </w:tc>
        <w:tc>
          <w:tcPr>
            <w:tcW w:w="5982" w:type="dxa"/>
            <w:vAlign w:val="center"/>
          </w:tcPr>
          <w:p w14:paraId="6F6928E4" w14:textId="77777777" w:rsidR="00985111" w:rsidRPr="00985111" w:rsidRDefault="00985111" w:rsidP="00A56D04">
            <w:pPr>
              <w:rPr>
                <w:rFonts w:ascii="Verdana" w:hAnsi="Verdana" w:cs="Arial"/>
                <w:sz w:val="18"/>
                <w:szCs w:val="18"/>
              </w:rPr>
            </w:pPr>
            <w:r w:rsidRPr="00985111">
              <w:rPr>
                <w:rFonts w:ascii="Verdana" w:hAnsi="Verdana" w:cs="Arial"/>
                <w:sz w:val="18"/>
                <w:szCs w:val="18"/>
              </w:rPr>
              <w:t>Facilitator, Deloitte</w:t>
            </w:r>
          </w:p>
        </w:tc>
      </w:tr>
      <w:tr w:rsidR="00985111" w:rsidRPr="00985111" w14:paraId="61DA887B" w14:textId="77777777" w:rsidTr="00BC0D3D">
        <w:tc>
          <w:tcPr>
            <w:tcW w:w="3261" w:type="dxa"/>
            <w:vAlign w:val="center"/>
          </w:tcPr>
          <w:p w14:paraId="6E12DE04" w14:textId="77777777" w:rsidR="00A56D04" w:rsidRDefault="00985111" w:rsidP="00A56D04">
            <w:pPr>
              <w:rPr>
                <w:rFonts w:ascii="Verdana" w:hAnsi="Verdana" w:cs="Arial"/>
                <w:sz w:val="18"/>
                <w:szCs w:val="18"/>
              </w:rPr>
            </w:pPr>
            <w:r w:rsidRPr="00985111">
              <w:rPr>
                <w:rFonts w:ascii="Verdana" w:hAnsi="Verdana" w:cs="Arial"/>
                <w:sz w:val="18"/>
                <w:szCs w:val="18"/>
              </w:rPr>
              <w:t>Lyndall Soper</w:t>
            </w:r>
          </w:p>
          <w:p w14:paraId="64DC298D" w14:textId="77777777" w:rsidR="00A56D04" w:rsidRDefault="00985111" w:rsidP="00A56D04">
            <w:pPr>
              <w:rPr>
                <w:rFonts w:ascii="Verdana" w:hAnsi="Verdana" w:cs="Arial"/>
                <w:sz w:val="18"/>
                <w:szCs w:val="18"/>
              </w:rPr>
            </w:pPr>
            <w:r w:rsidRPr="00985111">
              <w:rPr>
                <w:rFonts w:ascii="Verdana" w:hAnsi="Verdana" w:cs="Arial"/>
                <w:sz w:val="18"/>
                <w:szCs w:val="18"/>
              </w:rPr>
              <w:t xml:space="preserve">Christel </w:t>
            </w:r>
            <w:proofErr w:type="spellStart"/>
            <w:r w:rsidRPr="00985111">
              <w:rPr>
                <w:rFonts w:ascii="Verdana" w:hAnsi="Verdana" w:cs="Arial"/>
                <w:sz w:val="18"/>
                <w:szCs w:val="18"/>
              </w:rPr>
              <w:t>Leemhuis</w:t>
            </w:r>
            <w:proofErr w:type="spellEnd"/>
          </w:p>
          <w:p w14:paraId="6D32E7DA" w14:textId="77777777" w:rsidR="00A56D04" w:rsidRDefault="00985111" w:rsidP="00A56D04">
            <w:pPr>
              <w:rPr>
                <w:rFonts w:ascii="Verdana" w:hAnsi="Verdana" w:cs="Arial"/>
                <w:sz w:val="18"/>
                <w:szCs w:val="18"/>
              </w:rPr>
            </w:pPr>
            <w:r w:rsidRPr="00985111">
              <w:rPr>
                <w:rFonts w:ascii="Verdana" w:hAnsi="Verdana" w:cs="Arial"/>
                <w:sz w:val="18"/>
                <w:szCs w:val="18"/>
              </w:rPr>
              <w:t>Holly Jones</w:t>
            </w:r>
          </w:p>
          <w:p w14:paraId="54F58A09" w14:textId="77777777" w:rsidR="00A56D04" w:rsidRDefault="00985111" w:rsidP="00A56D04">
            <w:pPr>
              <w:rPr>
                <w:rFonts w:ascii="Verdana" w:hAnsi="Verdana" w:cs="Arial"/>
                <w:sz w:val="18"/>
                <w:szCs w:val="18"/>
              </w:rPr>
            </w:pPr>
            <w:r w:rsidRPr="00985111">
              <w:rPr>
                <w:rFonts w:ascii="Verdana" w:hAnsi="Verdana" w:cs="Arial"/>
                <w:sz w:val="18"/>
                <w:szCs w:val="18"/>
              </w:rPr>
              <w:t>Belinda Turk</w:t>
            </w:r>
          </w:p>
          <w:p w14:paraId="6ABD4E36" w14:textId="77777777" w:rsidR="00985111" w:rsidRPr="00985111" w:rsidRDefault="00985111" w:rsidP="00A56D04">
            <w:pPr>
              <w:rPr>
                <w:rFonts w:ascii="Verdana" w:hAnsi="Verdana" w:cs="Arial"/>
                <w:sz w:val="18"/>
                <w:szCs w:val="18"/>
              </w:rPr>
            </w:pPr>
            <w:r w:rsidRPr="00985111">
              <w:rPr>
                <w:rFonts w:ascii="Verdana" w:hAnsi="Verdana" w:cs="Arial"/>
                <w:sz w:val="18"/>
                <w:szCs w:val="18"/>
              </w:rPr>
              <w:t xml:space="preserve">Andrew </w:t>
            </w:r>
            <w:proofErr w:type="spellStart"/>
            <w:r w:rsidRPr="00985111">
              <w:rPr>
                <w:rFonts w:ascii="Verdana" w:hAnsi="Verdana" w:cs="Arial"/>
                <w:sz w:val="18"/>
                <w:szCs w:val="18"/>
              </w:rPr>
              <w:t>Godkin</w:t>
            </w:r>
            <w:proofErr w:type="spellEnd"/>
          </w:p>
          <w:p w14:paraId="7B6E70BD" w14:textId="77777777" w:rsidR="00985111" w:rsidRDefault="00985111" w:rsidP="00A56D04">
            <w:pPr>
              <w:rPr>
                <w:rFonts w:ascii="Verdana" w:hAnsi="Verdana" w:cs="Arial"/>
                <w:sz w:val="18"/>
                <w:szCs w:val="18"/>
              </w:rPr>
            </w:pPr>
            <w:r w:rsidRPr="00985111">
              <w:rPr>
                <w:rFonts w:ascii="Verdana" w:hAnsi="Verdana" w:cs="Arial"/>
                <w:sz w:val="18"/>
                <w:szCs w:val="18"/>
              </w:rPr>
              <w:t xml:space="preserve">Dr Lucas de </w:t>
            </w:r>
            <w:proofErr w:type="spellStart"/>
            <w:r w:rsidRPr="00985111">
              <w:rPr>
                <w:rFonts w:ascii="Verdana" w:hAnsi="Verdana" w:cs="Arial"/>
                <w:sz w:val="18"/>
                <w:szCs w:val="18"/>
              </w:rPr>
              <w:t>Toca</w:t>
            </w:r>
            <w:proofErr w:type="spellEnd"/>
          </w:p>
          <w:p w14:paraId="56E7FDEB" w14:textId="77777777" w:rsidR="00D23F19" w:rsidRPr="00985111" w:rsidRDefault="00D23F19" w:rsidP="00A56D04">
            <w:pPr>
              <w:rPr>
                <w:rFonts w:ascii="Verdana" w:hAnsi="Verdana" w:cs="Arial"/>
                <w:sz w:val="18"/>
                <w:szCs w:val="18"/>
              </w:rPr>
            </w:pPr>
            <w:r>
              <w:rPr>
                <w:rFonts w:ascii="Verdana" w:hAnsi="Verdana" w:cs="Arial"/>
                <w:sz w:val="18"/>
                <w:szCs w:val="18"/>
              </w:rPr>
              <w:t xml:space="preserve">Dr Lisa </w:t>
            </w:r>
            <w:proofErr w:type="spellStart"/>
            <w:r>
              <w:rPr>
                <w:rFonts w:ascii="Verdana" w:hAnsi="Verdana" w:cs="Arial"/>
                <w:sz w:val="18"/>
                <w:szCs w:val="18"/>
              </w:rPr>
              <w:t>Studdert</w:t>
            </w:r>
            <w:proofErr w:type="spellEnd"/>
            <w:r>
              <w:rPr>
                <w:rFonts w:ascii="Verdana" w:hAnsi="Verdana" w:cs="Arial"/>
                <w:sz w:val="18"/>
                <w:szCs w:val="18"/>
              </w:rPr>
              <w:t xml:space="preserve"> (afternoon only)</w:t>
            </w:r>
          </w:p>
        </w:tc>
        <w:tc>
          <w:tcPr>
            <w:tcW w:w="5982" w:type="dxa"/>
            <w:vAlign w:val="center"/>
          </w:tcPr>
          <w:p w14:paraId="1D04F292" w14:textId="77777777" w:rsidR="00985111" w:rsidRPr="00985111" w:rsidRDefault="00985111" w:rsidP="00A56D04">
            <w:pPr>
              <w:rPr>
                <w:rFonts w:ascii="Verdana" w:hAnsi="Verdana" w:cs="Arial"/>
                <w:sz w:val="18"/>
                <w:szCs w:val="18"/>
              </w:rPr>
            </w:pPr>
            <w:r w:rsidRPr="00985111">
              <w:rPr>
                <w:rFonts w:ascii="Verdana" w:hAnsi="Verdana" w:cs="Arial"/>
                <w:sz w:val="18"/>
                <w:szCs w:val="18"/>
              </w:rPr>
              <w:t xml:space="preserve">Australian Government Department of Health </w:t>
            </w:r>
          </w:p>
        </w:tc>
      </w:tr>
      <w:tr w:rsidR="00985111" w:rsidRPr="00985111" w14:paraId="1FBA7F26" w14:textId="77777777" w:rsidTr="00BC0D3D">
        <w:tc>
          <w:tcPr>
            <w:tcW w:w="3261" w:type="dxa"/>
            <w:vAlign w:val="center"/>
          </w:tcPr>
          <w:p w14:paraId="17B2AE6D" w14:textId="77777777" w:rsidR="00985111" w:rsidRPr="00985111" w:rsidRDefault="00985111" w:rsidP="00A56D04">
            <w:pPr>
              <w:rPr>
                <w:rFonts w:ascii="Verdana" w:hAnsi="Verdana" w:cs="Arial"/>
                <w:sz w:val="18"/>
                <w:szCs w:val="18"/>
              </w:rPr>
            </w:pPr>
            <w:r w:rsidRPr="00985111">
              <w:rPr>
                <w:rFonts w:ascii="Verdana" w:hAnsi="Verdana" w:cs="Arial"/>
                <w:sz w:val="18"/>
                <w:szCs w:val="18"/>
              </w:rPr>
              <w:t xml:space="preserve">Mark </w:t>
            </w:r>
            <w:proofErr w:type="spellStart"/>
            <w:r w:rsidRPr="00985111">
              <w:rPr>
                <w:rFonts w:ascii="Verdana" w:hAnsi="Verdana" w:cs="Arial"/>
                <w:sz w:val="18"/>
                <w:szCs w:val="18"/>
              </w:rPr>
              <w:t>Phythian</w:t>
            </w:r>
            <w:proofErr w:type="spellEnd"/>
          </w:p>
        </w:tc>
        <w:tc>
          <w:tcPr>
            <w:tcW w:w="5982" w:type="dxa"/>
            <w:vAlign w:val="center"/>
          </w:tcPr>
          <w:p w14:paraId="3CDA59F9" w14:textId="77777777" w:rsidR="00985111" w:rsidRPr="00985111" w:rsidRDefault="00985111" w:rsidP="00A56D04">
            <w:pPr>
              <w:rPr>
                <w:rFonts w:ascii="Verdana" w:hAnsi="Verdana" w:cs="Arial"/>
                <w:sz w:val="18"/>
                <w:szCs w:val="18"/>
              </w:rPr>
            </w:pPr>
            <w:r w:rsidRPr="00985111">
              <w:rPr>
                <w:rFonts w:ascii="Verdana" w:hAnsi="Verdana" w:cs="Arial"/>
                <w:sz w:val="18"/>
                <w:szCs w:val="18"/>
              </w:rPr>
              <w:t>Department of Agriculture and Water Resources</w:t>
            </w:r>
          </w:p>
        </w:tc>
      </w:tr>
      <w:tr w:rsidR="00985111" w:rsidRPr="00985111" w14:paraId="1D5077AE" w14:textId="77777777" w:rsidTr="00BC0D3D">
        <w:tc>
          <w:tcPr>
            <w:tcW w:w="3261" w:type="dxa"/>
            <w:vAlign w:val="center"/>
          </w:tcPr>
          <w:p w14:paraId="50AC988A" w14:textId="77777777" w:rsidR="00985111" w:rsidRPr="00985111" w:rsidRDefault="00985111" w:rsidP="00A56D04">
            <w:pPr>
              <w:rPr>
                <w:rFonts w:ascii="Verdana" w:hAnsi="Verdana" w:cs="Arial"/>
                <w:sz w:val="18"/>
                <w:szCs w:val="18"/>
              </w:rPr>
            </w:pPr>
            <w:r w:rsidRPr="00985111">
              <w:rPr>
                <w:rFonts w:ascii="Verdana" w:hAnsi="Verdana" w:cs="Arial"/>
                <w:sz w:val="18"/>
                <w:szCs w:val="18"/>
              </w:rPr>
              <w:t>Sarah Gifford</w:t>
            </w:r>
          </w:p>
        </w:tc>
        <w:tc>
          <w:tcPr>
            <w:tcW w:w="5982" w:type="dxa"/>
            <w:vAlign w:val="center"/>
          </w:tcPr>
          <w:p w14:paraId="0864C7C5" w14:textId="77777777" w:rsidR="00985111" w:rsidRPr="00985111" w:rsidRDefault="00985111" w:rsidP="00A56D04">
            <w:pPr>
              <w:rPr>
                <w:rFonts w:ascii="Verdana" w:hAnsi="Verdana" w:cs="Arial"/>
                <w:sz w:val="18"/>
                <w:szCs w:val="18"/>
              </w:rPr>
            </w:pPr>
            <w:r w:rsidRPr="00985111">
              <w:rPr>
                <w:rFonts w:ascii="Verdana" w:hAnsi="Verdana" w:cs="Arial"/>
                <w:sz w:val="18"/>
                <w:szCs w:val="18"/>
              </w:rPr>
              <w:t>Department of Industry, Innovation and Science</w:t>
            </w:r>
          </w:p>
        </w:tc>
      </w:tr>
      <w:tr w:rsidR="00985111" w:rsidRPr="00985111" w14:paraId="3D65B8DF" w14:textId="77777777" w:rsidTr="00BC0D3D">
        <w:tc>
          <w:tcPr>
            <w:tcW w:w="3261" w:type="dxa"/>
            <w:vAlign w:val="center"/>
          </w:tcPr>
          <w:p w14:paraId="330C2102" w14:textId="77777777" w:rsidR="00985111" w:rsidRDefault="00D23F19" w:rsidP="00A56D04">
            <w:pPr>
              <w:rPr>
                <w:rFonts w:ascii="Verdana" w:hAnsi="Verdana" w:cs="Arial"/>
                <w:sz w:val="18"/>
                <w:szCs w:val="18"/>
              </w:rPr>
            </w:pPr>
            <w:r>
              <w:rPr>
                <w:rFonts w:ascii="Verdana" w:hAnsi="Verdana" w:cs="Arial"/>
                <w:sz w:val="18"/>
                <w:szCs w:val="18"/>
              </w:rPr>
              <w:t xml:space="preserve">Dr </w:t>
            </w:r>
            <w:r w:rsidR="00985111" w:rsidRPr="00985111">
              <w:rPr>
                <w:rFonts w:ascii="Verdana" w:hAnsi="Verdana" w:cs="Arial"/>
                <w:sz w:val="18"/>
                <w:szCs w:val="18"/>
              </w:rPr>
              <w:t>David Cusack</w:t>
            </w:r>
          </w:p>
          <w:p w14:paraId="735B188C" w14:textId="77777777" w:rsidR="008351C1" w:rsidRPr="00985111" w:rsidRDefault="008351C1" w:rsidP="00A56D04">
            <w:pPr>
              <w:rPr>
                <w:rFonts w:ascii="Verdana" w:hAnsi="Verdana" w:cs="Arial"/>
                <w:sz w:val="18"/>
                <w:szCs w:val="18"/>
              </w:rPr>
            </w:pPr>
            <w:r>
              <w:rPr>
                <w:rFonts w:ascii="Verdana" w:hAnsi="Verdana" w:cs="Arial"/>
                <w:sz w:val="18"/>
                <w:szCs w:val="18"/>
              </w:rPr>
              <w:t>Ian Beer</w:t>
            </w:r>
          </w:p>
        </w:tc>
        <w:tc>
          <w:tcPr>
            <w:tcW w:w="5982" w:type="dxa"/>
            <w:vAlign w:val="center"/>
          </w:tcPr>
          <w:p w14:paraId="08C9B65D" w14:textId="77777777" w:rsidR="00985111" w:rsidRPr="00985111" w:rsidRDefault="00985111" w:rsidP="00A56D04">
            <w:pPr>
              <w:rPr>
                <w:rFonts w:ascii="Verdana" w:hAnsi="Verdana" w:cs="Arial"/>
                <w:sz w:val="18"/>
                <w:szCs w:val="18"/>
              </w:rPr>
            </w:pPr>
            <w:r w:rsidRPr="00985111">
              <w:rPr>
                <w:rFonts w:ascii="Verdana" w:hAnsi="Verdana" w:cs="Arial"/>
                <w:sz w:val="18"/>
                <w:szCs w:val="18"/>
              </w:rPr>
              <w:t>NSW Department of Primary Industries</w:t>
            </w:r>
          </w:p>
        </w:tc>
      </w:tr>
      <w:tr w:rsidR="00985111" w:rsidRPr="00985111" w14:paraId="04FC4335" w14:textId="77777777" w:rsidTr="00BC0D3D">
        <w:tc>
          <w:tcPr>
            <w:tcW w:w="3261" w:type="dxa"/>
            <w:vAlign w:val="center"/>
          </w:tcPr>
          <w:p w14:paraId="02720780" w14:textId="77777777" w:rsidR="00985111" w:rsidRPr="00985111" w:rsidRDefault="00985111" w:rsidP="00A56D04">
            <w:pPr>
              <w:rPr>
                <w:rFonts w:ascii="Verdana" w:hAnsi="Verdana" w:cs="Arial"/>
                <w:sz w:val="18"/>
                <w:szCs w:val="18"/>
              </w:rPr>
            </w:pPr>
            <w:r w:rsidRPr="00985111">
              <w:rPr>
                <w:rFonts w:ascii="Verdana" w:hAnsi="Verdana" w:cs="Arial"/>
                <w:sz w:val="18"/>
                <w:szCs w:val="18"/>
              </w:rPr>
              <w:t>Sophie Dwyer</w:t>
            </w:r>
          </w:p>
        </w:tc>
        <w:tc>
          <w:tcPr>
            <w:tcW w:w="5982" w:type="dxa"/>
            <w:vAlign w:val="center"/>
          </w:tcPr>
          <w:p w14:paraId="6B966DB9" w14:textId="77777777" w:rsidR="00985111" w:rsidRPr="00985111" w:rsidRDefault="00985111" w:rsidP="00A56D04">
            <w:pPr>
              <w:rPr>
                <w:rFonts w:ascii="Verdana" w:hAnsi="Verdana" w:cs="Arial"/>
                <w:sz w:val="18"/>
                <w:szCs w:val="18"/>
              </w:rPr>
            </w:pPr>
            <w:r w:rsidRPr="00985111">
              <w:rPr>
                <w:rFonts w:ascii="Verdana" w:hAnsi="Verdana" w:cs="Arial"/>
                <w:sz w:val="18"/>
                <w:szCs w:val="18"/>
              </w:rPr>
              <w:t>Queensland Health</w:t>
            </w:r>
          </w:p>
        </w:tc>
      </w:tr>
      <w:tr w:rsidR="00985111" w:rsidRPr="00985111" w14:paraId="773BACCF" w14:textId="77777777" w:rsidTr="00BC0D3D">
        <w:tc>
          <w:tcPr>
            <w:tcW w:w="3261" w:type="dxa"/>
            <w:vAlign w:val="center"/>
          </w:tcPr>
          <w:p w14:paraId="5CAAE925" w14:textId="77777777" w:rsidR="00985111" w:rsidRPr="00985111" w:rsidRDefault="00985111" w:rsidP="00A56D04">
            <w:pPr>
              <w:rPr>
                <w:rFonts w:ascii="Verdana" w:hAnsi="Verdana" w:cs="Arial"/>
                <w:sz w:val="18"/>
                <w:szCs w:val="18"/>
              </w:rPr>
            </w:pPr>
            <w:r w:rsidRPr="00985111">
              <w:rPr>
                <w:rFonts w:ascii="Verdana" w:hAnsi="Verdana" w:cs="Arial"/>
                <w:sz w:val="18"/>
                <w:szCs w:val="18"/>
              </w:rPr>
              <w:t>Stan Goodchild</w:t>
            </w:r>
          </w:p>
        </w:tc>
        <w:tc>
          <w:tcPr>
            <w:tcW w:w="5982" w:type="dxa"/>
            <w:vAlign w:val="center"/>
          </w:tcPr>
          <w:p w14:paraId="23BF26AE" w14:textId="77777777" w:rsidR="00985111" w:rsidRPr="00985111" w:rsidRDefault="00985111" w:rsidP="00A56D04">
            <w:pPr>
              <w:rPr>
                <w:rFonts w:ascii="Verdana" w:hAnsi="Verdana" w:cs="Arial"/>
                <w:sz w:val="18"/>
                <w:szCs w:val="18"/>
              </w:rPr>
            </w:pPr>
            <w:r w:rsidRPr="00985111">
              <w:rPr>
                <w:rFonts w:ascii="Verdana" w:hAnsi="Verdana" w:cs="Arial"/>
                <w:sz w:val="18"/>
                <w:szCs w:val="18"/>
              </w:rPr>
              <w:t>Health WA</w:t>
            </w:r>
          </w:p>
        </w:tc>
      </w:tr>
      <w:tr w:rsidR="00985111" w:rsidRPr="00985111" w14:paraId="298D8455" w14:textId="77777777" w:rsidTr="00BC0D3D">
        <w:tc>
          <w:tcPr>
            <w:tcW w:w="3261" w:type="dxa"/>
            <w:vAlign w:val="center"/>
          </w:tcPr>
          <w:p w14:paraId="47618BF7" w14:textId="77777777" w:rsidR="00985111" w:rsidRPr="00985111" w:rsidRDefault="00985111" w:rsidP="00A56D04">
            <w:pPr>
              <w:rPr>
                <w:rFonts w:ascii="Verdana" w:hAnsi="Verdana" w:cs="Arial"/>
                <w:sz w:val="18"/>
                <w:szCs w:val="18"/>
              </w:rPr>
            </w:pPr>
            <w:r w:rsidRPr="00985111">
              <w:rPr>
                <w:rFonts w:ascii="Verdana" w:hAnsi="Verdana" w:cs="Arial"/>
                <w:sz w:val="18"/>
                <w:szCs w:val="18"/>
              </w:rPr>
              <w:t>Conrad Barr</w:t>
            </w:r>
          </w:p>
        </w:tc>
        <w:tc>
          <w:tcPr>
            <w:tcW w:w="5982" w:type="dxa"/>
            <w:vAlign w:val="center"/>
          </w:tcPr>
          <w:p w14:paraId="04436BDC" w14:textId="77777777" w:rsidR="00985111" w:rsidRPr="00985111" w:rsidRDefault="00985111" w:rsidP="00A56D04">
            <w:pPr>
              <w:rPr>
                <w:rFonts w:ascii="Verdana" w:hAnsi="Verdana" w:cs="Arial"/>
                <w:sz w:val="18"/>
                <w:szCs w:val="18"/>
              </w:rPr>
            </w:pPr>
            <w:r w:rsidRPr="00985111">
              <w:rPr>
                <w:rFonts w:ascii="Verdana" w:hAnsi="Verdana" w:cs="Arial"/>
                <w:sz w:val="18"/>
                <w:szCs w:val="18"/>
              </w:rPr>
              <w:t>ACT Health</w:t>
            </w:r>
          </w:p>
        </w:tc>
      </w:tr>
      <w:tr w:rsidR="00985111" w:rsidRPr="00985111" w14:paraId="08FD3F2C" w14:textId="77777777" w:rsidTr="00BC0D3D">
        <w:tc>
          <w:tcPr>
            <w:tcW w:w="3261" w:type="dxa"/>
            <w:vAlign w:val="center"/>
          </w:tcPr>
          <w:p w14:paraId="351A6734" w14:textId="77777777" w:rsidR="00985111" w:rsidRPr="00985111" w:rsidRDefault="00985111" w:rsidP="00A56D04">
            <w:pPr>
              <w:rPr>
                <w:rFonts w:ascii="Verdana" w:hAnsi="Verdana" w:cs="Arial"/>
                <w:sz w:val="18"/>
                <w:szCs w:val="18"/>
              </w:rPr>
            </w:pPr>
            <w:r w:rsidRPr="00985111">
              <w:rPr>
                <w:rFonts w:ascii="Verdana" w:hAnsi="Verdana" w:cs="Arial"/>
                <w:sz w:val="18"/>
                <w:szCs w:val="18"/>
              </w:rPr>
              <w:t>Janelle Kwon</w:t>
            </w:r>
          </w:p>
        </w:tc>
        <w:tc>
          <w:tcPr>
            <w:tcW w:w="5982" w:type="dxa"/>
            <w:vAlign w:val="center"/>
          </w:tcPr>
          <w:p w14:paraId="50F603D1" w14:textId="77777777" w:rsidR="00985111" w:rsidRPr="00985111" w:rsidRDefault="00985111" w:rsidP="00A56D04">
            <w:pPr>
              <w:rPr>
                <w:rFonts w:ascii="Verdana" w:hAnsi="Verdana" w:cs="Arial"/>
                <w:sz w:val="18"/>
                <w:szCs w:val="18"/>
              </w:rPr>
            </w:pPr>
            <w:r w:rsidRPr="00985111">
              <w:rPr>
                <w:rFonts w:ascii="Verdana" w:hAnsi="Verdana" w:cs="Arial"/>
                <w:sz w:val="18"/>
                <w:szCs w:val="18"/>
              </w:rPr>
              <w:t>Department of Health and Human Services Victoria</w:t>
            </w:r>
          </w:p>
        </w:tc>
      </w:tr>
      <w:tr w:rsidR="00985111" w:rsidRPr="00985111" w14:paraId="78859FC4" w14:textId="77777777" w:rsidTr="00BC0D3D">
        <w:tc>
          <w:tcPr>
            <w:tcW w:w="3261" w:type="dxa"/>
            <w:vAlign w:val="center"/>
          </w:tcPr>
          <w:p w14:paraId="766D3114" w14:textId="77777777" w:rsidR="00985111" w:rsidRPr="00985111" w:rsidRDefault="00985111" w:rsidP="00A56D04">
            <w:pPr>
              <w:rPr>
                <w:rFonts w:ascii="Verdana" w:hAnsi="Verdana" w:cs="Arial"/>
                <w:sz w:val="18"/>
                <w:szCs w:val="18"/>
              </w:rPr>
            </w:pPr>
            <w:r w:rsidRPr="00985111">
              <w:rPr>
                <w:rFonts w:ascii="Verdana" w:hAnsi="Verdana" w:cs="Arial"/>
                <w:sz w:val="18"/>
                <w:szCs w:val="18"/>
              </w:rPr>
              <w:t>Dr Fay Jenkins</w:t>
            </w:r>
          </w:p>
        </w:tc>
        <w:tc>
          <w:tcPr>
            <w:tcW w:w="5982" w:type="dxa"/>
            <w:vAlign w:val="center"/>
          </w:tcPr>
          <w:p w14:paraId="5600D203" w14:textId="77777777" w:rsidR="00985111" w:rsidRPr="00985111" w:rsidRDefault="00985111" w:rsidP="00A56D04">
            <w:pPr>
              <w:rPr>
                <w:rFonts w:ascii="Verdana" w:hAnsi="Verdana" w:cs="Arial"/>
                <w:sz w:val="18"/>
                <w:szCs w:val="18"/>
              </w:rPr>
            </w:pPr>
            <w:r w:rsidRPr="00985111">
              <w:rPr>
                <w:rFonts w:ascii="Verdana" w:hAnsi="Verdana" w:cs="Arial"/>
                <w:sz w:val="18"/>
                <w:szCs w:val="18"/>
              </w:rPr>
              <w:t>SA Health</w:t>
            </w:r>
          </w:p>
        </w:tc>
      </w:tr>
      <w:tr w:rsidR="00985111" w:rsidRPr="00985111" w14:paraId="220A162D" w14:textId="77777777" w:rsidTr="00BC0D3D">
        <w:tc>
          <w:tcPr>
            <w:tcW w:w="3261" w:type="dxa"/>
            <w:vAlign w:val="center"/>
          </w:tcPr>
          <w:p w14:paraId="394F2AE0" w14:textId="77777777" w:rsidR="00985111" w:rsidRPr="00985111" w:rsidRDefault="00985111" w:rsidP="00A56D04">
            <w:pPr>
              <w:rPr>
                <w:rFonts w:ascii="Verdana" w:hAnsi="Verdana" w:cs="Arial"/>
                <w:sz w:val="18"/>
                <w:szCs w:val="18"/>
              </w:rPr>
            </w:pPr>
            <w:r w:rsidRPr="00985111">
              <w:rPr>
                <w:rFonts w:ascii="Verdana" w:hAnsi="Verdana" w:cs="Arial"/>
                <w:sz w:val="18"/>
                <w:szCs w:val="18"/>
              </w:rPr>
              <w:t>Karen Lau</w:t>
            </w:r>
          </w:p>
        </w:tc>
        <w:tc>
          <w:tcPr>
            <w:tcW w:w="5982" w:type="dxa"/>
            <w:vAlign w:val="center"/>
          </w:tcPr>
          <w:p w14:paraId="2D2C92D7" w14:textId="77777777" w:rsidR="00985111" w:rsidRPr="00985111" w:rsidRDefault="00985111" w:rsidP="00A56D04">
            <w:pPr>
              <w:rPr>
                <w:rFonts w:ascii="Verdana" w:hAnsi="Verdana" w:cs="Arial"/>
                <w:sz w:val="18"/>
                <w:szCs w:val="18"/>
              </w:rPr>
            </w:pPr>
            <w:r w:rsidRPr="00985111">
              <w:rPr>
                <w:rFonts w:ascii="Verdana" w:hAnsi="Verdana" w:cs="Arial"/>
                <w:sz w:val="18"/>
                <w:szCs w:val="18"/>
              </w:rPr>
              <w:t>New Zealand Ministry for Primary Industries</w:t>
            </w:r>
          </w:p>
        </w:tc>
      </w:tr>
      <w:tr w:rsidR="00985111" w:rsidRPr="00985111" w14:paraId="48B6B7B7" w14:textId="77777777" w:rsidTr="00BC0D3D">
        <w:tc>
          <w:tcPr>
            <w:tcW w:w="3261" w:type="dxa"/>
            <w:vAlign w:val="center"/>
          </w:tcPr>
          <w:p w14:paraId="78018E8A" w14:textId="77777777" w:rsidR="00985111" w:rsidRPr="00985111" w:rsidRDefault="00A9226B" w:rsidP="00A56D04">
            <w:pPr>
              <w:rPr>
                <w:rFonts w:ascii="Verdana" w:hAnsi="Verdana" w:cs="Arial"/>
                <w:sz w:val="18"/>
                <w:szCs w:val="18"/>
              </w:rPr>
            </w:pPr>
            <w:r>
              <w:rPr>
                <w:rFonts w:ascii="Verdana" w:hAnsi="Verdana" w:cs="Arial"/>
                <w:sz w:val="18"/>
                <w:szCs w:val="18"/>
              </w:rPr>
              <w:t xml:space="preserve">Dr </w:t>
            </w:r>
            <w:r w:rsidR="00985111" w:rsidRPr="00985111">
              <w:rPr>
                <w:rFonts w:ascii="Verdana" w:hAnsi="Verdana" w:cs="Arial"/>
                <w:sz w:val="18"/>
                <w:szCs w:val="18"/>
              </w:rPr>
              <w:t>Eva Bennet</w:t>
            </w:r>
          </w:p>
        </w:tc>
        <w:tc>
          <w:tcPr>
            <w:tcW w:w="5982" w:type="dxa"/>
            <w:vAlign w:val="center"/>
          </w:tcPr>
          <w:p w14:paraId="6EC64E4C" w14:textId="77777777" w:rsidR="00985111" w:rsidRPr="00985111" w:rsidRDefault="00985111" w:rsidP="00A56D04">
            <w:pPr>
              <w:rPr>
                <w:rFonts w:ascii="Verdana" w:hAnsi="Verdana" w:cs="Arial"/>
                <w:sz w:val="18"/>
                <w:szCs w:val="18"/>
              </w:rPr>
            </w:pPr>
            <w:r w:rsidRPr="00985111">
              <w:rPr>
                <w:rFonts w:ascii="Verdana" w:hAnsi="Verdana" w:cs="Arial"/>
                <w:sz w:val="18"/>
                <w:szCs w:val="18"/>
              </w:rPr>
              <w:t>Implementation Subcommittee for Food Regulation Chair</w:t>
            </w:r>
          </w:p>
        </w:tc>
      </w:tr>
      <w:tr w:rsidR="00985111" w:rsidRPr="00985111" w14:paraId="15CF2081" w14:textId="77777777" w:rsidTr="00BC0D3D">
        <w:tc>
          <w:tcPr>
            <w:tcW w:w="3261" w:type="dxa"/>
            <w:vAlign w:val="center"/>
          </w:tcPr>
          <w:p w14:paraId="24B2B5EF" w14:textId="77777777" w:rsidR="00A56D04" w:rsidRDefault="00A56D04" w:rsidP="00A56D04">
            <w:pPr>
              <w:rPr>
                <w:rFonts w:ascii="Verdana" w:hAnsi="Verdana" w:cs="Arial"/>
                <w:sz w:val="18"/>
                <w:szCs w:val="18"/>
              </w:rPr>
            </w:pPr>
            <w:r>
              <w:rPr>
                <w:rFonts w:ascii="Verdana" w:hAnsi="Verdana" w:cs="Arial"/>
                <w:sz w:val="18"/>
                <w:szCs w:val="18"/>
              </w:rPr>
              <w:t>Mark Booth</w:t>
            </w:r>
          </w:p>
          <w:p w14:paraId="76FA4C1E" w14:textId="77777777" w:rsidR="00A56D04" w:rsidRDefault="00985111" w:rsidP="00A56D04">
            <w:pPr>
              <w:rPr>
                <w:rFonts w:ascii="Verdana" w:hAnsi="Verdana" w:cs="Arial"/>
                <w:sz w:val="18"/>
                <w:szCs w:val="18"/>
              </w:rPr>
            </w:pPr>
            <w:r w:rsidRPr="00985111">
              <w:rPr>
                <w:rFonts w:ascii="Verdana" w:hAnsi="Verdana" w:cs="Arial"/>
                <w:sz w:val="18"/>
                <w:szCs w:val="18"/>
              </w:rPr>
              <w:t>Janine Lewis</w:t>
            </w:r>
          </w:p>
          <w:p w14:paraId="7B4700DF" w14:textId="77777777" w:rsidR="00985111" w:rsidRPr="00985111" w:rsidRDefault="00985111" w:rsidP="00A56D04">
            <w:pPr>
              <w:rPr>
                <w:rFonts w:ascii="Verdana" w:hAnsi="Verdana" w:cs="Arial"/>
                <w:sz w:val="18"/>
                <w:szCs w:val="18"/>
              </w:rPr>
            </w:pPr>
            <w:r w:rsidRPr="00985111">
              <w:rPr>
                <w:rFonts w:ascii="Verdana" w:hAnsi="Verdana" w:cs="Arial"/>
                <w:sz w:val="18"/>
                <w:szCs w:val="18"/>
              </w:rPr>
              <w:t>Peter May</w:t>
            </w:r>
          </w:p>
        </w:tc>
        <w:tc>
          <w:tcPr>
            <w:tcW w:w="5982" w:type="dxa"/>
            <w:vAlign w:val="center"/>
          </w:tcPr>
          <w:p w14:paraId="6DF97374" w14:textId="77777777" w:rsidR="00985111" w:rsidRPr="00985111" w:rsidRDefault="00985111" w:rsidP="00A56D04">
            <w:pPr>
              <w:rPr>
                <w:rFonts w:ascii="Verdana" w:hAnsi="Verdana" w:cs="Arial"/>
                <w:sz w:val="18"/>
                <w:szCs w:val="18"/>
              </w:rPr>
            </w:pPr>
            <w:r w:rsidRPr="00985111">
              <w:rPr>
                <w:rFonts w:ascii="Verdana" w:hAnsi="Verdana" w:cs="Arial"/>
                <w:sz w:val="18"/>
                <w:szCs w:val="18"/>
              </w:rPr>
              <w:t xml:space="preserve">Food Standards Australia New Zealand </w:t>
            </w:r>
          </w:p>
        </w:tc>
      </w:tr>
      <w:tr w:rsidR="00985111" w:rsidRPr="00985111" w14:paraId="54408234" w14:textId="77777777" w:rsidTr="00BC0D3D">
        <w:tc>
          <w:tcPr>
            <w:tcW w:w="3261" w:type="dxa"/>
            <w:vAlign w:val="center"/>
          </w:tcPr>
          <w:p w14:paraId="461EB5FA" w14:textId="77777777" w:rsidR="00A56D04" w:rsidRDefault="00985111" w:rsidP="00A56D04">
            <w:pPr>
              <w:rPr>
                <w:rFonts w:ascii="Verdana" w:hAnsi="Verdana" w:cs="Arial"/>
                <w:sz w:val="18"/>
                <w:szCs w:val="18"/>
              </w:rPr>
            </w:pPr>
            <w:r w:rsidRPr="00985111">
              <w:rPr>
                <w:rFonts w:ascii="Verdana" w:hAnsi="Verdana" w:cs="Arial"/>
                <w:sz w:val="18"/>
                <w:szCs w:val="18"/>
              </w:rPr>
              <w:t>Dr Adam Cook</w:t>
            </w:r>
          </w:p>
          <w:p w14:paraId="23380BBE" w14:textId="77777777" w:rsidR="00985111" w:rsidRPr="00985111" w:rsidRDefault="00985111" w:rsidP="00A56D04">
            <w:pPr>
              <w:rPr>
                <w:rFonts w:ascii="Verdana" w:hAnsi="Verdana" w:cs="Arial"/>
                <w:sz w:val="18"/>
                <w:szCs w:val="18"/>
              </w:rPr>
            </w:pPr>
            <w:r w:rsidRPr="00985111">
              <w:rPr>
                <w:rFonts w:ascii="Verdana" w:hAnsi="Verdana" w:cs="Arial"/>
                <w:sz w:val="18"/>
                <w:szCs w:val="18"/>
              </w:rPr>
              <w:t>Cheryl McRae</w:t>
            </w:r>
          </w:p>
        </w:tc>
        <w:tc>
          <w:tcPr>
            <w:tcW w:w="5982" w:type="dxa"/>
            <w:vAlign w:val="center"/>
          </w:tcPr>
          <w:p w14:paraId="38273C49" w14:textId="77777777" w:rsidR="00985111" w:rsidRPr="00985111" w:rsidRDefault="00985111" w:rsidP="00A56D04">
            <w:pPr>
              <w:rPr>
                <w:rFonts w:ascii="Verdana" w:hAnsi="Verdana" w:cs="Arial"/>
                <w:sz w:val="18"/>
                <w:szCs w:val="18"/>
              </w:rPr>
            </w:pPr>
            <w:r w:rsidRPr="00985111">
              <w:rPr>
                <w:rFonts w:ascii="Verdana" w:hAnsi="Verdana" w:cs="Arial"/>
                <w:sz w:val="18"/>
                <w:szCs w:val="18"/>
              </w:rPr>
              <w:t>Therapeutic Goods Administration</w:t>
            </w:r>
          </w:p>
        </w:tc>
      </w:tr>
      <w:tr w:rsidR="00985111" w:rsidRPr="00985111" w14:paraId="378BC4DB" w14:textId="77777777" w:rsidTr="00BC0D3D">
        <w:tc>
          <w:tcPr>
            <w:tcW w:w="3261" w:type="dxa"/>
            <w:vAlign w:val="center"/>
          </w:tcPr>
          <w:p w14:paraId="49CFDBE2" w14:textId="77777777" w:rsidR="00985111" w:rsidRPr="00985111" w:rsidRDefault="00985111" w:rsidP="00A56D04">
            <w:pPr>
              <w:rPr>
                <w:rFonts w:ascii="Verdana" w:hAnsi="Verdana" w:cs="Arial"/>
                <w:sz w:val="18"/>
                <w:szCs w:val="18"/>
              </w:rPr>
            </w:pPr>
            <w:r w:rsidRPr="00985111">
              <w:rPr>
                <w:rFonts w:ascii="Verdana" w:hAnsi="Verdana" w:cs="Arial"/>
                <w:sz w:val="18"/>
                <w:szCs w:val="18"/>
              </w:rPr>
              <w:t>Louise Healy</w:t>
            </w:r>
          </w:p>
        </w:tc>
        <w:tc>
          <w:tcPr>
            <w:tcW w:w="5982" w:type="dxa"/>
            <w:vAlign w:val="center"/>
          </w:tcPr>
          <w:p w14:paraId="46334285" w14:textId="77777777" w:rsidR="00985111" w:rsidRPr="00985111" w:rsidRDefault="00985111" w:rsidP="00A56D04">
            <w:pPr>
              <w:rPr>
                <w:rFonts w:ascii="Verdana" w:hAnsi="Verdana" w:cs="Arial"/>
                <w:sz w:val="18"/>
                <w:szCs w:val="18"/>
              </w:rPr>
            </w:pPr>
            <w:r w:rsidRPr="00985111">
              <w:rPr>
                <w:rFonts w:ascii="Verdana" w:hAnsi="Verdana" w:cs="Arial"/>
                <w:sz w:val="18"/>
                <w:szCs w:val="18"/>
              </w:rPr>
              <w:t>Metabolic Dietary Disorders Association</w:t>
            </w:r>
          </w:p>
        </w:tc>
      </w:tr>
      <w:tr w:rsidR="00985111" w:rsidRPr="00985111" w14:paraId="794A8DAE" w14:textId="77777777" w:rsidTr="00BC0D3D">
        <w:tc>
          <w:tcPr>
            <w:tcW w:w="3261" w:type="dxa"/>
            <w:vAlign w:val="center"/>
          </w:tcPr>
          <w:p w14:paraId="080BC58D" w14:textId="77777777" w:rsidR="00985111" w:rsidRPr="00985111" w:rsidRDefault="00985111" w:rsidP="00A56D04">
            <w:pPr>
              <w:rPr>
                <w:rFonts w:ascii="Verdana" w:hAnsi="Verdana" w:cs="Arial"/>
                <w:sz w:val="18"/>
                <w:szCs w:val="18"/>
              </w:rPr>
            </w:pPr>
            <w:r w:rsidRPr="00985111">
              <w:rPr>
                <w:rFonts w:ascii="Verdana" w:hAnsi="Verdana" w:cs="Arial"/>
                <w:sz w:val="18"/>
                <w:szCs w:val="18"/>
              </w:rPr>
              <w:t xml:space="preserve">Dr </w:t>
            </w:r>
            <w:proofErr w:type="spellStart"/>
            <w:r w:rsidRPr="00985111">
              <w:rPr>
                <w:rFonts w:ascii="Verdana" w:hAnsi="Verdana" w:cs="Arial"/>
                <w:sz w:val="18"/>
                <w:szCs w:val="18"/>
              </w:rPr>
              <w:t>Kaustuv</w:t>
            </w:r>
            <w:proofErr w:type="spellEnd"/>
            <w:r w:rsidRPr="00985111">
              <w:rPr>
                <w:rFonts w:ascii="Verdana" w:hAnsi="Verdana" w:cs="Arial"/>
                <w:sz w:val="18"/>
                <w:szCs w:val="18"/>
              </w:rPr>
              <w:t xml:space="preserve"> Bhattacharya</w:t>
            </w:r>
          </w:p>
        </w:tc>
        <w:tc>
          <w:tcPr>
            <w:tcW w:w="5982" w:type="dxa"/>
            <w:vAlign w:val="center"/>
          </w:tcPr>
          <w:p w14:paraId="46A66A58" w14:textId="77777777" w:rsidR="00985111" w:rsidRPr="00985111" w:rsidRDefault="00985111" w:rsidP="00A56D04">
            <w:pPr>
              <w:rPr>
                <w:rFonts w:ascii="Verdana" w:hAnsi="Verdana" w:cs="Arial"/>
                <w:sz w:val="18"/>
                <w:szCs w:val="18"/>
              </w:rPr>
            </w:pPr>
            <w:r w:rsidRPr="00985111">
              <w:rPr>
                <w:rFonts w:ascii="Verdana" w:hAnsi="Verdana" w:cs="Arial"/>
                <w:sz w:val="18"/>
                <w:szCs w:val="18"/>
              </w:rPr>
              <w:t>Representing the Australasian Society of Inborn of Metabolism</w:t>
            </w:r>
          </w:p>
        </w:tc>
      </w:tr>
      <w:tr w:rsidR="00985111" w:rsidRPr="00985111" w14:paraId="33EF6396" w14:textId="77777777" w:rsidTr="00BC0D3D">
        <w:tc>
          <w:tcPr>
            <w:tcW w:w="3261" w:type="dxa"/>
            <w:vAlign w:val="center"/>
          </w:tcPr>
          <w:p w14:paraId="3C2A32A3" w14:textId="77777777" w:rsidR="00985111" w:rsidRPr="00985111" w:rsidRDefault="008351C1" w:rsidP="00A56D04">
            <w:pPr>
              <w:rPr>
                <w:rFonts w:ascii="Verdana" w:hAnsi="Verdana" w:cs="Arial"/>
                <w:sz w:val="18"/>
                <w:szCs w:val="18"/>
              </w:rPr>
            </w:pPr>
            <w:r>
              <w:rPr>
                <w:rFonts w:ascii="Verdana" w:hAnsi="Verdana" w:cs="Arial"/>
                <w:sz w:val="18"/>
                <w:szCs w:val="18"/>
              </w:rPr>
              <w:t xml:space="preserve">Professor </w:t>
            </w:r>
            <w:r w:rsidR="00A56D04">
              <w:rPr>
                <w:rFonts w:ascii="Verdana" w:hAnsi="Verdana" w:cs="Arial"/>
                <w:sz w:val="18"/>
                <w:szCs w:val="18"/>
              </w:rPr>
              <w:t>Louise Bourke</w:t>
            </w:r>
          </w:p>
        </w:tc>
        <w:tc>
          <w:tcPr>
            <w:tcW w:w="5982" w:type="dxa"/>
            <w:vAlign w:val="center"/>
          </w:tcPr>
          <w:p w14:paraId="39E57CBE" w14:textId="77777777" w:rsidR="00985111" w:rsidRPr="00985111" w:rsidRDefault="00985111" w:rsidP="00A56D04">
            <w:pPr>
              <w:rPr>
                <w:rFonts w:ascii="Verdana" w:hAnsi="Verdana" w:cs="Arial"/>
                <w:sz w:val="18"/>
                <w:szCs w:val="18"/>
              </w:rPr>
            </w:pPr>
            <w:r w:rsidRPr="00985111">
              <w:rPr>
                <w:rFonts w:ascii="Verdana" w:hAnsi="Verdana" w:cs="Arial"/>
                <w:sz w:val="18"/>
                <w:szCs w:val="18"/>
              </w:rPr>
              <w:t>Australian Institute of Sport</w:t>
            </w:r>
          </w:p>
        </w:tc>
      </w:tr>
      <w:tr w:rsidR="00985111" w:rsidRPr="00985111" w14:paraId="37E57AB2" w14:textId="77777777" w:rsidTr="00BC0D3D">
        <w:tc>
          <w:tcPr>
            <w:tcW w:w="3261" w:type="dxa"/>
            <w:vAlign w:val="center"/>
          </w:tcPr>
          <w:p w14:paraId="01CC2DD0" w14:textId="77777777" w:rsidR="00985111" w:rsidRPr="00985111" w:rsidRDefault="00985111" w:rsidP="00A56D04">
            <w:pPr>
              <w:rPr>
                <w:rFonts w:ascii="Verdana" w:hAnsi="Verdana" w:cs="Arial"/>
                <w:sz w:val="18"/>
                <w:szCs w:val="18"/>
              </w:rPr>
            </w:pPr>
            <w:r w:rsidRPr="00985111">
              <w:rPr>
                <w:rFonts w:ascii="Verdana" w:hAnsi="Verdana" w:cs="Arial"/>
                <w:sz w:val="18"/>
                <w:szCs w:val="18"/>
              </w:rPr>
              <w:t>Chloe McLeod</w:t>
            </w:r>
          </w:p>
        </w:tc>
        <w:tc>
          <w:tcPr>
            <w:tcW w:w="5982" w:type="dxa"/>
            <w:vAlign w:val="center"/>
          </w:tcPr>
          <w:p w14:paraId="11064082" w14:textId="77777777" w:rsidR="00985111" w:rsidRPr="00985111" w:rsidRDefault="00985111" w:rsidP="00A56D04">
            <w:pPr>
              <w:rPr>
                <w:rFonts w:ascii="Verdana" w:hAnsi="Verdana" w:cs="Arial"/>
                <w:sz w:val="18"/>
                <w:szCs w:val="18"/>
              </w:rPr>
            </w:pPr>
            <w:r w:rsidRPr="00985111">
              <w:rPr>
                <w:rFonts w:ascii="Verdana" w:hAnsi="Verdana" w:cs="Arial"/>
                <w:sz w:val="18"/>
                <w:szCs w:val="18"/>
              </w:rPr>
              <w:t>Sports Dietitians Association</w:t>
            </w:r>
          </w:p>
        </w:tc>
      </w:tr>
      <w:tr w:rsidR="00985111" w:rsidRPr="00985111" w14:paraId="28A421FE" w14:textId="77777777" w:rsidTr="00BC0D3D">
        <w:tc>
          <w:tcPr>
            <w:tcW w:w="3261" w:type="dxa"/>
            <w:vAlign w:val="center"/>
          </w:tcPr>
          <w:p w14:paraId="79A0C35F" w14:textId="77777777" w:rsidR="00985111" w:rsidRPr="00985111" w:rsidRDefault="00985111" w:rsidP="00A56D04">
            <w:pPr>
              <w:rPr>
                <w:rFonts w:ascii="Verdana" w:hAnsi="Verdana" w:cs="Arial"/>
                <w:sz w:val="18"/>
                <w:szCs w:val="18"/>
              </w:rPr>
            </w:pPr>
            <w:r w:rsidRPr="00985111">
              <w:rPr>
                <w:rFonts w:ascii="Verdana" w:hAnsi="Verdana" w:cs="Arial"/>
                <w:sz w:val="18"/>
                <w:szCs w:val="18"/>
              </w:rPr>
              <w:t>Amelia Webster</w:t>
            </w:r>
          </w:p>
        </w:tc>
        <w:tc>
          <w:tcPr>
            <w:tcW w:w="5982" w:type="dxa"/>
            <w:vAlign w:val="center"/>
          </w:tcPr>
          <w:p w14:paraId="27740302" w14:textId="77777777" w:rsidR="00985111" w:rsidRPr="00985111" w:rsidRDefault="00985111" w:rsidP="00A56D04">
            <w:pPr>
              <w:rPr>
                <w:rFonts w:ascii="Verdana" w:hAnsi="Verdana" w:cs="Arial"/>
                <w:sz w:val="18"/>
                <w:szCs w:val="18"/>
              </w:rPr>
            </w:pPr>
            <w:r w:rsidRPr="00985111">
              <w:rPr>
                <w:rFonts w:ascii="Verdana" w:hAnsi="Verdana" w:cs="Arial"/>
                <w:sz w:val="18"/>
                <w:szCs w:val="18"/>
              </w:rPr>
              <w:t>Nutrition Australia (Qld)</w:t>
            </w:r>
          </w:p>
        </w:tc>
      </w:tr>
      <w:tr w:rsidR="00985111" w:rsidRPr="00985111" w14:paraId="3E4B6CD1" w14:textId="77777777" w:rsidTr="00BC0D3D">
        <w:tc>
          <w:tcPr>
            <w:tcW w:w="3261" w:type="dxa"/>
            <w:vAlign w:val="center"/>
          </w:tcPr>
          <w:p w14:paraId="3BB8E4F1" w14:textId="77777777" w:rsidR="00985111" w:rsidRPr="00985111" w:rsidRDefault="00985111" w:rsidP="00A56D04">
            <w:pPr>
              <w:rPr>
                <w:rFonts w:ascii="Verdana" w:hAnsi="Verdana" w:cs="Arial"/>
                <w:sz w:val="18"/>
                <w:szCs w:val="18"/>
              </w:rPr>
            </w:pPr>
            <w:r w:rsidRPr="00985111">
              <w:rPr>
                <w:rFonts w:ascii="Verdana" w:hAnsi="Verdana" w:cs="Arial"/>
                <w:sz w:val="18"/>
                <w:szCs w:val="18"/>
              </w:rPr>
              <w:t xml:space="preserve">Dr Adam </w:t>
            </w:r>
            <w:proofErr w:type="spellStart"/>
            <w:r w:rsidRPr="00985111">
              <w:rPr>
                <w:rFonts w:ascii="Verdana" w:hAnsi="Verdana" w:cs="Arial"/>
                <w:sz w:val="18"/>
                <w:szCs w:val="18"/>
              </w:rPr>
              <w:t>Castricum</w:t>
            </w:r>
            <w:proofErr w:type="spellEnd"/>
          </w:p>
        </w:tc>
        <w:tc>
          <w:tcPr>
            <w:tcW w:w="5982" w:type="dxa"/>
            <w:vAlign w:val="center"/>
          </w:tcPr>
          <w:p w14:paraId="3F33B8F5" w14:textId="77777777" w:rsidR="00985111" w:rsidRPr="00985111" w:rsidRDefault="00985111" w:rsidP="00A56D04">
            <w:pPr>
              <w:rPr>
                <w:rFonts w:ascii="Verdana" w:hAnsi="Verdana" w:cs="Arial"/>
                <w:sz w:val="18"/>
                <w:szCs w:val="18"/>
              </w:rPr>
            </w:pPr>
            <w:r w:rsidRPr="00985111">
              <w:rPr>
                <w:rFonts w:ascii="Verdana" w:hAnsi="Verdana" w:cs="Arial"/>
                <w:sz w:val="18"/>
                <w:szCs w:val="18"/>
              </w:rPr>
              <w:t>Australian College of Sport and Exercise Physicians</w:t>
            </w:r>
          </w:p>
        </w:tc>
      </w:tr>
      <w:tr w:rsidR="00985111" w:rsidRPr="00985111" w14:paraId="3063A2B7" w14:textId="77777777" w:rsidTr="00BC0D3D">
        <w:tc>
          <w:tcPr>
            <w:tcW w:w="3261" w:type="dxa"/>
            <w:vAlign w:val="center"/>
          </w:tcPr>
          <w:p w14:paraId="6E9A5149" w14:textId="77777777" w:rsidR="00985111" w:rsidRPr="00985111" w:rsidRDefault="00985111" w:rsidP="00A56D04">
            <w:pPr>
              <w:rPr>
                <w:rFonts w:ascii="Verdana" w:hAnsi="Verdana" w:cs="Arial"/>
                <w:sz w:val="18"/>
                <w:szCs w:val="18"/>
              </w:rPr>
            </w:pPr>
            <w:r w:rsidRPr="00985111">
              <w:rPr>
                <w:rFonts w:ascii="Verdana" w:hAnsi="Verdana" w:cs="Arial"/>
                <w:sz w:val="18"/>
                <w:szCs w:val="18"/>
              </w:rPr>
              <w:t>Dr Jon Wardle</w:t>
            </w:r>
          </w:p>
        </w:tc>
        <w:tc>
          <w:tcPr>
            <w:tcW w:w="5982" w:type="dxa"/>
            <w:vAlign w:val="center"/>
          </w:tcPr>
          <w:p w14:paraId="312D42AD" w14:textId="77777777" w:rsidR="00985111" w:rsidRPr="00985111" w:rsidRDefault="00985111" w:rsidP="00A56D04">
            <w:pPr>
              <w:rPr>
                <w:rFonts w:ascii="Verdana" w:hAnsi="Verdana" w:cs="Arial"/>
                <w:sz w:val="18"/>
                <w:szCs w:val="18"/>
              </w:rPr>
            </w:pPr>
            <w:r w:rsidRPr="00985111">
              <w:rPr>
                <w:rFonts w:ascii="Verdana" w:hAnsi="Verdana" w:cs="Arial"/>
                <w:sz w:val="18"/>
                <w:szCs w:val="18"/>
              </w:rPr>
              <w:t>Representing Public Health Association of Australia)</w:t>
            </w:r>
          </w:p>
        </w:tc>
      </w:tr>
      <w:tr w:rsidR="00985111" w:rsidRPr="00985111" w14:paraId="207C2E02" w14:textId="77777777" w:rsidTr="00BC0D3D">
        <w:tc>
          <w:tcPr>
            <w:tcW w:w="3261" w:type="dxa"/>
            <w:vAlign w:val="center"/>
          </w:tcPr>
          <w:p w14:paraId="79662556" w14:textId="77777777" w:rsidR="00985111" w:rsidRPr="00985111" w:rsidRDefault="00985111" w:rsidP="00A56D04">
            <w:pPr>
              <w:rPr>
                <w:rFonts w:ascii="Verdana" w:hAnsi="Verdana" w:cs="Arial"/>
                <w:sz w:val="18"/>
                <w:szCs w:val="18"/>
              </w:rPr>
            </w:pPr>
            <w:r w:rsidRPr="00985111">
              <w:rPr>
                <w:rFonts w:ascii="Verdana" w:hAnsi="Verdana" w:cs="Arial"/>
                <w:sz w:val="18"/>
                <w:szCs w:val="18"/>
              </w:rPr>
              <w:t>Matt Rees</w:t>
            </w:r>
          </w:p>
        </w:tc>
        <w:tc>
          <w:tcPr>
            <w:tcW w:w="5982" w:type="dxa"/>
            <w:vAlign w:val="center"/>
          </w:tcPr>
          <w:p w14:paraId="5EB352CB" w14:textId="77777777" w:rsidR="00985111" w:rsidRPr="00985111" w:rsidRDefault="00985111" w:rsidP="00A56D04">
            <w:pPr>
              <w:rPr>
                <w:rFonts w:ascii="Verdana" w:hAnsi="Verdana" w:cs="Arial"/>
                <w:sz w:val="18"/>
                <w:szCs w:val="18"/>
              </w:rPr>
            </w:pPr>
            <w:r w:rsidRPr="00985111">
              <w:rPr>
                <w:rFonts w:ascii="Verdana" w:hAnsi="Verdana" w:cs="Arial"/>
                <w:sz w:val="18"/>
                <w:szCs w:val="18"/>
              </w:rPr>
              <w:t>Australian Sports Nutrition</w:t>
            </w:r>
          </w:p>
        </w:tc>
      </w:tr>
      <w:tr w:rsidR="00985111" w:rsidRPr="00985111" w14:paraId="006FEBDB" w14:textId="77777777" w:rsidTr="00BC0D3D">
        <w:tc>
          <w:tcPr>
            <w:tcW w:w="3261" w:type="dxa"/>
            <w:vAlign w:val="center"/>
          </w:tcPr>
          <w:p w14:paraId="56FDCAA8" w14:textId="77777777" w:rsidR="00985111" w:rsidRPr="00985111" w:rsidRDefault="00985111" w:rsidP="00A56D04">
            <w:pPr>
              <w:rPr>
                <w:rFonts w:ascii="Verdana" w:hAnsi="Verdana" w:cs="Arial"/>
                <w:sz w:val="18"/>
                <w:szCs w:val="18"/>
              </w:rPr>
            </w:pPr>
            <w:r w:rsidRPr="00985111">
              <w:rPr>
                <w:rFonts w:ascii="Verdana" w:hAnsi="Verdana" w:cs="Arial"/>
                <w:sz w:val="18"/>
                <w:szCs w:val="18"/>
              </w:rPr>
              <w:t>Stephen Eddy</w:t>
            </w:r>
          </w:p>
        </w:tc>
        <w:tc>
          <w:tcPr>
            <w:tcW w:w="5982" w:type="dxa"/>
            <w:vAlign w:val="center"/>
          </w:tcPr>
          <w:p w14:paraId="61547741" w14:textId="77777777" w:rsidR="00985111" w:rsidRPr="00985111" w:rsidRDefault="00985111" w:rsidP="00A56D04">
            <w:pPr>
              <w:rPr>
                <w:rFonts w:ascii="Verdana" w:hAnsi="Verdana" w:cs="Arial"/>
                <w:sz w:val="18"/>
                <w:szCs w:val="18"/>
              </w:rPr>
            </w:pPr>
            <w:r w:rsidRPr="00985111">
              <w:rPr>
                <w:rFonts w:ascii="Verdana" w:hAnsi="Verdana" w:cs="Arial"/>
                <w:sz w:val="18"/>
                <w:szCs w:val="18"/>
              </w:rPr>
              <w:t>ATP Science</w:t>
            </w:r>
          </w:p>
        </w:tc>
      </w:tr>
      <w:tr w:rsidR="00985111" w:rsidRPr="00985111" w14:paraId="78713811" w14:textId="77777777" w:rsidTr="00BC0D3D">
        <w:tc>
          <w:tcPr>
            <w:tcW w:w="3261" w:type="dxa"/>
            <w:vAlign w:val="center"/>
          </w:tcPr>
          <w:p w14:paraId="60B7F1F8" w14:textId="77777777" w:rsidR="00985111" w:rsidRPr="00985111" w:rsidRDefault="00985111" w:rsidP="00A56D04">
            <w:pPr>
              <w:rPr>
                <w:rFonts w:ascii="Verdana" w:hAnsi="Verdana" w:cs="Arial"/>
                <w:sz w:val="18"/>
                <w:szCs w:val="18"/>
              </w:rPr>
            </w:pPr>
            <w:r w:rsidRPr="00985111">
              <w:rPr>
                <w:rFonts w:ascii="Verdana" w:hAnsi="Verdana" w:cs="Arial"/>
                <w:sz w:val="18"/>
                <w:szCs w:val="18"/>
              </w:rPr>
              <w:t>Harriet Walker</w:t>
            </w:r>
          </w:p>
        </w:tc>
        <w:tc>
          <w:tcPr>
            <w:tcW w:w="5982" w:type="dxa"/>
            <w:vAlign w:val="center"/>
          </w:tcPr>
          <w:p w14:paraId="0BCAA6E4" w14:textId="77777777" w:rsidR="00985111" w:rsidRPr="00985111" w:rsidRDefault="00985111" w:rsidP="00A56D04">
            <w:pPr>
              <w:rPr>
                <w:rFonts w:ascii="Verdana" w:hAnsi="Verdana" w:cs="Arial"/>
                <w:sz w:val="18"/>
                <w:szCs w:val="18"/>
              </w:rPr>
            </w:pPr>
            <w:proofErr w:type="spellStart"/>
            <w:r w:rsidRPr="00985111">
              <w:rPr>
                <w:rFonts w:ascii="Verdana" w:hAnsi="Verdana" w:cs="Arial"/>
                <w:sz w:val="18"/>
                <w:szCs w:val="18"/>
              </w:rPr>
              <w:t>BodyScience</w:t>
            </w:r>
            <w:proofErr w:type="spellEnd"/>
          </w:p>
        </w:tc>
      </w:tr>
      <w:tr w:rsidR="00985111" w:rsidRPr="00985111" w14:paraId="7D375B32" w14:textId="77777777" w:rsidTr="00BC0D3D">
        <w:tc>
          <w:tcPr>
            <w:tcW w:w="3261" w:type="dxa"/>
            <w:vAlign w:val="center"/>
          </w:tcPr>
          <w:p w14:paraId="2A80C9B5" w14:textId="77777777" w:rsidR="00A56D04" w:rsidRDefault="00985111" w:rsidP="00A56D04">
            <w:pPr>
              <w:rPr>
                <w:rFonts w:ascii="Verdana" w:hAnsi="Verdana" w:cs="Arial"/>
                <w:sz w:val="18"/>
                <w:szCs w:val="18"/>
              </w:rPr>
            </w:pPr>
            <w:r w:rsidRPr="00985111">
              <w:rPr>
                <w:rFonts w:ascii="Verdana" w:hAnsi="Verdana" w:cs="Arial"/>
                <w:sz w:val="18"/>
                <w:szCs w:val="18"/>
              </w:rPr>
              <w:t>Jess Crowley</w:t>
            </w:r>
          </w:p>
          <w:p w14:paraId="29C6DD07" w14:textId="77777777" w:rsidR="00985111" w:rsidRPr="00985111" w:rsidRDefault="00985111" w:rsidP="00A56D04">
            <w:pPr>
              <w:rPr>
                <w:rFonts w:ascii="Verdana" w:hAnsi="Verdana" w:cs="Arial"/>
                <w:sz w:val="18"/>
                <w:szCs w:val="18"/>
              </w:rPr>
            </w:pPr>
            <w:r w:rsidRPr="00985111">
              <w:rPr>
                <w:rFonts w:ascii="Verdana" w:hAnsi="Verdana" w:cs="Arial"/>
                <w:sz w:val="18"/>
                <w:szCs w:val="18"/>
              </w:rPr>
              <w:t>Ben Crowley</w:t>
            </w:r>
          </w:p>
        </w:tc>
        <w:tc>
          <w:tcPr>
            <w:tcW w:w="5982" w:type="dxa"/>
            <w:vAlign w:val="center"/>
          </w:tcPr>
          <w:p w14:paraId="4D1A18D4" w14:textId="77777777" w:rsidR="00985111" w:rsidRPr="00985111" w:rsidRDefault="00985111" w:rsidP="00A56D04">
            <w:pPr>
              <w:rPr>
                <w:rFonts w:ascii="Verdana" w:hAnsi="Verdana" w:cs="Arial"/>
                <w:sz w:val="18"/>
                <w:szCs w:val="18"/>
              </w:rPr>
            </w:pPr>
            <w:proofErr w:type="spellStart"/>
            <w:r w:rsidRPr="00985111">
              <w:rPr>
                <w:rFonts w:ascii="Verdana" w:hAnsi="Verdana" w:cs="Arial"/>
                <w:sz w:val="18"/>
                <w:szCs w:val="18"/>
              </w:rPr>
              <w:t>Bioflex</w:t>
            </w:r>
            <w:proofErr w:type="spellEnd"/>
            <w:r w:rsidRPr="00985111">
              <w:rPr>
                <w:rFonts w:ascii="Verdana" w:hAnsi="Verdana" w:cs="Arial"/>
                <w:sz w:val="18"/>
                <w:szCs w:val="18"/>
              </w:rPr>
              <w:t xml:space="preserve"> Nutrition (Bulk Nutrients)</w:t>
            </w:r>
          </w:p>
        </w:tc>
      </w:tr>
    </w:tbl>
    <w:p w14:paraId="4FB299BB" w14:textId="77777777" w:rsidR="007C55DE" w:rsidRPr="00AF4A89" w:rsidRDefault="007C55DE" w:rsidP="00AF4A89">
      <w:pPr>
        <w:spacing w:after="0"/>
        <w:rPr>
          <w:rFonts w:ascii="Verdana" w:hAnsi="Verdana" w:cs="OpenSansRegular"/>
          <w:sz w:val="18"/>
          <w:szCs w:val="18"/>
        </w:rPr>
        <w:sectPr w:rsidR="007C55DE" w:rsidRPr="00AF4A89" w:rsidSect="00346686">
          <w:headerReference w:type="even" r:id="rId16"/>
          <w:headerReference w:type="default" r:id="rId17"/>
          <w:headerReference w:type="first" r:id="rId18"/>
          <w:pgSz w:w="11906" w:h="16838"/>
          <w:pgMar w:top="1440" w:right="1440" w:bottom="1440" w:left="1440" w:header="708" w:footer="708" w:gutter="0"/>
          <w:cols w:space="708"/>
          <w:docGrid w:linePitch="360"/>
        </w:sectPr>
      </w:pPr>
    </w:p>
    <w:p w14:paraId="11C06B7C" w14:textId="77777777" w:rsidR="00DA5BBF" w:rsidRDefault="008D071E" w:rsidP="00346686">
      <w:pPr>
        <w:pStyle w:val="Heading1"/>
        <w:keepLines w:val="0"/>
        <w:spacing w:before="0" w:after="240" w:line="240" w:lineRule="auto"/>
        <w:rPr>
          <w:rFonts w:ascii="Verdana" w:eastAsia="Times New Roman" w:hAnsi="Verdana" w:cs="OpenSansRegular"/>
          <w:bCs/>
          <w:color w:val="000000" w:themeColor="text1"/>
          <w:kern w:val="32"/>
          <w:sz w:val="40"/>
          <w:szCs w:val="40"/>
        </w:rPr>
      </w:pPr>
      <w:bookmarkStart w:id="6" w:name="_Toc521503523"/>
      <w:bookmarkEnd w:id="3"/>
      <w:r>
        <w:rPr>
          <w:rFonts w:ascii="Verdana" w:eastAsia="Times New Roman" w:hAnsi="Verdana" w:cs="OpenSansRegular"/>
          <w:bCs/>
          <w:color w:val="000000" w:themeColor="text1"/>
          <w:kern w:val="32"/>
          <w:sz w:val="40"/>
          <w:szCs w:val="40"/>
        </w:rPr>
        <w:lastRenderedPageBreak/>
        <w:t>Presentations</w:t>
      </w:r>
      <w:bookmarkEnd w:id="6"/>
    </w:p>
    <w:p w14:paraId="1DE831A4" w14:textId="77777777" w:rsidR="006E0C95" w:rsidRPr="00ED06BD" w:rsidRDefault="006E0C95" w:rsidP="006E0C95">
      <w:pPr>
        <w:rPr>
          <w:rFonts w:ascii="Verdana" w:hAnsi="Verdana" w:cs="OpenSansRegular"/>
          <w:sz w:val="20"/>
          <w:szCs w:val="20"/>
        </w:rPr>
      </w:pPr>
      <w:r w:rsidRPr="00ED06BD">
        <w:rPr>
          <w:rFonts w:ascii="Verdana" w:hAnsi="Verdana" w:cs="OpenSansRegular"/>
          <w:sz w:val="20"/>
          <w:szCs w:val="20"/>
        </w:rPr>
        <w:t xml:space="preserve">The </w:t>
      </w:r>
      <w:r w:rsidR="00E3136D">
        <w:rPr>
          <w:rFonts w:ascii="Verdana" w:hAnsi="Verdana" w:cs="OpenSansRegular"/>
          <w:sz w:val="20"/>
          <w:szCs w:val="20"/>
        </w:rPr>
        <w:t>roundtable commenced with presentations from key organisations to help participants understand the current regulatory environment and some of the emerging issues.</w:t>
      </w:r>
      <w:r w:rsidRPr="00ED06BD">
        <w:rPr>
          <w:rFonts w:ascii="Verdana" w:hAnsi="Verdana" w:cs="OpenSansRegular"/>
          <w:sz w:val="20"/>
          <w:szCs w:val="20"/>
        </w:rPr>
        <w:t xml:space="preserve"> </w:t>
      </w:r>
    </w:p>
    <w:p w14:paraId="6FC51FE4" w14:textId="77777777" w:rsidR="00E3136D" w:rsidRDefault="00E3136D" w:rsidP="00CF48DD">
      <w:pPr>
        <w:pStyle w:val="Bodycopy"/>
        <w:spacing w:before="240"/>
        <w:rPr>
          <w:rFonts w:ascii="Verdana" w:eastAsia="Times" w:hAnsi="Verdana" w:cs="OpenSansRegular"/>
          <w:b/>
          <w:noProof/>
          <w:color w:val="62B5E5"/>
          <w:sz w:val="22"/>
          <w:szCs w:val="22"/>
          <w:lang w:val="en-US"/>
        </w:rPr>
      </w:pPr>
      <w:r w:rsidRPr="00AF6FE3">
        <w:rPr>
          <w:rFonts w:ascii="Verdana" w:eastAsia="Times" w:hAnsi="Verdana" w:cs="OpenSansRegular"/>
          <w:b/>
          <w:noProof/>
          <w:sz w:val="22"/>
          <w:szCs w:val="22"/>
          <w:lang w:val="en-US"/>
        </w:rPr>
        <w:t>Lyndall Soper, First Assistant Secretary, Population Health and Sport Division, Australian Government Department of Health</w:t>
      </w:r>
    </w:p>
    <w:p w14:paraId="78655A52" w14:textId="77777777" w:rsidR="00E3136D" w:rsidRPr="00E3136D" w:rsidRDefault="00E3136D" w:rsidP="00E3136D">
      <w:pPr>
        <w:pStyle w:val="Bodycopy"/>
        <w:numPr>
          <w:ilvl w:val="0"/>
          <w:numId w:val="13"/>
        </w:numPr>
        <w:rPr>
          <w:rFonts w:ascii="Verdana" w:hAnsi="Verdana" w:cs="OpenSansRegular"/>
          <w:sz w:val="20"/>
          <w:szCs w:val="20"/>
        </w:rPr>
      </w:pPr>
      <w:r w:rsidRPr="00E3136D">
        <w:rPr>
          <w:rFonts w:ascii="Verdana" w:hAnsi="Verdana" w:cs="OpenSansRegular"/>
          <w:sz w:val="20"/>
          <w:szCs w:val="20"/>
        </w:rPr>
        <w:t xml:space="preserve">Ms Soper welcomed the attendees on behalf of Dr </w:t>
      </w:r>
      <w:proofErr w:type="spellStart"/>
      <w:r w:rsidRPr="00E3136D">
        <w:rPr>
          <w:rFonts w:ascii="Verdana" w:hAnsi="Verdana" w:cs="OpenSansRegular"/>
          <w:sz w:val="20"/>
          <w:szCs w:val="20"/>
        </w:rPr>
        <w:t>Studdert</w:t>
      </w:r>
      <w:proofErr w:type="spellEnd"/>
      <w:r w:rsidRPr="00E3136D">
        <w:rPr>
          <w:rFonts w:ascii="Verdana" w:hAnsi="Verdana" w:cs="OpenSansRegular"/>
          <w:sz w:val="20"/>
          <w:szCs w:val="20"/>
        </w:rPr>
        <w:t xml:space="preserve"> who would be arriving later in the day.</w:t>
      </w:r>
    </w:p>
    <w:p w14:paraId="6346FC97" w14:textId="77777777" w:rsidR="00E3136D" w:rsidRPr="00E3136D" w:rsidRDefault="00E3136D" w:rsidP="00E3136D">
      <w:pPr>
        <w:pStyle w:val="Bodycopy"/>
        <w:numPr>
          <w:ilvl w:val="0"/>
          <w:numId w:val="13"/>
        </w:numPr>
        <w:rPr>
          <w:rFonts w:ascii="Verdana" w:hAnsi="Verdana" w:cs="OpenSansRegular"/>
          <w:sz w:val="20"/>
          <w:szCs w:val="20"/>
        </w:rPr>
      </w:pPr>
      <w:r w:rsidRPr="00E3136D">
        <w:rPr>
          <w:rFonts w:ascii="Verdana" w:hAnsi="Verdana" w:cs="OpenSansRegular"/>
          <w:sz w:val="20"/>
          <w:szCs w:val="20"/>
        </w:rPr>
        <w:t>Ms Soper noted the diverse range of attendees and the valuable opportunity to draw on the expertise in the room.</w:t>
      </w:r>
    </w:p>
    <w:p w14:paraId="35550FFD" w14:textId="77777777" w:rsidR="00E3136D" w:rsidRPr="00E3136D" w:rsidRDefault="00E3136D" w:rsidP="00E3136D">
      <w:pPr>
        <w:pStyle w:val="Bodycopy"/>
        <w:numPr>
          <w:ilvl w:val="0"/>
          <w:numId w:val="13"/>
        </w:numPr>
        <w:rPr>
          <w:rFonts w:ascii="Verdana" w:hAnsi="Verdana" w:cs="OpenSansRegular"/>
          <w:sz w:val="20"/>
          <w:szCs w:val="20"/>
        </w:rPr>
      </w:pPr>
      <w:r w:rsidRPr="00E3136D">
        <w:rPr>
          <w:rFonts w:ascii="Verdana" w:hAnsi="Verdana" w:cs="OpenSansRegular"/>
          <w:sz w:val="20"/>
          <w:szCs w:val="20"/>
        </w:rPr>
        <w:t xml:space="preserve">The aim of the meeting is to have a robust discussion, </w:t>
      </w:r>
      <w:proofErr w:type="gramStart"/>
      <w:r w:rsidRPr="00E3136D">
        <w:rPr>
          <w:rFonts w:ascii="Verdana" w:hAnsi="Verdana" w:cs="OpenSansRegular"/>
          <w:sz w:val="20"/>
          <w:szCs w:val="20"/>
        </w:rPr>
        <w:t>taking into account</w:t>
      </w:r>
      <w:proofErr w:type="gramEnd"/>
      <w:r w:rsidRPr="00E3136D">
        <w:rPr>
          <w:rFonts w:ascii="Verdana" w:hAnsi="Verdana" w:cs="OpenSansRegular"/>
          <w:sz w:val="20"/>
          <w:szCs w:val="20"/>
        </w:rPr>
        <w:t xml:space="preserve"> all points of view and to gain insight into how the regulatory system is operating and identify opportunities to improve the safety of sports supplements.</w:t>
      </w:r>
    </w:p>
    <w:p w14:paraId="1B531C4D" w14:textId="77777777" w:rsidR="00E3136D" w:rsidRDefault="00E3136D" w:rsidP="00E3136D">
      <w:pPr>
        <w:pStyle w:val="Bodycopy"/>
        <w:numPr>
          <w:ilvl w:val="0"/>
          <w:numId w:val="13"/>
        </w:numPr>
        <w:rPr>
          <w:rFonts w:ascii="Verdana" w:hAnsi="Verdana" w:cs="OpenSansRegular"/>
          <w:sz w:val="20"/>
          <w:szCs w:val="20"/>
        </w:rPr>
      </w:pPr>
      <w:r w:rsidRPr="00E3136D">
        <w:rPr>
          <w:rFonts w:ascii="Verdana" w:hAnsi="Verdana" w:cs="OpenSansRegular"/>
          <w:sz w:val="20"/>
          <w:szCs w:val="20"/>
        </w:rPr>
        <w:t>An Action Plan will be developed from discussions and</w:t>
      </w:r>
      <w:r w:rsidR="0060536B">
        <w:rPr>
          <w:rFonts w:ascii="Verdana" w:hAnsi="Verdana" w:cs="OpenSansRegular"/>
          <w:sz w:val="20"/>
          <w:szCs w:val="20"/>
        </w:rPr>
        <w:t xml:space="preserve"> a</w:t>
      </w:r>
      <w:r w:rsidRPr="00E3136D">
        <w:rPr>
          <w:rFonts w:ascii="Verdana" w:hAnsi="Verdana" w:cs="OpenSansRegular"/>
          <w:sz w:val="20"/>
          <w:szCs w:val="20"/>
        </w:rPr>
        <w:t xml:space="preserve"> report</w:t>
      </w:r>
      <w:r w:rsidR="0060536B">
        <w:rPr>
          <w:rFonts w:ascii="Verdana" w:hAnsi="Verdana" w:cs="OpenSansRegular"/>
          <w:sz w:val="20"/>
          <w:szCs w:val="20"/>
        </w:rPr>
        <w:t xml:space="preserve"> provided to the </w:t>
      </w:r>
      <w:r w:rsidRPr="00E3136D">
        <w:rPr>
          <w:rFonts w:ascii="Verdana" w:hAnsi="Verdana" w:cs="OpenSansRegular"/>
          <w:sz w:val="20"/>
          <w:szCs w:val="20"/>
        </w:rPr>
        <w:t>Minister, through the appropriate channels.</w:t>
      </w:r>
    </w:p>
    <w:p w14:paraId="43BE4638" w14:textId="77777777" w:rsidR="00E3136D" w:rsidRDefault="00E3136D" w:rsidP="00CF48DD">
      <w:pPr>
        <w:pStyle w:val="Bodycopy"/>
        <w:spacing w:before="240"/>
        <w:rPr>
          <w:rFonts w:ascii="Verdana" w:eastAsia="Times" w:hAnsi="Verdana" w:cs="OpenSansRegular"/>
          <w:b/>
          <w:noProof/>
          <w:color w:val="62B5E5"/>
          <w:sz w:val="22"/>
          <w:szCs w:val="22"/>
          <w:lang w:val="en-US"/>
        </w:rPr>
      </w:pPr>
      <w:bookmarkStart w:id="7" w:name="_Toc517430208"/>
      <w:r w:rsidRPr="00AF6FE3">
        <w:rPr>
          <w:rFonts w:ascii="Verdana" w:eastAsia="Times" w:hAnsi="Verdana" w:cs="OpenSansRegular"/>
          <w:b/>
          <w:noProof/>
          <w:sz w:val="22"/>
          <w:szCs w:val="22"/>
          <w:lang w:val="en-US"/>
        </w:rPr>
        <w:t>Mark Booth, Chief Executive Officer and Janine Lewis, Principal Nutritionist</w:t>
      </w:r>
      <w:r w:rsidR="008351C1" w:rsidRPr="00AF6FE3">
        <w:rPr>
          <w:rFonts w:ascii="Verdana" w:eastAsia="Times" w:hAnsi="Verdana" w:cs="OpenSansRegular"/>
          <w:b/>
          <w:noProof/>
          <w:sz w:val="22"/>
          <w:szCs w:val="22"/>
          <w:lang w:val="en-US"/>
        </w:rPr>
        <w:t>,</w:t>
      </w:r>
      <w:r w:rsidRPr="00AF6FE3">
        <w:rPr>
          <w:rFonts w:ascii="Verdana" w:eastAsia="Times" w:hAnsi="Verdana" w:cs="OpenSansRegular"/>
          <w:b/>
          <w:noProof/>
          <w:sz w:val="22"/>
          <w:szCs w:val="22"/>
          <w:lang w:val="en-US"/>
        </w:rPr>
        <w:t xml:space="preserve"> Food Standards Australia New Zealand (FSANZ)</w:t>
      </w:r>
    </w:p>
    <w:p w14:paraId="7598B5C5" w14:textId="77777777" w:rsidR="00E3136D" w:rsidRPr="00E3136D" w:rsidRDefault="00E3136D" w:rsidP="00E3136D">
      <w:pPr>
        <w:pStyle w:val="Bodycopy"/>
        <w:numPr>
          <w:ilvl w:val="0"/>
          <w:numId w:val="13"/>
        </w:numPr>
        <w:rPr>
          <w:rFonts w:ascii="Verdana" w:hAnsi="Verdana" w:cs="OpenSansRegular"/>
          <w:sz w:val="20"/>
          <w:szCs w:val="20"/>
        </w:rPr>
      </w:pPr>
      <w:r w:rsidRPr="00E3136D">
        <w:rPr>
          <w:rFonts w:ascii="Verdana" w:hAnsi="Verdana" w:cs="OpenSansRegular"/>
          <w:sz w:val="20"/>
          <w:szCs w:val="20"/>
        </w:rPr>
        <w:t xml:space="preserve">Food safety is a priority for the food regulatory system. Food standards are developed for the general population and are not designed to fully </w:t>
      </w:r>
      <w:proofErr w:type="gramStart"/>
      <w:r w:rsidRPr="00E3136D">
        <w:rPr>
          <w:rFonts w:ascii="Verdana" w:hAnsi="Verdana" w:cs="OpenSansRegular"/>
          <w:sz w:val="20"/>
          <w:szCs w:val="20"/>
        </w:rPr>
        <w:t>protect all consumers at all times</w:t>
      </w:r>
      <w:proofErr w:type="gramEnd"/>
      <w:r w:rsidRPr="00E3136D">
        <w:rPr>
          <w:rFonts w:ascii="Verdana" w:hAnsi="Verdana" w:cs="OpenSansRegular"/>
          <w:sz w:val="20"/>
          <w:szCs w:val="20"/>
        </w:rPr>
        <w:t>. They cannot seek to manage rare adverse effects in the population and focus on risk management, not risk elimination.</w:t>
      </w:r>
    </w:p>
    <w:p w14:paraId="7E824830" w14:textId="77777777" w:rsidR="00E3136D" w:rsidRPr="00E3136D" w:rsidRDefault="00E3136D" w:rsidP="00E3136D">
      <w:pPr>
        <w:pStyle w:val="Bodycopy"/>
        <w:numPr>
          <w:ilvl w:val="0"/>
          <w:numId w:val="13"/>
        </w:numPr>
        <w:rPr>
          <w:rFonts w:ascii="Verdana" w:hAnsi="Verdana" w:cs="OpenSansRegular"/>
          <w:sz w:val="20"/>
          <w:szCs w:val="20"/>
        </w:rPr>
      </w:pPr>
      <w:r w:rsidRPr="00E3136D">
        <w:rPr>
          <w:rFonts w:ascii="Verdana" w:hAnsi="Verdana" w:cs="OpenSansRegular"/>
          <w:sz w:val="20"/>
          <w:szCs w:val="20"/>
        </w:rPr>
        <w:t xml:space="preserve">Food for sale must be safe and suitable. Food </w:t>
      </w:r>
      <w:proofErr w:type="gramStart"/>
      <w:r w:rsidRPr="00E3136D">
        <w:rPr>
          <w:rFonts w:ascii="Verdana" w:hAnsi="Verdana" w:cs="OpenSansRegular"/>
          <w:sz w:val="20"/>
          <w:szCs w:val="20"/>
        </w:rPr>
        <w:t>is considered to be</w:t>
      </w:r>
      <w:proofErr w:type="gramEnd"/>
      <w:r w:rsidRPr="00E3136D">
        <w:rPr>
          <w:rFonts w:ascii="Verdana" w:hAnsi="Verdana" w:cs="OpenSansRegular"/>
          <w:sz w:val="20"/>
          <w:szCs w:val="20"/>
        </w:rPr>
        <w:t xml:space="preserve"> ‘unsafe’ is it contains a biological or chemical agent likely to cause physical harm including if it was consumed by the person according to its reasonable intended use.  Food is not considered </w:t>
      </w:r>
      <w:r w:rsidR="0060536B" w:rsidRPr="00E3136D">
        <w:rPr>
          <w:rFonts w:ascii="Verdana" w:hAnsi="Verdana" w:cs="OpenSansRegular"/>
          <w:sz w:val="20"/>
          <w:szCs w:val="20"/>
        </w:rPr>
        <w:t>unsafe</w:t>
      </w:r>
      <w:r w:rsidRPr="00E3136D">
        <w:rPr>
          <w:rFonts w:ascii="Verdana" w:hAnsi="Verdana" w:cs="OpenSansRegular"/>
          <w:sz w:val="20"/>
          <w:szCs w:val="20"/>
        </w:rPr>
        <w:t xml:space="preserve"> because its inherent nutrition or chemical properties cause adverse reactions only in persons with allergies or sensitivities. Urea Cycle Disorders </w:t>
      </w:r>
      <w:proofErr w:type="gramStart"/>
      <w:r w:rsidRPr="00E3136D">
        <w:rPr>
          <w:rFonts w:ascii="Verdana" w:hAnsi="Verdana" w:cs="OpenSansRegular"/>
          <w:sz w:val="20"/>
          <w:szCs w:val="20"/>
        </w:rPr>
        <w:t>are considered to be</w:t>
      </w:r>
      <w:proofErr w:type="gramEnd"/>
      <w:r w:rsidRPr="00E3136D">
        <w:rPr>
          <w:rFonts w:ascii="Verdana" w:hAnsi="Verdana" w:cs="OpenSansRegular"/>
          <w:sz w:val="20"/>
          <w:szCs w:val="20"/>
        </w:rPr>
        <w:t xml:space="preserve"> similar to allergies or sensitivities in this instance.</w:t>
      </w:r>
    </w:p>
    <w:p w14:paraId="671862EE" w14:textId="77777777" w:rsidR="00E3136D" w:rsidRPr="00E3136D" w:rsidRDefault="00E3136D" w:rsidP="00E3136D">
      <w:pPr>
        <w:pStyle w:val="Bodycopy"/>
        <w:numPr>
          <w:ilvl w:val="0"/>
          <w:numId w:val="13"/>
        </w:numPr>
        <w:rPr>
          <w:rFonts w:ascii="Verdana" w:hAnsi="Verdana" w:cs="OpenSansRegular"/>
          <w:sz w:val="20"/>
          <w:szCs w:val="20"/>
        </w:rPr>
      </w:pPr>
      <w:r w:rsidRPr="00E3136D">
        <w:rPr>
          <w:rFonts w:ascii="Verdana" w:hAnsi="Verdana" w:cs="OpenSansRegular"/>
          <w:sz w:val="20"/>
          <w:szCs w:val="20"/>
        </w:rPr>
        <w:t>Standard 2.9.4 – Formulated Supplementary Sports Foods (FSSF) of the Australia New Zealand Food Standards Code (the Code) was established in 1998 and has not been substantially changed since. It reflected the market at the time and did not anticipate such common use of FSSF in the general population.</w:t>
      </w:r>
    </w:p>
    <w:p w14:paraId="2D982A4A" w14:textId="77777777" w:rsidR="00E3136D" w:rsidRPr="00E3136D" w:rsidRDefault="00E3136D" w:rsidP="00E3136D">
      <w:pPr>
        <w:pStyle w:val="Bodycopy"/>
        <w:numPr>
          <w:ilvl w:val="0"/>
          <w:numId w:val="13"/>
        </w:numPr>
        <w:rPr>
          <w:rFonts w:ascii="Verdana" w:hAnsi="Verdana" w:cs="OpenSansRegular"/>
          <w:sz w:val="20"/>
          <w:szCs w:val="20"/>
        </w:rPr>
      </w:pPr>
      <w:r w:rsidRPr="00E3136D">
        <w:rPr>
          <w:rFonts w:ascii="Verdana" w:hAnsi="Verdana" w:cs="OpenSansRegular"/>
          <w:sz w:val="20"/>
          <w:szCs w:val="20"/>
        </w:rPr>
        <w:t>When Australia and New Zealand created a joint food system Standard 2.9.4 was the only Standard that was not reviewed.</w:t>
      </w:r>
    </w:p>
    <w:p w14:paraId="419B2CF4" w14:textId="77777777" w:rsidR="00E3136D" w:rsidRPr="00E3136D" w:rsidRDefault="00E3136D" w:rsidP="00E3136D">
      <w:pPr>
        <w:pStyle w:val="Bodycopy"/>
        <w:numPr>
          <w:ilvl w:val="0"/>
          <w:numId w:val="13"/>
        </w:numPr>
        <w:rPr>
          <w:rFonts w:ascii="Verdana" w:hAnsi="Verdana" w:cs="OpenSansRegular"/>
          <w:sz w:val="20"/>
          <w:szCs w:val="20"/>
        </w:rPr>
      </w:pPr>
      <w:r w:rsidRPr="00E3136D">
        <w:rPr>
          <w:rFonts w:ascii="Verdana" w:hAnsi="Verdana" w:cs="OpenSansRegular"/>
          <w:sz w:val="20"/>
          <w:szCs w:val="20"/>
        </w:rPr>
        <w:t xml:space="preserve">Definitions under the Standard state that a formulated supplementary sports food means a product that is specifically formulated to assist sports people in achieving specific nutrition or performance goals. The definition includes </w:t>
      </w:r>
      <w:proofErr w:type="gramStart"/>
      <w:r w:rsidRPr="00E3136D">
        <w:rPr>
          <w:rFonts w:ascii="Verdana" w:hAnsi="Verdana" w:cs="OpenSansRegular"/>
          <w:sz w:val="20"/>
          <w:szCs w:val="20"/>
        </w:rPr>
        <w:t>sports drinks, but</w:t>
      </w:r>
      <w:proofErr w:type="gramEnd"/>
      <w:r w:rsidRPr="00E3136D">
        <w:rPr>
          <w:rFonts w:ascii="Verdana" w:hAnsi="Verdana" w:cs="OpenSansRegular"/>
          <w:sz w:val="20"/>
          <w:szCs w:val="20"/>
        </w:rPr>
        <w:t xml:space="preserve"> excludes electrolyte drinks.</w:t>
      </w:r>
    </w:p>
    <w:p w14:paraId="79185ED5" w14:textId="77777777" w:rsidR="00E3136D" w:rsidRPr="00E3136D" w:rsidRDefault="00E3136D" w:rsidP="00E3136D">
      <w:pPr>
        <w:pStyle w:val="Bodycopy"/>
        <w:numPr>
          <w:ilvl w:val="0"/>
          <w:numId w:val="13"/>
        </w:numPr>
        <w:rPr>
          <w:rFonts w:ascii="Verdana" w:hAnsi="Verdana" w:cs="OpenSansRegular"/>
          <w:sz w:val="20"/>
          <w:szCs w:val="20"/>
        </w:rPr>
      </w:pPr>
      <w:r w:rsidRPr="00E3136D">
        <w:rPr>
          <w:rFonts w:ascii="Verdana" w:hAnsi="Verdana" w:cs="OpenSansRegular"/>
          <w:sz w:val="20"/>
          <w:szCs w:val="20"/>
        </w:rPr>
        <w:t xml:space="preserve">Definitions under the Standard may be </w:t>
      </w:r>
      <w:proofErr w:type="gramStart"/>
      <w:r w:rsidRPr="00E3136D">
        <w:rPr>
          <w:rFonts w:ascii="Verdana" w:hAnsi="Verdana" w:cs="OpenSansRegular"/>
          <w:sz w:val="20"/>
          <w:szCs w:val="20"/>
        </w:rPr>
        <w:t>outdated</w:t>
      </w:r>
      <w:proofErr w:type="gramEnd"/>
      <w:r w:rsidRPr="00E3136D">
        <w:rPr>
          <w:rFonts w:ascii="Verdana" w:hAnsi="Verdana" w:cs="OpenSansRegular"/>
          <w:sz w:val="20"/>
          <w:szCs w:val="20"/>
        </w:rPr>
        <w:t xml:space="preserve"> and some newer products do not fit neatly into these. This exacerbates the grey area between foods and medicines, known as the Food-Medicine Interface.</w:t>
      </w:r>
    </w:p>
    <w:p w14:paraId="36FB1B8C" w14:textId="77777777" w:rsidR="00E3136D" w:rsidRPr="00E3136D" w:rsidRDefault="00E3136D" w:rsidP="00E3136D">
      <w:pPr>
        <w:pStyle w:val="Bodycopy"/>
        <w:numPr>
          <w:ilvl w:val="0"/>
          <w:numId w:val="13"/>
        </w:numPr>
        <w:rPr>
          <w:rFonts w:ascii="Verdana" w:hAnsi="Verdana" w:cs="OpenSansRegular"/>
          <w:sz w:val="20"/>
          <w:szCs w:val="20"/>
        </w:rPr>
      </w:pPr>
      <w:r w:rsidRPr="00E3136D">
        <w:rPr>
          <w:rFonts w:ascii="Verdana" w:hAnsi="Verdana" w:cs="OpenSansRegular"/>
          <w:sz w:val="20"/>
          <w:szCs w:val="20"/>
        </w:rPr>
        <w:t xml:space="preserve">Under Standard 2.9.4, a warning statement is required on FSSF: Not suitable for children under 15 years of age or pregnant women: Should only be used under medical or dietetic supervision. </w:t>
      </w:r>
      <w:r w:rsidR="0060536B" w:rsidRPr="00E3136D">
        <w:rPr>
          <w:rFonts w:ascii="Verdana" w:hAnsi="Verdana" w:cs="OpenSansRegular"/>
          <w:sz w:val="20"/>
          <w:szCs w:val="20"/>
        </w:rPr>
        <w:t>However,</w:t>
      </w:r>
      <w:r w:rsidRPr="00E3136D">
        <w:rPr>
          <w:rFonts w:ascii="Verdana" w:hAnsi="Verdana" w:cs="OpenSansRegular"/>
          <w:sz w:val="20"/>
          <w:szCs w:val="20"/>
        </w:rPr>
        <w:t xml:space="preserve"> this sometimes can be misinterpreted and could be made clearer.</w:t>
      </w:r>
    </w:p>
    <w:p w14:paraId="5A5CA199" w14:textId="77777777" w:rsidR="00E3136D" w:rsidRPr="00E3136D" w:rsidRDefault="00431A72" w:rsidP="00431A72">
      <w:pPr>
        <w:pStyle w:val="Bodycopy"/>
        <w:numPr>
          <w:ilvl w:val="0"/>
          <w:numId w:val="13"/>
        </w:numPr>
        <w:rPr>
          <w:rFonts w:ascii="Verdana" w:hAnsi="Verdana" w:cs="OpenSansRegular"/>
          <w:sz w:val="20"/>
          <w:szCs w:val="20"/>
        </w:rPr>
      </w:pPr>
      <w:r w:rsidRPr="00431A72">
        <w:rPr>
          <w:rFonts w:ascii="Verdana" w:hAnsi="Verdana" w:cs="OpenSansRegular"/>
          <w:sz w:val="20"/>
          <w:szCs w:val="20"/>
        </w:rPr>
        <w:t xml:space="preserve">The Standard allows for several label statements about usefulness and appropriate use in 3 categories </w:t>
      </w:r>
      <w:r w:rsidR="008351C1">
        <w:rPr>
          <w:rFonts w:ascii="Verdana" w:hAnsi="Verdana" w:cs="OpenSansRegular"/>
          <w:sz w:val="20"/>
          <w:szCs w:val="20"/>
        </w:rPr>
        <w:t xml:space="preserve">of </w:t>
      </w:r>
      <w:r w:rsidRPr="00431A72">
        <w:rPr>
          <w:rFonts w:ascii="Verdana" w:hAnsi="Verdana" w:cs="OpenSansRegular"/>
          <w:sz w:val="20"/>
          <w:szCs w:val="20"/>
        </w:rPr>
        <w:t>sports foods</w:t>
      </w:r>
      <w:r w:rsidR="00E3136D" w:rsidRPr="00E3136D">
        <w:rPr>
          <w:rFonts w:ascii="Verdana" w:hAnsi="Verdana" w:cs="OpenSansRegular"/>
          <w:sz w:val="20"/>
          <w:szCs w:val="20"/>
        </w:rPr>
        <w:t>.</w:t>
      </w:r>
    </w:p>
    <w:p w14:paraId="2EB05F52" w14:textId="77777777" w:rsidR="00E3136D" w:rsidRDefault="00E3136D" w:rsidP="00E3136D">
      <w:pPr>
        <w:pStyle w:val="Bodycopy"/>
        <w:numPr>
          <w:ilvl w:val="0"/>
          <w:numId w:val="13"/>
        </w:numPr>
        <w:rPr>
          <w:rFonts w:ascii="Verdana" w:hAnsi="Verdana" w:cs="OpenSansRegular"/>
          <w:sz w:val="20"/>
          <w:szCs w:val="20"/>
        </w:rPr>
      </w:pPr>
      <w:r w:rsidRPr="00E3136D">
        <w:rPr>
          <w:rFonts w:ascii="Verdana" w:hAnsi="Verdana" w:cs="OpenSansRegular"/>
          <w:sz w:val="20"/>
          <w:szCs w:val="20"/>
        </w:rPr>
        <w:lastRenderedPageBreak/>
        <w:t>Planning for a review of the Standard began in 2010 and consumer research undertaken in 2010 and 2012, but work has been deferred awaiting further development of P10</w:t>
      </w:r>
      <w:r w:rsidR="00431A72">
        <w:rPr>
          <w:rFonts w:ascii="Verdana" w:hAnsi="Verdana" w:cs="OpenSansRegular"/>
          <w:sz w:val="20"/>
          <w:szCs w:val="20"/>
        </w:rPr>
        <w:t>2</w:t>
      </w:r>
      <w:r w:rsidRPr="00E3136D">
        <w:rPr>
          <w:rFonts w:ascii="Verdana" w:hAnsi="Verdana" w:cs="OpenSansRegular"/>
          <w:sz w:val="20"/>
          <w:szCs w:val="20"/>
        </w:rPr>
        <w:t>4 – Nutritive substances and novel foods</w:t>
      </w:r>
      <w:r w:rsidR="00431A72">
        <w:rPr>
          <w:rFonts w:ascii="Verdana" w:hAnsi="Verdana" w:cs="OpenSansRegular"/>
          <w:sz w:val="20"/>
          <w:szCs w:val="20"/>
        </w:rPr>
        <w:t xml:space="preserve">. The current </w:t>
      </w:r>
      <w:r w:rsidRPr="00E3136D">
        <w:rPr>
          <w:rFonts w:ascii="Verdana" w:hAnsi="Verdana" w:cs="OpenSansRegular"/>
          <w:sz w:val="20"/>
          <w:szCs w:val="20"/>
        </w:rPr>
        <w:t>priority</w:t>
      </w:r>
      <w:r w:rsidR="00431A72">
        <w:rPr>
          <w:rFonts w:ascii="Verdana" w:hAnsi="Verdana" w:cs="OpenSansRegular"/>
          <w:sz w:val="20"/>
          <w:szCs w:val="20"/>
        </w:rPr>
        <w:t xml:space="preserve"> for this review is under consideration.</w:t>
      </w:r>
    </w:p>
    <w:p w14:paraId="6E10806B" w14:textId="77777777" w:rsidR="00E3136D" w:rsidRDefault="00C875EB" w:rsidP="00CF48DD">
      <w:pPr>
        <w:pStyle w:val="Bodycopy"/>
        <w:spacing w:before="240"/>
        <w:rPr>
          <w:rFonts w:ascii="Verdana" w:eastAsia="Times" w:hAnsi="Verdana" w:cs="OpenSansRegular"/>
          <w:b/>
          <w:noProof/>
          <w:color w:val="62B5E5"/>
          <w:sz w:val="22"/>
          <w:szCs w:val="22"/>
          <w:lang w:val="en-US"/>
        </w:rPr>
      </w:pPr>
      <w:r w:rsidRPr="00AF6FE3">
        <w:rPr>
          <w:rFonts w:ascii="Verdana" w:eastAsia="Times" w:hAnsi="Verdana" w:cs="OpenSansRegular"/>
          <w:b/>
          <w:noProof/>
          <w:sz w:val="22"/>
          <w:szCs w:val="22"/>
          <w:lang w:val="en-US"/>
        </w:rPr>
        <w:t>Dr Adam Cook – A/g Director, Listing Compliance Section, Therapeutic Goods Administration (TGA)</w:t>
      </w:r>
    </w:p>
    <w:p w14:paraId="0A1B6A82" w14:textId="77777777" w:rsidR="00C875EB" w:rsidRPr="00C875EB" w:rsidRDefault="00C875EB" w:rsidP="00474F58">
      <w:pPr>
        <w:pStyle w:val="Bodycopy"/>
        <w:numPr>
          <w:ilvl w:val="0"/>
          <w:numId w:val="13"/>
        </w:numPr>
        <w:rPr>
          <w:rFonts w:ascii="Verdana" w:hAnsi="Verdana" w:cs="OpenSansRegular"/>
          <w:sz w:val="20"/>
          <w:szCs w:val="20"/>
        </w:rPr>
      </w:pPr>
      <w:r w:rsidRPr="00C875EB">
        <w:rPr>
          <w:rFonts w:ascii="Verdana" w:hAnsi="Verdana" w:cs="OpenSansRegular"/>
          <w:sz w:val="20"/>
          <w:szCs w:val="20"/>
        </w:rPr>
        <w:t xml:space="preserve">The Therapeutic Goods Act 1989 defines what products are and are not therapeutic goods. </w:t>
      </w:r>
      <w:r w:rsidR="00474F58" w:rsidRPr="00474F58">
        <w:rPr>
          <w:rFonts w:ascii="Verdana" w:hAnsi="Verdana" w:cs="OpenSansRegular"/>
          <w:sz w:val="20"/>
          <w:szCs w:val="20"/>
        </w:rPr>
        <w:t xml:space="preserve">Goods that are foods according to the definition in the Act are not therapeutic </w:t>
      </w:r>
      <w:proofErr w:type="gramStart"/>
      <w:r w:rsidR="00474F58" w:rsidRPr="00474F58">
        <w:rPr>
          <w:rFonts w:ascii="Verdana" w:hAnsi="Verdana" w:cs="OpenSansRegular"/>
          <w:sz w:val="20"/>
          <w:szCs w:val="20"/>
        </w:rPr>
        <w:t>goods, and</w:t>
      </w:r>
      <w:proofErr w:type="gramEnd"/>
      <w:r w:rsidR="00474F58" w:rsidRPr="00474F58">
        <w:rPr>
          <w:rFonts w:ascii="Verdana" w:hAnsi="Verdana" w:cs="OpenSansRegular"/>
          <w:sz w:val="20"/>
          <w:szCs w:val="20"/>
        </w:rPr>
        <w:t xml:space="preserve"> are therefore not regulated by the TGA</w:t>
      </w:r>
      <w:r w:rsidRPr="00C875EB">
        <w:rPr>
          <w:rFonts w:ascii="Verdana" w:hAnsi="Verdana" w:cs="OpenSansRegular"/>
          <w:sz w:val="20"/>
          <w:szCs w:val="20"/>
        </w:rPr>
        <w:t>.</w:t>
      </w:r>
    </w:p>
    <w:p w14:paraId="58D1A46A" w14:textId="77777777" w:rsidR="00C875EB" w:rsidRPr="00C875EB" w:rsidRDefault="00C875EB" w:rsidP="00474F58">
      <w:pPr>
        <w:pStyle w:val="Bodycopy"/>
        <w:numPr>
          <w:ilvl w:val="0"/>
          <w:numId w:val="13"/>
        </w:numPr>
        <w:rPr>
          <w:rFonts w:ascii="Verdana" w:hAnsi="Verdana" w:cs="OpenSansRegular"/>
          <w:sz w:val="20"/>
          <w:szCs w:val="20"/>
        </w:rPr>
      </w:pPr>
      <w:r w:rsidRPr="00C875EB">
        <w:rPr>
          <w:rFonts w:ascii="Verdana" w:hAnsi="Verdana" w:cs="OpenSansRegular"/>
          <w:sz w:val="20"/>
          <w:szCs w:val="20"/>
        </w:rPr>
        <w:t xml:space="preserve">The Food-Medicine Interface Guidance Tool assists in </w:t>
      </w:r>
      <w:r w:rsidR="00474F58" w:rsidRPr="00474F58">
        <w:rPr>
          <w:rFonts w:ascii="Verdana" w:hAnsi="Verdana" w:cs="OpenSansRegular"/>
          <w:sz w:val="20"/>
          <w:szCs w:val="20"/>
        </w:rPr>
        <w:t>determining whether a product is a food</w:t>
      </w:r>
      <w:r w:rsidRPr="00C875EB">
        <w:rPr>
          <w:rFonts w:ascii="Verdana" w:hAnsi="Verdana" w:cs="OpenSansRegular"/>
          <w:sz w:val="20"/>
          <w:szCs w:val="20"/>
        </w:rPr>
        <w:t xml:space="preserve"> or a medicine when there is uncertainty about its regulatory status.</w:t>
      </w:r>
    </w:p>
    <w:p w14:paraId="7D9D5045" w14:textId="77777777" w:rsidR="00C875EB" w:rsidRPr="00C875EB" w:rsidRDefault="00C875EB" w:rsidP="00C875EB">
      <w:pPr>
        <w:pStyle w:val="Bodycopy"/>
        <w:numPr>
          <w:ilvl w:val="0"/>
          <w:numId w:val="13"/>
        </w:numPr>
        <w:rPr>
          <w:rFonts w:ascii="Verdana" w:hAnsi="Verdana" w:cs="OpenSansRegular"/>
          <w:sz w:val="20"/>
          <w:szCs w:val="20"/>
        </w:rPr>
      </w:pPr>
      <w:r w:rsidRPr="00C875EB">
        <w:rPr>
          <w:rFonts w:ascii="Verdana" w:hAnsi="Verdana" w:cs="OpenSansRegular"/>
          <w:sz w:val="20"/>
          <w:szCs w:val="20"/>
        </w:rPr>
        <w:t xml:space="preserve">If a sports supplement </w:t>
      </w:r>
      <w:r w:rsidR="0060536B" w:rsidRPr="00C875EB">
        <w:rPr>
          <w:rFonts w:ascii="Verdana" w:hAnsi="Verdana" w:cs="OpenSansRegular"/>
          <w:sz w:val="20"/>
          <w:szCs w:val="20"/>
        </w:rPr>
        <w:t>were</w:t>
      </w:r>
      <w:r w:rsidRPr="00C875EB">
        <w:rPr>
          <w:rFonts w:ascii="Verdana" w:hAnsi="Verdana" w:cs="OpenSansRegular"/>
          <w:sz w:val="20"/>
          <w:szCs w:val="20"/>
        </w:rPr>
        <w:t xml:space="preserve"> considered </w:t>
      </w:r>
      <w:r w:rsidR="0060536B" w:rsidRPr="00C875EB">
        <w:rPr>
          <w:rFonts w:ascii="Verdana" w:hAnsi="Verdana" w:cs="OpenSansRegular"/>
          <w:sz w:val="20"/>
          <w:szCs w:val="20"/>
        </w:rPr>
        <w:t>a</w:t>
      </w:r>
      <w:r w:rsidRPr="00C875EB">
        <w:rPr>
          <w:rFonts w:ascii="Verdana" w:hAnsi="Verdana" w:cs="OpenSansRegular"/>
          <w:sz w:val="20"/>
          <w:szCs w:val="20"/>
        </w:rPr>
        <w:t xml:space="preserve"> therapeutic </w:t>
      </w:r>
      <w:r w:rsidR="0060536B" w:rsidRPr="00C875EB">
        <w:rPr>
          <w:rFonts w:ascii="Verdana" w:hAnsi="Verdana" w:cs="OpenSansRegular"/>
          <w:sz w:val="20"/>
          <w:szCs w:val="20"/>
        </w:rPr>
        <w:t>good,</w:t>
      </w:r>
      <w:r w:rsidRPr="00C875EB">
        <w:rPr>
          <w:rFonts w:ascii="Verdana" w:hAnsi="Verdana" w:cs="OpenSansRegular"/>
          <w:sz w:val="20"/>
          <w:szCs w:val="20"/>
        </w:rPr>
        <w:t xml:space="preserve"> it would generally fall under the Listed Medicine category of the Australian Register of Therapeutic Goods (ARTG). This is a class considered to have a low level of risk.</w:t>
      </w:r>
    </w:p>
    <w:p w14:paraId="171D5823" w14:textId="77777777" w:rsidR="00E3136D" w:rsidRDefault="00C875EB" w:rsidP="00C875EB">
      <w:pPr>
        <w:pStyle w:val="Bodycopy"/>
        <w:numPr>
          <w:ilvl w:val="0"/>
          <w:numId w:val="13"/>
        </w:numPr>
        <w:rPr>
          <w:rFonts w:ascii="Verdana" w:hAnsi="Verdana" w:cs="OpenSansRegular"/>
          <w:sz w:val="20"/>
          <w:szCs w:val="20"/>
        </w:rPr>
      </w:pPr>
      <w:r w:rsidRPr="00C875EB">
        <w:rPr>
          <w:rFonts w:ascii="Verdana" w:hAnsi="Verdana" w:cs="OpenSansRegular"/>
          <w:sz w:val="20"/>
          <w:szCs w:val="20"/>
        </w:rPr>
        <w:t>The safety of sports supplements that are therapeutic goods is assured by pre-market eligibility criteria, post-market monitoring and enforcement and detection and enforcement action for therapeutic goods that are not on the ARTG.</w:t>
      </w:r>
    </w:p>
    <w:p w14:paraId="1316E502" w14:textId="77777777" w:rsidR="00E3136D" w:rsidRDefault="00C875EB" w:rsidP="00CF48DD">
      <w:pPr>
        <w:pStyle w:val="Bodycopy"/>
        <w:spacing w:before="240"/>
        <w:rPr>
          <w:rFonts w:ascii="Verdana" w:eastAsia="Times" w:hAnsi="Verdana" w:cs="OpenSansRegular"/>
          <w:b/>
          <w:noProof/>
          <w:color w:val="62B5E5"/>
          <w:sz w:val="22"/>
          <w:szCs w:val="22"/>
          <w:lang w:val="en-US"/>
        </w:rPr>
      </w:pPr>
      <w:r w:rsidRPr="00AF6FE3">
        <w:rPr>
          <w:rFonts w:ascii="Verdana" w:eastAsia="Times" w:hAnsi="Verdana" w:cs="OpenSansRegular"/>
          <w:b/>
          <w:noProof/>
          <w:sz w:val="22"/>
          <w:szCs w:val="22"/>
          <w:lang w:val="en-US"/>
        </w:rPr>
        <w:t>Dr David Cusack, Manager, Food Standards and Programs, NSW Department of Primary Industries Food Authority</w:t>
      </w:r>
    </w:p>
    <w:p w14:paraId="705C48E1" w14:textId="77777777" w:rsidR="00C875EB" w:rsidRPr="00C875EB" w:rsidRDefault="00C875EB" w:rsidP="00C875EB">
      <w:pPr>
        <w:pStyle w:val="Bodycopy"/>
        <w:numPr>
          <w:ilvl w:val="0"/>
          <w:numId w:val="13"/>
        </w:numPr>
        <w:rPr>
          <w:rFonts w:ascii="Verdana" w:hAnsi="Verdana" w:cs="OpenSansRegular"/>
          <w:sz w:val="20"/>
          <w:szCs w:val="20"/>
        </w:rPr>
      </w:pPr>
      <w:r w:rsidRPr="00C875EB">
        <w:rPr>
          <w:rFonts w:ascii="Verdana" w:hAnsi="Verdana" w:cs="OpenSansRegular"/>
          <w:sz w:val="20"/>
          <w:szCs w:val="20"/>
        </w:rPr>
        <w:t>Part 2.9 of the Code: Special Purpose Foods has its own policy guidance recognising the specific role of these foods:</w:t>
      </w:r>
    </w:p>
    <w:p w14:paraId="1F64C0B3" w14:textId="77777777" w:rsidR="00C875EB" w:rsidRPr="00C875EB" w:rsidRDefault="00C875EB" w:rsidP="00C875EB">
      <w:pPr>
        <w:pStyle w:val="Bodycopy"/>
        <w:numPr>
          <w:ilvl w:val="1"/>
          <w:numId w:val="13"/>
        </w:numPr>
        <w:rPr>
          <w:rFonts w:ascii="Verdana" w:hAnsi="Verdana" w:cs="OpenSansRegular"/>
          <w:sz w:val="20"/>
          <w:szCs w:val="20"/>
        </w:rPr>
      </w:pPr>
      <w:r w:rsidRPr="00C875EB">
        <w:rPr>
          <w:rFonts w:ascii="Verdana" w:hAnsi="Verdana" w:cs="OpenSansRegular"/>
          <w:sz w:val="20"/>
          <w:szCs w:val="20"/>
        </w:rPr>
        <w:t xml:space="preserve">food standards that prescribe specific requirements for foods processed or manufactured for use by physiologically vulnerable individuals and population sub-groups. Requirements within food standards in Part 2.9 are prescribed relative to the </w:t>
      </w:r>
      <w:proofErr w:type="gramStart"/>
      <w:r w:rsidRPr="00C875EB">
        <w:rPr>
          <w:rFonts w:ascii="Verdana" w:hAnsi="Verdana" w:cs="OpenSansRegular"/>
          <w:sz w:val="20"/>
          <w:szCs w:val="20"/>
        </w:rPr>
        <w:t>particular intended</w:t>
      </w:r>
      <w:proofErr w:type="gramEnd"/>
      <w:r w:rsidRPr="00C875EB">
        <w:rPr>
          <w:rFonts w:ascii="Verdana" w:hAnsi="Verdana" w:cs="OpenSansRegular"/>
          <w:sz w:val="20"/>
          <w:szCs w:val="20"/>
        </w:rPr>
        <w:t xml:space="preserve"> dietary use of the food. </w:t>
      </w:r>
    </w:p>
    <w:p w14:paraId="7741484C" w14:textId="77777777" w:rsidR="00C875EB" w:rsidRPr="00C875EB" w:rsidRDefault="00C875EB" w:rsidP="00C875EB">
      <w:pPr>
        <w:pStyle w:val="Bodycopy"/>
        <w:numPr>
          <w:ilvl w:val="0"/>
          <w:numId w:val="13"/>
        </w:numPr>
        <w:rPr>
          <w:rFonts w:ascii="Verdana" w:hAnsi="Verdana" w:cs="OpenSansRegular"/>
          <w:sz w:val="20"/>
          <w:szCs w:val="20"/>
        </w:rPr>
      </w:pPr>
      <w:r w:rsidRPr="00C875EB">
        <w:rPr>
          <w:rFonts w:ascii="Verdana" w:hAnsi="Verdana" w:cs="OpenSansRegular"/>
          <w:sz w:val="20"/>
          <w:szCs w:val="20"/>
        </w:rPr>
        <w:t xml:space="preserve">This is further explained as physiological vulnerability and risk of dietary inadequacy </w:t>
      </w:r>
      <w:proofErr w:type="gramStart"/>
      <w:r w:rsidRPr="00C875EB">
        <w:rPr>
          <w:rFonts w:ascii="Verdana" w:hAnsi="Verdana" w:cs="OpenSansRegular"/>
          <w:sz w:val="20"/>
          <w:szCs w:val="20"/>
        </w:rPr>
        <w:t>from;</w:t>
      </w:r>
      <w:proofErr w:type="gramEnd"/>
      <w:r w:rsidRPr="00C875EB">
        <w:rPr>
          <w:rFonts w:ascii="Verdana" w:hAnsi="Verdana" w:cs="OpenSansRegular"/>
          <w:sz w:val="20"/>
          <w:szCs w:val="20"/>
        </w:rPr>
        <w:t xml:space="preserve"> </w:t>
      </w:r>
    </w:p>
    <w:p w14:paraId="1E7F916F" w14:textId="77777777" w:rsidR="00C875EB" w:rsidRPr="00C875EB" w:rsidRDefault="00C875EB" w:rsidP="00C875EB">
      <w:pPr>
        <w:pStyle w:val="Bodycopy"/>
        <w:numPr>
          <w:ilvl w:val="1"/>
          <w:numId w:val="13"/>
        </w:numPr>
        <w:rPr>
          <w:rFonts w:ascii="Verdana" w:hAnsi="Verdana" w:cs="OpenSansRegular"/>
          <w:sz w:val="20"/>
          <w:szCs w:val="20"/>
        </w:rPr>
      </w:pPr>
      <w:r w:rsidRPr="00C875EB">
        <w:rPr>
          <w:rFonts w:ascii="Verdana" w:hAnsi="Verdana" w:cs="OpenSansRegular"/>
          <w:sz w:val="20"/>
          <w:szCs w:val="20"/>
        </w:rPr>
        <w:t>physical and physiological needs that relate to stage of life (</w:t>
      </w:r>
      <w:proofErr w:type="gramStart"/>
      <w:r w:rsidRPr="00C875EB">
        <w:rPr>
          <w:rFonts w:ascii="Verdana" w:hAnsi="Verdana" w:cs="OpenSansRegular"/>
          <w:sz w:val="20"/>
          <w:szCs w:val="20"/>
        </w:rPr>
        <w:t>e.g.</w:t>
      </w:r>
      <w:proofErr w:type="gramEnd"/>
      <w:r w:rsidRPr="00C875EB">
        <w:rPr>
          <w:rFonts w:ascii="Verdana" w:hAnsi="Verdana" w:cs="OpenSansRegular"/>
          <w:sz w:val="20"/>
          <w:szCs w:val="20"/>
        </w:rPr>
        <w:t xml:space="preserve"> infancy),</w:t>
      </w:r>
    </w:p>
    <w:p w14:paraId="1EFB12B0" w14:textId="77777777" w:rsidR="00C875EB" w:rsidRPr="00C875EB" w:rsidRDefault="00C875EB" w:rsidP="00C875EB">
      <w:pPr>
        <w:pStyle w:val="Bodycopy"/>
        <w:numPr>
          <w:ilvl w:val="1"/>
          <w:numId w:val="13"/>
        </w:numPr>
        <w:rPr>
          <w:rFonts w:ascii="Verdana" w:hAnsi="Verdana" w:cs="OpenSansRegular"/>
          <w:sz w:val="20"/>
          <w:szCs w:val="20"/>
        </w:rPr>
      </w:pPr>
      <w:r w:rsidRPr="00C875EB">
        <w:rPr>
          <w:rFonts w:ascii="Verdana" w:hAnsi="Verdana" w:cs="OpenSansRegular"/>
          <w:sz w:val="20"/>
          <w:szCs w:val="20"/>
        </w:rPr>
        <w:t>physical disease or disorder,</w:t>
      </w:r>
    </w:p>
    <w:p w14:paraId="2108A8BB" w14:textId="77777777" w:rsidR="00C875EB" w:rsidRPr="00C875EB" w:rsidRDefault="00C875EB" w:rsidP="00C875EB">
      <w:pPr>
        <w:pStyle w:val="Bodycopy"/>
        <w:numPr>
          <w:ilvl w:val="1"/>
          <w:numId w:val="13"/>
        </w:numPr>
        <w:rPr>
          <w:rFonts w:ascii="Verdana" w:hAnsi="Verdana" w:cs="OpenSansRegular"/>
          <w:sz w:val="20"/>
          <w:szCs w:val="20"/>
        </w:rPr>
      </w:pPr>
      <w:r w:rsidRPr="00C875EB">
        <w:rPr>
          <w:rFonts w:ascii="Verdana" w:hAnsi="Verdana" w:cs="OpenSansRegular"/>
          <w:sz w:val="20"/>
          <w:szCs w:val="20"/>
        </w:rPr>
        <w:t>conditions that require altered energy intake (such as elite sport).</w:t>
      </w:r>
    </w:p>
    <w:p w14:paraId="643DC9A6" w14:textId="77777777" w:rsidR="00C875EB" w:rsidRDefault="00C875EB" w:rsidP="00C875EB">
      <w:pPr>
        <w:pStyle w:val="Bodycopy"/>
        <w:numPr>
          <w:ilvl w:val="0"/>
          <w:numId w:val="13"/>
        </w:numPr>
        <w:rPr>
          <w:rFonts w:ascii="Verdana" w:hAnsi="Verdana" w:cs="OpenSansRegular"/>
          <w:sz w:val="20"/>
          <w:szCs w:val="20"/>
        </w:rPr>
      </w:pPr>
      <w:r w:rsidRPr="00C875EB">
        <w:rPr>
          <w:rFonts w:ascii="Verdana" w:hAnsi="Verdana" w:cs="OpenSansRegular"/>
          <w:sz w:val="20"/>
          <w:szCs w:val="20"/>
        </w:rPr>
        <w:t>Sports supplements have more prescription on composition, labels and claims than general foods.</w:t>
      </w:r>
    </w:p>
    <w:p w14:paraId="316DDC97" w14:textId="77777777" w:rsidR="00431A72" w:rsidRPr="00C875EB" w:rsidRDefault="00431A72" w:rsidP="00431A72">
      <w:pPr>
        <w:pStyle w:val="Bodycopy"/>
        <w:numPr>
          <w:ilvl w:val="1"/>
          <w:numId w:val="13"/>
        </w:numPr>
        <w:rPr>
          <w:rFonts w:ascii="Verdana" w:hAnsi="Verdana" w:cs="OpenSansRegular"/>
          <w:sz w:val="20"/>
          <w:szCs w:val="20"/>
        </w:rPr>
      </w:pPr>
      <w:r w:rsidRPr="00431A72">
        <w:rPr>
          <w:rFonts w:ascii="Verdana" w:hAnsi="Verdana" w:cs="OpenSansRegular"/>
          <w:sz w:val="20"/>
          <w:szCs w:val="20"/>
        </w:rPr>
        <w:t xml:space="preserve">standard 2.9.4 has not been reviewed since it </w:t>
      </w:r>
      <w:proofErr w:type="gramStart"/>
      <w:r w:rsidRPr="00431A72">
        <w:rPr>
          <w:rFonts w:ascii="Verdana" w:hAnsi="Verdana" w:cs="OpenSansRegular"/>
          <w:sz w:val="20"/>
          <w:szCs w:val="20"/>
        </w:rPr>
        <w:t>is was</w:t>
      </w:r>
      <w:proofErr w:type="gramEnd"/>
      <w:r w:rsidRPr="00431A72">
        <w:rPr>
          <w:rFonts w:ascii="Verdana" w:hAnsi="Verdana" w:cs="OpenSansRegular"/>
          <w:sz w:val="20"/>
          <w:szCs w:val="20"/>
        </w:rPr>
        <w:t xml:space="preserve"> written (1990's) and the market has changed significantly since that time. Internet sales more prevalent, imports are important source of product and 'pre-workout' products have emerged as an important sector in the market. These products are now far more easily available to a broader range of consumers than was the case when the standard was first developed.</w:t>
      </w:r>
    </w:p>
    <w:p w14:paraId="5EB46D49" w14:textId="77777777" w:rsidR="00C875EB" w:rsidRPr="00C875EB" w:rsidRDefault="00C875EB" w:rsidP="00C875EB">
      <w:pPr>
        <w:pStyle w:val="Bodycopy"/>
        <w:numPr>
          <w:ilvl w:val="0"/>
          <w:numId w:val="13"/>
        </w:numPr>
        <w:rPr>
          <w:rFonts w:ascii="Verdana" w:hAnsi="Verdana" w:cs="OpenSansRegular"/>
          <w:sz w:val="20"/>
          <w:szCs w:val="20"/>
        </w:rPr>
      </w:pPr>
      <w:r w:rsidRPr="00C875EB">
        <w:rPr>
          <w:rFonts w:ascii="Verdana" w:hAnsi="Verdana" w:cs="OpenSansRegular"/>
          <w:sz w:val="20"/>
          <w:szCs w:val="20"/>
        </w:rPr>
        <w:t>Previous sports foods compliance action undertaken in NSW.</w:t>
      </w:r>
    </w:p>
    <w:p w14:paraId="4AD180F4" w14:textId="77777777" w:rsidR="00C875EB" w:rsidRPr="00C875EB" w:rsidRDefault="00C875EB" w:rsidP="00C875EB">
      <w:pPr>
        <w:pStyle w:val="Bodycopy"/>
        <w:numPr>
          <w:ilvl w:val="1"/>
          <w:numId w:val="13"/>
        </w:numPr>
        <w:rPr>
          <w:rFonts w:ascii="Verdana" w:hAnsi="Verdana" w:cs="OpenSansRegular"/>
          <w:sz w:val="20"/>
          <w:szCs w:val="20"/>
        </w:rPr>
      </w:pPr>
      <w:r w:rsidRPr="00C875EB">
        <w:rPr>
          <w:rFonts w:ascii="Verdana" w:hAnsi="Verdana" w:cs="OpenSansRegular"/>
          <w:sz w:val="20"/>
          <w:szCs w:val="20"/>
        </w:rPr>
        <w:t>Several consumer complaints were received in 2011, which led to a large compliance operation in 2012-13.</w:t>
      </w:r>
    </w:p>
    <w:p w14:paraId="624CFF02" w14:textId="77777777" w:rsidR="00C875EB" w:rsidRPr="00C875EB" w:rsidRDefault="00C875EB" w:rsidP="00C875EB">
      <w:pPr>
        <w:pStyle w:val="Bodycopy"/>
        <w:numPr>
          <w:ilvl w:val="1"/>
          <w:numId w:val="13"/>
        </w:numPr>
        <w:rPr>
          <w:rFonts w:ascii="Verdana" w:hAnsi="Verdana" w:cs="OpenSansRegular"/>
          <w:sz w:val="20"/>
          <w:szCs w:val="20"/>
        </w:rPr>
      </w:pPr>
      <w:r w:rsidRPr="00C875EB">
        <w:rPr>
          <w:rFonts w:ascii="Verdana" w:hAnsi="Verdana" w:cs="OpenSansRegular"/>
          <w:sz w:val="20"/>
          <w:szCs w:val="20"/>
        </w:rPr>
        <w:t>In 2012, DMAA was added to the Standard for the Uniform Scheduling of Medicines and Poisons (SUSMP).</w:t>
      </w:r>
    </w:p>
    <w:p w14:paraId="3EDFDEEC" w14:textId="77777777" w:rsidR="00C875EB" w:rsidRPr="00C875EB" w:rsidRDefault="00C875EB" w:rsidP="00C875EB">
      <w:pPr>
        <w:pStyle w:val="Bodycopy"/>
        <w:numPr>
          <w:ilvl w:val="1"/>
          <w:numId w:val="13"/>
        </w:numPr>
        <w:rPr>
          <w:rFonts w:ascii="Verdana" w:hAnsi="Verdana" w:cs="OpenSansRegular"/>
          <w:sz w:val="20"/>
          <w:szCs w:val="20"/>
        </w:rPr>
      </w:pPr>
      <w:r w:rsidRPr="00C875EB">
        <w:rPr>
          <w:rFonts w:ascii="Verdana" w:hAnsi="Verdana" w:cs="OpenSansRegular"/>
          <w:sz w:val="20"/>
          <w:szCs w:val="20"/>
        </w:rPr>
        <w:t>The compliance action focussed on:</w:t>
      </w:r>
    </w:p>
    <w:p w14:paraId="5A1EDAFB" w14:textId="77777777" w:rsidR="00CF48DD" w:rsidRDefault="00CF48DD">
      <w:pPr>
        <w:rPr>
          <w:rFonts w:ascii="Verdana" w:eastAsia="Times New Roman" w:hAnsi="Verdana" w:cs="OpenSansRegular"/>
          <w:sz w:val="20"/>
          <w:szCs w:val="20"/>
        </w:rPr>
      </w:pPr>
      <w:r>
        <w:rPr>
          <w:rFonts w:ascii="Verdana" w:hAnsi="Verdana" w:cs="OpenSansRegular"/>
          <w:sz w:val="20"/>
          <w:szCs w:val="20"/>
        </w:rPr>
        <w:br w:type="page"/>
      </w:r>
    </w:p>
    <w:p w14:paraId="2D77CC7E" w14:textId="40B0CFC0" w:rsidR="00C875EB" w:rsidRPr="00C875EB" w:rsidRDefault="00C875EB" w:rsidP="00C875EB">
      <w:pPr>
        <w:pStyle w:val="Bodycopy"/>
        <w:numPr>
          <w:ilvl w:val="2"/>
          <w:numId w:val="13"/>
        </w:numPr>
        <w:rPr>
          <w:rFonts w:ascii="Verdana" w:hAnsi="Verdana" w:cs="OpenSansRegular"/>
          <w:sz w:val="20"/>
          <w:szCs w:val="20"/>
        </w:rPr>
      </w:pPr>
      <w:r w:rsidRPr="00C875EB">
        <w:rPr>
          <w:rFonts w:ascii="Verdana" w:hAnsi="Verdana" w:cs="OpenSansRegular"/>
          <w:sz w:val="20"/>
          <w:szCs w:val="20"/>
        </w:rPr>
        <w:lastRenderedPageBreak/>
        <w:t>composition, use of prohibited or restricted materials</w:t>
      </w:r>
    </w:p>
    <w:p w14:paraId="67ECBF8F" w14:textId="77777777" w:rsidR="00C875EB" w:rsidRPr="00C875EB" w:rsidRDefault="00C875EB" w:rsidP="00C875EB">
      <w:pPr>
        <w:pStyle w:val="Bodycopy"/>
        <w:numPr>
          <w:ilvl w:val="2"/>
          <w:numId w:val="13"/>
        </w:numPr>
        <w:rPr>
          <w:rFonts w:ascii="Verdana" w:hAnsi="Verdana" w:cs="OpenSansRegular"/>
          <w:sz w:val="20"/>
          <w:szCs w:val="20"/>
        </w:rPr>
      </w:pPr>
      <w:r w:rsidRPr="00C875EB">
        <w:rPr>
          <w:rFonts w:ascii="Verdana" w:hAnsi="Verdana" w:cs="OpenSansRegular"/>
          <w:sz w:val="20"/>
          <w:szCs w:val="20"/>
        </w:rPr>
        <w:t>Use of synthetic derivatives of prohibited substances</w:t>
      </w:r>
    </w:p>
    <w:p w14:paraId="007DBD3A" w14:textId="77777777" w:rsidR="00C875EB" w:rsidRPr="00C875EB" w:rsidRDefault="00C875EB" w:rsidP="00C875EB">
      <w:pPr>
        <w:pStyle w:val="Bodycopy"/>
        <w:numPr>
          <w:ilvl w:val="2"/>
          <w:numId w:val="13"/>
        </w:numPr>
        <w:rPr>
          <w:rFonts w:ascii="Verdana" w:hAnsi="Verdana" w:cs="OpenSansRegular"/>
          <w:sz w:val="20"/>
          <w:szCs w:val="20"/>
        </w:rPr>
      </w:pPr>
      <w:r w:rsidRPr="00C875EB">
        <w:rPr>
          <w:rFonts w:ascii="Verdana" w:hAnsi="Verdana" w:cs="OpenSansRegular"/>
          <w:sz w:val="20"/>
          <w:szCs w:val="20"/>
        </w:rPr>
        <w:t>Non-compliance with labelling requirements</w:t>
      </w:r>
    </w:p>
    <w:p w14:paraId="72D0F93D" w14:textId="77777777" w:rsidR="00C875EB" w:rsidRPr="00C875EB" w:rsidRDefault="00C875EB" w:rsidP="00C875EB">
      <w:pPr>
        <w:pStyle w:val="Bodycopy"/>
        <w:numPr>
          <w:ilvl w:val="2"/>
          <w:numId w:val="13"/>
        </w:numPr>
        <w:rPr>
          <w:rFonts w:ascii="Verdana" w:hAnsi="Verdana" w:cs="OpenSansRegular"/>
          <w:sz w:val="20"/>
          <w:szCs w:val="20"/>
        </w:rPr>
      </w:pPr>
      <w:r w:rsidRPr="00C875EB">
        <w:rPr>
          <w:rFonts w:ascii="Verdana" w:hAnsi="Verdana" w:cs="OpenSansRegular"/>
          <w:sz w:val="20"/>
          <w:szCs w:val="20"/>
        </w:rPr>
        <w:t>Exceeding defined limits in the Code for permitted substances.</w:t>
      </w:r>
    </w:p>
    <w:p w14:paraId="55F68894" w14:textId="77777777" w:rsidR="00C875EB" w:rsidRPr="00C875EB" w:rsidRDefault="00C875EB" w:rsidP="00C875EB">
      <w:pPr>
        <w:pStyle w:val="Bodycopy"/>
        <w:numPr>
          <w:ilvl w:val="1"/>
          <w:numId w:val="13"/>
        </w:numPr>
        <w:rPr>
          <w:rFonts w:ascii="Verdana" w:hAnsi="Verdana" w:cs="OpenSansRegular"/>
          <w:sz w:val="20"/>
          <w:szCs w:val="20"/>
        </w:rPr>
      </w:pPr>
      <w:r w:rsidRPr="00C875EB">
        <w:rPr>
          <w:rFonts w:ascii="Verdana" w:hAnsi="Verdana" w:cs="OpenSansRegular"/>
          <w:sz w:val="20"/>
          <w:szCs w:val="20"/>
        </w:rPr>
        <w:t>Key findings:</w:t>
      </w:r>
    </w:p>
    <w:p w14:paraId="6DE27F0A" w14:textId="77777777" w:rsidR="00C875EB" w:rsidRPr="00C875EB" w:rsidRDefault="00C875EB" w:rsidP="00C875EB">
      <w:pPr>
        <w:pStyle w:val="Bodycopy"/>
        <w:numPr>
          <w:ilvl w:val="2"/>
          <w:numId w:val="13"/>
        </w:numPr>
        <w:rPr>
          <w:rFonts w:ascii="Verdana" w:hAnsi="Verdana" w:cs="OpenSansRegular"/>
          <w:sz w:val="20"/>
          <w:szCs w:val="20"/>
        </w:rPr>
      </w:pPr>
      <w:r w:rsidRPr="00C875EB">
        <w:rPr>
          <w:rFonts w:ascii="Verdana" w:hAnsi="Verdana" w:cs="OpenSansRegular"/>
          <w:sz w:val="20"/>
          <w:szCs w:val="20"/>
        </w:rPr>
        <w:t>Pre-workout supplements were found to be more likely to contain stimulants, mood enhancing ingredients and harmful substances.</w:t>
      </w:r>
    </w:p>
    <w:p w14:paraId="25308457" w14:textId="77777777" w:rsidR="00C875EB" w:rsidRPr="00C875EB" w:rsidRDefault="00C875EB" w:rsidP="00C875EB">
      <w:pPr>
        <w:pStyle w:val="Bodycopy"/>
        <w:numPr>
          <w:ilvl w:val="2"/>
          <w:numId w:val="13"/>
        </w:numPr>
        <w:rPr>
          <w:rFonts w:ascii="Verdana" w:hAnsi="Verdana" w:cs="OpenSansRegular"/>
          <w:sz w:val="20"/>
          <w:szCs w:val="20"/>
        </w:rPr>
      </w:pPr>
      <w:r w:rsidRPr="00C875EB">
        <w:rPr>
          <w:rFonts w:ascii="Verdana" w:hAnsi="Verdana" w:cs="OpenSansRegular"/>
          <w:sz w:val="20"/>
          <w:szCs w:val="20"/>
        </w:rPr>
        <w:t xml:space="preserve">Seizures of products containing prohibited ingredients – </w:t>
      </w:r>
      <w:proofErr w:type="gramStart"/>
      <w:r w:rsidRPr="00C875EB">
        <w:rPr>
          <w:rFonts w:ascii="Verdana" w:hAnsi="Verdana" w:cs="OpenSansRegular"/>
          <w:sz w:val="20"/>
          <w:szCs w:val="20"/>
        </w:rPr>
        <w:t>e.g.</w:t>
      </w:r>
      <w:proofErr w:type="gramEnd"/>
      <w:r w:rsidRPr="00C875EB">
        <w:rPr>
          <w:rFonts w:ascii="Verdana" w:hAnsi="Verdana" w:cs="OpenSansRegular"/>
          <w:sz w:val="20"/>
          <w:szCs w:val="20"/>
        </w:rPr>
        <w:t xml:space="preserve"> DMAA</w:t>
      </w:r>
      <w:r w:rsidR="00431A72">
        <w:rPr>
          <w:rFonts w:ascii="Verdana" w:hAnsi="Verdana" w:cs="OpenSansRegular"/>
          <w:sz w:val="20"/>
          <w:szCs w:val="20"/>
        </w:rPr>
        <w:t>, NADB</w:t>
      </w:r>
      <w:r w:rsidRPr="00C875EB">
        <w:rPr>
          <w:rFonts w:ascii="Verdana" w:hAnsi="Verdana" w:cs="OpenSansRegular"/>
          <w:sz w:val="20"/>
          <w:szCs w:val="20"/>
        </w:rPr>
        <w:t>.</w:t>
      </w:r>
    </w:p>
    <w:p w14:paraId="5151D20D" w14:textId="77777777" w:rsidR="00C875EB" w:rsidRDefault="00C875EB" w:rsidP="00C875EB">
      <w:pPr>
        <w:pStyle w:val="Bodycopy"/>
        <w:numPr>
          <w:ilvl w:val="2"/>
          <w:numId w:val="13"/>
        </w:numPr>
        <w:rPr>
          <w:rFonts w:ascii="Verdana" w:hAnsi="Verdana" w:cs="OpenSansRegular"/>
          <w:sz w:val="20"/>
          <w:szCs w:val="20"/>
        </w:rPr>
      </w:pPr>
      <w:r w:rsidRPr="00C875EB">
        <w:rPr>
          <w:rFonts w:ascii="Verdana" w:hAnsi="Verdana" w:cs="OpenSansRegular"/>
          <w:sz w:val="20"/>
          <w:szCs w:val="20"/>
        </w:rPr>
        <w:t xml:space="preserve">Seizure of products exceeding permitted limits in the Code – </w:t>
      </w:r>
      <w:proofErr w:type="gramStart"/>
      <w:r w:rsidRPr="00C875EB">
        <w:rPr>
          <w:rFonts w:ascii="Verdana" w:hAnsi="Verdana" w:cs="OpenSansRegular"/>
          <w:sz w:val="20"/>
          <w:szCs w:val="20"/>
        </w:rPr>
        <w:t>e.g.</w:t>
      </w:r>
      <w:proofErr w:type="gramEnd"/>
      <w:r w:rsidRPr="00C875EB">
        <w:rPr>
          <w:rFonts w:ascii="Verdana" w:hAnsi="Verdana" w:cs="OpenSansRegular"/>
          <w:sz w:val="20"/>
          <w:szCs w:val="20"/>
        </w:rPr>
        <w:t xml:space="preserve"> amino acids.</w:t>
      </w:r>
    </w:p>
    <w:p w14:paraId="4AF40B66" w14:textId="77777777" w:rsidR="00431A72" w:rsidRPr="00C875EB" w:rsidRDefault="00431A72" w:rsidP="00431A72">
      <w:pPr>
        <w:pStyle w:val="Bodycopy"/>
        <w:numPr>
          <w:ilvl w:val="2"/>
          <w:numId w:val="13"/>
        </w:numPr>
        <w:rPr>
          <w:rFonts w:ascii="Verdana" w:hAnsi="Verdana" w:cs="OpenSansRegular"/>
          <w:sz w:val="20"/>
          <w:szCs w:val="20"/>
        </w:rPr>
      </w:pPr>
      <w:r>
        <w:rPr>
          <w:rFonts w:ascii="Verdana" w:hAnsi="Verdana" w:cs="OpenSansRegular"/>
          <w:sz w:val="20"/>
          <w:szCs w:val="20"/>
        </w:rPr>
        <w:t>L</w:t>
      </w:r>
      <w:r w:rsidRPr="00431A72">
        <w:rPr>
          <w:rFonts w:ascii="Verdana" w:hAnsi="Verdana" w:cs="OpenSansRegular"/>
          <w:sz w:val="20"/>
          <w:szCs w:val="20"/>
        </w:rPr>
        <w:t>isting non-approved novel foods and nutritive substances as ingredients.</w:t>
      </w:r>
    </w:p>
    <w:p w14:paraId="0F661742" w14:textId="77777777" w:rsidR="00C875EB" w:rsidRPr="00C875EB" w:rsidRDefault="00C875EB" w:rsidP="00C875EB">
      <w:pPr>
        <w:pStyle w:val="Bodycopy"/>
        <w:numPr>
          <w:ilvl w:val="2"/>
          <w:numId w:val="13"/>
        </w:numPr>
        <w:rPr>
          <w:rFonts w:ascii="Verdana" w:hAnsi="Verdana" w:cs="OpenSansRegular"/>
          <w:sz w:val="20"/>
          <w:szCs w:val="20"/>
        </w:rPr>
      </w:pPr>
      <w:r w:rsidRPr="00C875EB">
        <w:rPr>
          <w:rFonts w:ascii="Verdana" w:hAnsi="Verdana" w:cs="OpenSansRegular"/>
          <w:sz w:val="20"/>
          <w:szCs w:val="20"/>
        </w:rPr>
        <w:t>Non-compliance with allergen and Nutrition Information Panel labelling.</w:t>
      </w:r>
    </w:p>
    <w:p w14:paraId="5A96F23A" w14:textId="77777777" w:rsidR="00C875EB" w:rsidRPr="00C875EB" w:rsidRDefault="00C875EB" w:rsidP="00C875EB">
      <w:pPr>
        <w:pStyle w:val="Bodycopy"/>
        <w:numPr>
          <w:ilvl w:val="2"/>
          <w:numId w:val="13"/>
        </w:numPr>
        <w:rPr>
          <w:rFonts w:ascii="Verdana" w:hAnsi="Verdana" w:cs="OpenSansRegular"/>
          <w:sz w:val="20"/>
          <w:szCs w:val="20"/>
        </w:rPr>
      </w:pPr>
      <w:r w:rsidRPr="00C875EB">
        <w:rPr>
          <w:rFonts w:ascii="Verdana" w:hAnsi="Verdana" w:cs="OpenSansRegular"/>
          <w:sz w:val="20"/>
          <w:szCs w:val="20"/>
        </w:rPr>
        <w:t>Very high levels of caffeine.</w:t>
      </w:r>
    </w:p>
    <w:p w14:paraId="6BD77E33" w14:textId="77777777" w:rsidR="00C875EB" w:rsidRPr="00C875EB" w:rsidRDefault="00C875EB" w:rsidP="00C875EB">
      <w:pPr>
        <w:pStyle w:val="Bodycopy"/>
        <w:numPr>
          <w:ilvl w:val="2"/>
          <w:numId w:val="13"/>
        </w:numPr>
        <w:rPr>
          <w:rFonts w:ascii="Verdana" w:hAnsi="Verdana" w:cs="OpenSansRegular"/>
          <w:sz w:val="20"/>
          <w:szCs w:val="20"/>
        </w:rPr>
      </w:pPr>
      <w:r w:rsidRPr="00C875EB">
        <w:rPr>
          <w:rFonts w:ascii="Verdana" w:hAnsi="Verdana" w:cs="OpenSansRegular"/>
          <w:sz w:val="20"/>
          <w:szCs w:val="20"/>
        </w:rPr>
        <w:t>An education sheet was developed and an increase in compliance was found during re-visits.</w:t>
      </w:r>
    </w:p>
    <w:p w14:paraId="45115048" w14:textId="77777777" w:rsidR="00591CD4" w:rsidRPr="00591CD4" w:rsidRDefault="00591CD4" w:rsidP="00591CD4">
      <w:pPr>
        <w:pStyle w:val="Bodycopy"/>
        <w:numPr>
          <w:ilvl w:val="0"/>
          <w:numId w:val="13"/>
        </w:numPr>
        <w:rPr>
          <w:rFonts w:ascii="Verdana" w:hAnsi="Verdana" w:cs="OpenSansRegular"/>
          <w:sz w:val="20"/>
          <w:szCs w:val="20"/>
        </w:rPr>
      </w:pPr>
      <w:r w:rsidRPr="00591CD4">
        <w:rPr>
          <w:rFonts w:ascii="Verdana" w:hAnsi="Verdana" w:cs="OpenSansRegular"/>
          <w:sz w:val="20"/>
          <w:szCs w:val="20"/>
        </w:rPr>
        <w:t xml:space="preserve">Products containing DMAA were seized as its use has been associated with various adverse health effects such as high blood pressure, headaches, vomiting and </w:t>
      </w:r>
      <w:proofErr w:type="spellStart"/>
      <w:r w:rsidRPr="00591CD4">
        <w:rPr>
          <w:rFonts w:ascii="Verdana" w:hAnsi="Verdana" w:cs="OpenSansRegular"/>
          <w:sz w:val="20"/>
          <w:szCs w:val="20"/>
        </w:rPr>
        <w:t>cerbral</w:t>
      </w:r>
      <w:proofErr w:type="spellEnd"/>
      <w:r w:rsidRPr="00591CD4">
        <w:rPr>
          <w:rFonts w:ascii="Verdana" w:hAnsi="Verdana" w:cs="OpenSansRegular"/>
          <w:sz w:val="20"/>
          <w:szCs w:val="20"/>
        </w:rPr>
        <w:t xml:space="preserve"> haemorrhage and stroke.</w:t>
      </w:r>
    </w:p>
    <w:p w14:paraId="4441A768" w14:textId="77777777" w:rsidR="00591CD4" w:rsidRDefault="00591CD4" w:rsidP="00591CD4">
      <w:pPr>
        <w:pStyle w:val="Bodycopy"/>
        <w:numPr>
          <w:ilvl w:val="0"/>
          <w:numId w:val="13"/>
        </w:numPr>
        <w:rPr>
          <w:rFonts w:ascii="Verdana" w:hAnsi="Verdana" w:cs="OpenSansRegular"/>
          <w:sz w:val="20"/>
          <w:szCs w:val="20"/>
        </w:rPr>
      </w:pPr>
      <w:r w:rsidRPr="00591CD4">
        <w:rPr>
          <w:rFonts w:ascii="Verdana" w:hAnsi="Verdana" w:cs="OpenSansRegular"/>
          <w:sz w:val="20"/>
          <w:szCs w:val="20"/>
        </w:rPr>
        <w:t xml:space="preserve">Products containing NADB were seized as it has very similar structural chemistry to methamphetamine. </w:t>
      </w:r>
    </w:p>
    <w:p w14:paraId="25C0250A" w14:textId="77777777" w:rsidR="00C875EB" w:rsidRPr="00C875EB" w:rsidRDefault="00C875EB" w:rsidP="00591CD4">
      <w:pPr>
        <w:pStyle w:val="Bodycopy"/>
        <w:numPr>
          <w:ilvl w:val="0"/>
          <w:numId w:val="13"/>
        </w:numPr>
        <w:rPr>
          <w:rFonts w:ascii="Verdana" w:hAnsi="Verdana" w:cs="OpenSansRegular"/>
          <w:sz w:val="20"/>
          <w:szCs w:val="20"/>
        </w:rPr>
      </w:pPr>
      <w:r w:rsidRPr="00C875EB">
        <w:rPr>
          <w:rFonts w:ascii="Verdana" w:hAnsi="Verdana" w:cs="OpenSansRegular"/>
          <w:sz w:val="20"/>
          <w:szCs w:val="20"/>
        </w:rPr>
        <w:t>The market has significant quantities of imported products, with online sales making a large percentage of the market. Challenges in compliance in relation to FSSF come largely through online sales.</w:t>
      </w:r>
      <w:r w:rsidR="00591CD4">
        <w:rPr>
          <w:rFonts w:ascii="Verdana" w:hAnsi="Verdana" w:cs="OpenSansRegular"/>
          <w:sz w:val="20"/>
          <w:szCs w:val="20"/>
        </w:rPr>
        <w:t xml:space="preserve"> </w:t>
      </w:r>
      <w:r w:rsidR="00591CD4" w:rsidRPr="00591CD4">
        <w:rPr>
          <w:rFonts w:ascii="Verdana" w:hAnsi="Verdana" w:cs="OpenSansRegular"/>
          <w:sz w:val="20"/>
          <w:szCs w:val="20"/>
        </w:rPr>
        <w:t>Some supply of product is also through the NZ supplemented food standard.</w:t>
      </w:r>
    </w:p>
    <w:p w14:paraId="5759A575" w14:textId="77777777" w:rsidR="00C875EB" w:rsidRPr="00C875EB" w:rsidRDefault="00C875EB" w:rsidP="00C875EB">
      <w:pPr>
        <w:pStyle w:val="Bodycopy"/>
        <w:numPr>
          <w:ilvl w:val="0"/>
          <w:numId w:val="13"/>
        </w:numPr>
        <w:rPr>
          <w:rFonts w:ascii="Verdana" w:hAnsi="Verdana" w:cs="OpenSansRegular"/>
          <w:sz w:val="20"/>
          <w:szCs w:val="20"/>
        </w:rPr>
      </w:pPr>
      <w:r w:rsidRPr="00C875EB">
        <w:rPr>
          <w:rFonts w:ascii="Verdana" w:hAnsi="Verdana" w:cs="OpenSansRegular"/>
          <w:sz w:val="20"/>
          <w:szCs w:val="20"/>
        </w:rPr>
        <w:t>The FSSF market is a demand driven market, with some consumers actively motivated to seek an edge or advantage. Consumers within this market are considered unlikely to respond to traditional risk messaging of ‘buyer beware’.</w:t>
      </w:r>
    </w:p>
    <w:p w14:paraId="252D5585" w14:textId="77777777" w:rsidR="00E3136D" w:rsidRDefault="00C875EB" w:rsidP="00C875EB">
      <w:pPr>
        <w:pStyle w:val="Bodycopy"/>
        <w:numPr>
          <w:ilvl w:val="0"/>
          <w:numId w:val="13"/>
        </w:numPr>
        <w:rPr>
          <w:rFonts w:ascii="Verdana" w:hAnsi="Verdana" w:cs="OpenSansRegular"/>
          <w:sz w:val="20"/>
          <w:szCs w:val="20"/>
        </w:rPr>
      </w:pPr>
      <w:r w:rsidRPr="00C875EB">
        <w:rPr>
          <w:rFonts w:ascii="Verdana" w:hAnsi="Verdana" w:cs="OpenSansRegular"/>
          <w:sz w:val="20"/>
          <w:szCs w:val="20"/>
        </w:rPr>
        <w:t>Cooperation between Commonwealth agencies, addressing risk products at the border and gathering intelligence may be able to help compliance and enforcement issues into the future.</w:t>
      </w:r>
    </w:p>
    <w:p w14:paraId="573684E4" w14:textId="77777777" w:rsidR="00591CD4" w:rsidRPr="00591CD4" w:rsidRDefault="00591CD4" w:rsidP="00591CD4">
      <w:pPr>
        <w:pStyle w:val="Bodycopy"/>
        <w:numPr>
          <w:ilvl w:val="0"/>
          <w:numId w:val="13"/>
        </w:numPr>
        <w:rPr>
          <w:rFonts w:ascii="Verdana" w:hAnsi="Verdana" w:cs="OpenSansRegular"/>
          <w:sz w:val="20"/>
          <w:szCs w:val="20"/>
        </w:rPr>
      </w:pPr>
      <w:r>
        <w:rPr>
          <w:rFonts w:ascii="Verdana" w:hAnsi="Verdana" w:cs="OpenSansRegular"/>
          <w:sz w:val="20"/>
          <w:szCs w:val="20"/>
        </w:rPr>
        <w:t>T</w:t>
      </w:r>
      <w:r w:rsidRPr="00591CD4">
        <w:rPr>
          <w:rFonts w:ascii="Verdana" w:hAnsi="Verdana" w:cs="OpenSansRegular"/>
          <w:sz w:val="20"/>
          <w:szCs w:val="20"/>
        </w:rPr>
        <w:t xml:space="preserve">he recent TGA ban on DMHA and DMBA and any similar analogues has led to some products manufactured overseas including </w:t>
      </w:r>
      <w:proofErr w:type="spellStart"/>
      <w:r w:rsidRPr="00591CD4">
        <w:rPr>
          <w:rFonts w:ascii="Verdana" w:hAnsi="Verdana" w:cs="OpenSansRegular"/>
          <w:sz w:val="20"/>
          <w:szCs w:val="20"/>
        </w:rPr>
        <w:t>synthentic</w:t>
      </w:r>
      <w:proofErr w:type="spellEnd"/>
      <w:r w:rsidRPr="00591CD4">
        <w:rPr>
          <w:rFonts w:ascii="Verdana" w:hAnsi="Verdana" w:cs="OpenSansRegular"/>
          <w:sz w:val="20"/>
          <w:szCs w:val="20"/>
        </w:rPr>
        <w:t xml:space="preserve"> caffeine derivatives </w:t>
      </w:r>
      <w:proofErr w:type="gramStart"/>
      <w:r w:rsidRPr="00591CD4">
        <w:rPr>
          <w:rFonts w:ascii="Verdana" w:hAnsi="Verdana" w:cs="OpenSansRegular"/>
          <w:sz w:val="20"/>
          <w:szCs w:val="20"/>
        </w:rPr>
        <w:t>e.g.</w:t>
      </w:r>
      <w:proofErr w:type="gramEnd"/>
      <w:r w:rsidRPr="00591CD4">
        <w:rPr>
          <w:rFonts w:ascii="Verdana" w:hAnsi="Verdana" w:cs="OpenSansRegular"/>
          <w:sz w:val="20"/>
          <w:szCs w:val="20"/>
        </w:rPr>
        <w:t xml:space="preserve"> </w:t>
      </w:r>
      <w:proofErr w:type="spellStart"/>
      <w:r w:rsidRPr="00591CD4">
        <w:rPr>
          <w:rFonts w:ascii="Verdana" w:hAnsi="Verdana" w:cs="OpenSansRegular"/>
          <w:sz w:val="20"/>
          <w:szCs w:val="20"/>
        </w:rPr>
        <w:t>teacrine</w:t>
      </w:r>
      <w:proofErr w:type="spellEnd"/>
      <w:r w:rsidRPr="00591CD4">
        <w:rPr>
          <w:rFonts w:ascii="Verdana" w:hAnsi="Verdana" w:cs="OpenSansRegular"/>
          <w:sz w:val="20"/>
          <w:szCs w:val="20"/>
        </w:rPr>
        <w:t xml:space="preserve"> and </w:t>
      </w:r>
      <w:proofErr w:type="spellStart"/>
      <w:r w:rsidRPr="00591CD4">
        <w:rPr>
          <w:rFonts w:ascii="Verdana" w:hAnsi="Verdana" w:cs="OpenSansRegular"/>
          <w:sz w:val="20"/>
          <w:szCs w:val="20"/>
        </w:rPr>
        <w:t>dynamine</w:t>
      </w:r>
      <w:proofErr w:type="spellEnd"/>
      <w:r w:rsidRPr="00591CD4">
        <w:rPr>
          <w:rFonts w:ascii="Verdana" w:hAnsi="Verdana" w:cs="OpenSansRegular"/>
          <w:sz w:val="20"/>
          <w:szCs w:val="20"/>
        </w:rPr>
        <w:t>. There is a lack of safety assessment information about these compounds.</w:t>
      </w:r>
    </w:p>
    <w:p w14:paraId="6194F3CC" w14:textId="77777777" w:rsidR="00591CD4" w:rsidRDefault="002E40AE" w:rsidP="002E40AE">
      <w:pPr>
        <w:pStyle w:val="Bodycopy"/>
        <w:numPr>
          <w:ilvl w:val="0"/>
          <w:numId w:val="13"/>
        </w:numPr>
        <w:rPr>
          <w:rFonts w:ascii="Verdana" w:hAnsi="Verdana" w:cs="OpenSansRegular"/>
          <w:sz w:val="20"/>
          <w:szCs w:val="20"/>
        </w:rPr>
      </w:pPr>
      <w:r w:rsidRPr="002E40AE">
        <w:rPr>
          <w:rFonts w:ascii="Verdana" w:hAnsi="Verdana" w:cs="OpenSansRegular"/>
          <w:sz w:val="20"/>
          <w:szCs w:val="20"/>
        </w:rPr>
        <w:t>the amount of caffeine in these products should be reviewed. Some products contain 400mg of caffeine per serve. This is the daily limit suggested by EFSA in its 2015 scientific opinion on caffeine to not give rise to safety concerns</w:t>
      </w:r>
      <w:r>
        <w:rPr>
          <w:rFonts w:ascii="Verdana" w:hAnsi="Verdana" w:cs="OpenSansRegular"/>
          <w:sz w:val="20"/>
          <w:szCs w:val="20"/>
        </w:rPr>
        <w:t>.</w:t>
      </w:r>
    </w:p>
    <w:p w14:paraId="4E16273E" w14:textId="77777777" w:rsidR="00E3136D" w:rsidRDefault="00533268" w:rsidP="00791EAD">
      <w:pPr>
        <w:pStyle w:val="Bodycopy"/>
        <w:spacing w:before="240"/>
        <w:rPr>
          <w:rFonts w:ascii="Verdana" w:eastAsia="Times" w:hAnsi="Verdana" w:cs="OpenSansRegular"/>
          <w:b/>
          <w:noProof/>
          <w:color w:val="62B5E5"/>
          <w:sz w:val="22"/>
          <w:szCs w:val="22"/>
          <w:lang w:val="en-US"/>
        </w:rPr>
      </w:pPr>
      <w:r w:rsidRPr="00AF6FE3">
        <w:rPr>
          <w:rFonts w:ascii="Verdana" w:eastAsia="Times" w:hAnsi="Verdana" w:cs="OpenSansRegular"/>
          <w:b/>
          <w:noProof/>
          <w:sz w:val="22"/>
          <w:szCs w:val="22"/>
          <w:lang w:val="en-US"/>
        </w:rPr>
        <w:t>Mark P</w:t>
      </w:r>
      <w:r w:rsidR="003A066B" w:rsidRPr="00AF6FE3">
        <w:rPr>
          <w:rFonts w:ascii="Verdana" w:eastAsia="Times" w:hAnsi="Verdana" w:cs="OpenSansRegular"/>
          <w:b/>
          <w:noProof/>
          <w:sz w:val="22"/>
          <w:szCs w:val="22"/>
          <w:lang w:val="en-US"/>
        </w:rPr>
        <w:t>h</w:t>
      </w:r>
      <w:r w:rsidRPr="00AF6FE3">
        <w:rPr>
          <w:rFonts w:ascii="Verdana" w:eastAsia="Times" w:hAnsi="Verdana" w:cs="OpenSansRegular"/>
          <w:b/>
          <w:noProof/>
          <w:sz w:val="22"/>
          <w:szCs w:val="22"/>
          <w:lang w:val="en-US"/>
        </w:rPr>
        <w:t>ythian, Director, Imported Food Section, Department of Agriculture and Water Resources (DAWR)</w:t>
      </w:r>
    </w:p>
    <w:p w14:paraId="42EC51C3" w14:textId="77777777" w:rsidR="00474F58" w:rsidRPr="00474F58" w:rsidRDefault="00474F58" w:rsidP="00474F58">
      <w:pPr>
        <w:pStyle w:val="Bodycopy"/>
        <w:numPr>
          <w:ilvl w:val="0"/>
          <w:numId w:val="13"/>
        </w:numPr>
        <w:rPr>
          <w:rFonts w:ascii="Verdana" w:hAnsi="Verdana" w:cs="OpenSansRegular"/>
          <w:sz w:val="20"/>
          <w:szCs w:val="20"/>
        </w:rPr>
      </w:pPr>
      <w:r w:rsidRPr="00474F58">
        <w:rPr>
          <w:rFonts w:ascii="Verdana" w:hAnsi="Verdana" w:cs="OpenSansRegular"/>
          <w:sz w:val="20"/>
          <w:szCs w:val="20"/>
        </w:rPr>
        <w:t>DAWR administers the Imported Food Control Act 1992 in relation to FSSF and conducts inspections of imported food at the border. Other agencies such as Australian Border Force may also screen foods for other purposes.</w:t>
      </w:r>
    </w:p>
    <w:p w14:paraId="7F097051" w14:textId="77777777" w:rsidR="00474F58" w:rsidRPr="00474F58" w:rsidRDefault="00474F58" w:rsidP="00474F58">
      <w:pPr>
        <w:pStyle w:val="Bodycopy"/>
        <w:numPr>
          <w:ilvl w:val="0"/>
          <w:numId w:val="13"/>
        </w:numPr>
        <w:rPr>
          <w:rFonts w:ascii="Verdana" w:hAnsi="Verdana" w:cs="OpenSansRegular"/>
          <w:sz w:val="20"/>
          <w:szCs w:val="20"/>
        </w:rPr>
      </w:pPr>
      <w:r w:rsidRPr="00474F58">
        <w:rPr>
          <w:rFonts w:ascii="Verdana" w:hAnsi="Verdana" w:cs="OpenSansRegular"/>
          <w:sz w:val="20"/>
          <w:szCs w:val="20"/>
        </w:rPr>
        <w:lastRenderedPageBreak/>
        <w:t>Products sent through mail (including small parcels), or that are in consignments of under 10kg are considered for private use and are not subject to the above Act.</w:t>
      </w:r>
    </w:p>
    <w:p w14:paraId="2826C265" w14:textId="77777777" w:rsidR="00533268" w:rsidRPr="00533268" w:rsidRDefault="00474F58" w:rsidP="00474F58">
      <w:pPr>
        <w:pStyle w:val="Bodycopy"/>
        <w:numPr>
          <w:ilvl w:val="0"/>
          <w:numId w:val="13"/>
        </w:numPr>
        <w:rPr>
          <w:rFonts w:ascii="Verdana" w:hAnsi="Verdana" w:cs="OpenSansRegular"/>
          <w:sz w:val="20"/>
          <w:szCs w:val="20"/>
        </w:rPr>
      </w:pPr>
      <w:r w:rsidRPr="00474F58">
        <w:rPr>
          <w:rFonts w:ascii="Verdana" w:hAnsi="Verdana" w:cs="OpenSansRegular"/>
          <w:sz w:val="20"/>
          <w:szCs w:val="20"/>
        </w:rPr>
        <w:t xml:space="preserve">The Trans-Tasman Mutual Recognition Arrangement (TTMRA) is an agreement between the Australian and New Zealand governments. This agreement recognises that if food produced or imported into one country meets that country’s food standards, it may be legally sold in the other country. The Imported Food Control Act exempts food imported from New Zealand where the food is covered by the terms of the TTMRA, so there is no border inspection. This applies to </w:t>
      </w:r>
      <w:proofErr w:type="gramStart"/>
      <w:r w:rsidRPr="00474F58">
        <w:rPr>
          <w:rFonts w:ascii="Verdana" w:hAnsi="Verdana" w:cs="OpenSansRegular"/>
          <w:sz w:val="20"/>
          <w:szCs w:val="20"/>
        </w:rPr>
        <w:t>FSSF</w:t>
      </w:r>
      <w:proofErr w:type="gramEnd"/>
      <w:r w:rsidRPr="00474F58">
        <w:rPr>
          <w:rFonts w:ascii="Verdana" w:hAnsi="Verdana" w:cs="OpenSansRegular"/>
          <w:sz w:val="20"/>
          <w:szCs w:val="20"/>
        </w:rPr>
        <w:t xml:space="preserve"> and dietary supplements imported from New Zealand</w:t>
      </w:r>
    </w:p>
    <w:p w14:paraId="71FC76FA" w14:textId="77777777" w:rsidR="00474F58" w:rsidRPr="00474F58" w:rsidRDefault="00474F58" w:rsidP="00474F58">
      <w:pPr>
        <w:pStyle w:val="Bodycopy"/>
        <w:numPr>
          <w:ilvl w:val="0"/>
          <w:numId w:val="13"/>
        </w:numPr>
        <w:rPr>
          <w:rFonts w:ascii="Verdana" w:hAnsi="Verdana" w:cs="OpenSansRegular"/>
          <w:sz w:val="20"/>
          <w:szCs w:val="20"/>
        </w:rPr>
      </w:pPr>
      <w:r w:rsidRPr="00474F58">
        <w:rPr>
          <w:rFonts w:ascii="Verdana" w:hAnsi="Verdana" w:cs="OpenSansRegular"/>
          <w:sz w:val="20"/>
          <w:szCs w:val="20"/>
        </w:rPr>
        <w:t xml:space="preserve">Testing at the border is undertaken through a </w:t>
      </w:r>
      <w:proofErr w:type="gramStart"/>
      <w:r w:rsidRPr="00474F58">
        <w:rPr>
          <w:rFonts w:ascii="Verdana" w:hAnsi="Verdana" w:cs="OpenSansRegular"/>
          <w:sz w:val="20"/>
          <w:szCs w:val="20"/>
        </w:rPr>
        <w:t>risk based</w:t>
      </w:r>
      <w:proofErr w:type="gramEnd"/>
      <w:r w:rsidRPr="00474F58">
        <w:rPr>
          <w:rFonts w:ascii="Verdana" w:hAnsi="Verdana" w:cs="OpenSansRegular"/>
          <w:sz w:val="20"/>
          <w:szCs w:val="20"/>
        </w:rPr>
        <w:t xml:space="preserve"> approach. FSANZ provides food safety assessments that identify the level of risk that food products pose, with the department then classifying foods in accordance with the risk advice which determines the frequency of inspection and testing.</w:t>
      </w:r>
    </w:p>
    <w:p w14:paraId="7D6D504C" w14:textId="77777777" w:rsidR="00533268" w:rsidRPr="00533268" w:rsidRDefault="00474F58" w:rsidP="00474F58">
      <w:pPr>
        <w:pStyle w:val="Bodycopy"/>
        <w:numPr>
          <w:ilvl w:val="0"/>
          <w:numId w:val="13"/>
        </w:numPr>
        <w:rPr>
          <w:rFonts w:ascii="Verdana" w:hAnsi="Verdana" w:cs="OpenSansRegular"/>
          <w:sz w:val="20"/>
          <w:szCs w:val="20"/>
        </w:rPr>
      </w:pPr>
      <w:r w:rsidRPr="00474F58">
        <w:rPr>
          <w:rFonts w:ascii="Verdana" w:hAnsi="Verdana" w:cs="OpenSansRegular"/>
          <w:sz w:val="20"/>
          <w:szCs w:val="20"/>
        </w:rPr>
        <w:t>Note that FSANZ risk assessments are based on the inherent properties of the food (</w:t>
      </w:r>
      <w:proofErr w:type="gramStart"/>
      <w:r w:rsidRPr="00474F58">
        <w:rPr>
          <w:rFonts w:ascii="Verdana" w:hAnsi="Verdana" w:cs="OpenSansRegular"/>
          <w:sz w:val="20"/>
          <w:szCs w:val="20"/>
        </w:rPr>
        <w:t>e.g.</w:t>
      </w:r>
      <w:proofErr w:type="gramEnd"/>
      <w:r w:rsidRPr="00474F58">
        <w:rPr>
          <w:rFonts w:ascii="Verdana" w:hAnsi="Verdana" w:cs="OpenSansRegular"/>
          <w:sz w:val="20"/>
          <w:szCs w:val="20"/>
        </w:rPr>
        <w:t xml:space="preserve"> potential for toxins or microbiological risk), not t</w:t>
      </w:r>
      <w:r>
        <w:rPr>
          <w:rFonts w:ascii="Verdana" w:hAnsi="Verdana" w:cs="OpenSansRegular"/>
          <w:sz w:val="20"/>
          <w:szCs w:val="20"/>
        </w:rPr>
        <w:t>he potential for non-compliance</w:t>
      </w:r>
      <w:r w:rsidR="00533268" w:rsidRPr="00533268">
        <w:rPr>
          <w:rFonts w:ascii="Verdana" w:hAnsi="Verdana" w:cs="OpenSansRegular"/>
          <w:sz w:val="20"/>
          <w:szCs w:val="20"/>
        </w:rPr>
        <w:t>.</w:t>
      </w:r>
    </w:p>
    <w:p w14:paraId="65AE80FF" w14:textId="77777777" w:rsidR="00533268" w:rsidRPr="00533268" w:rsidRDefault="00474F58" w:rsidP="00474F58">
      <w:pPr>
        <w:pStyle w:val="Bodycopy"/>
        <w:numPr>
          <w:ilvl w:val="0"/>
          <w:numId w:val="13"/>
        </w:numPr>
        <w:rPr>
          <w:rFonts w:ascii="Verdana" w:hAnsi="Verdana" w:cs="OpenSansRegular"/>
          <w:sz w:val="20"/>
          <w:szCs w:val="20"/>
        </w:rPr>
      </w:pPr>
      <w:r w:rsidRPr="00474F58">
        <w:rPr>
          <w:rFonts w:ascii="Verdana" w:hAnsi="Verdana" w:cs="OpenSansRegular"/>
          <w:sz w:val="20"/>
          <w:szCs w:val="20"/>
        </w:rPr>
        <w:t xml:space="preserve">FSSF </w:t>
      </w:r>
      <w:proofErr w:type="gramStart"/>
      <w:r w:rsidRPr="00474F58">
        <w:rPr>
          <w:rFonts w:ascii="Verdana" w:hAnsi="Verdana" w:cs="OpenSansRegular"/>
          <w:sz w:val="20"/>
          <w:szCs w:val="20"/>
        </w:rPr>
        <w:t>are considered to be</w:t>
      </w:r>
      <w:proofErr w:type="gramEnd"/>
      <w:r w:rsidRPr="00474F58">
        <w:rPr>
          <w:rFonts w:ascii="Verdana" w:hAnsi="Verdana" w:cs="OpenSansRegular"/>
          <w:sz w:val="20"/>
          <w:szCs w:val="20"/>
        </w:rPr>
        <w:t xml:space="preserve"> a surveillance food in the imported food inspection scheme with around 5% of surveillance foods assessed at the border</w:t>
      </w:r>
      <w:r w:rsidR="00533268" w:rsidRPr="00533268">
        <w:rPr>
          <w:rFonts w:ascii="Verdana" w:hAnsi="Verdana" w:cs="OpenSansRegular"/>
          <w:sz w:val="20"/>
          <w:szCs w:val="20"/>
        </w:rPr>
        <w:t xml:space="preserve">. Therefore, </w:t>
      </w:r>
      <w:r>
        <w:rPr>
          <w:rFonts w:ascii="Verdana" w:hAnsi="Verdana" w:cs="OpenSansRegular"/>
          <w:sz w:val="20"/>
          <w:szCs w:val="20"/>
        </w:rPr>
        <w:t>most FSSF are not subject to inspection</w:t>
      </w:r>
      <w:r w:rsidR="00533268" w:rsidRPr="00533268">
        <w:rPr>
          <w:rFonts w:ascii="Verdana" w:hAnsi="Verdana" w:cs="OpenSansRegular"/>
          <w:sz w:val="20"/>
          <w:szCs w:val="20"/>
        </w:rPr>
        <w:t xml:space="preserve"> by DAWR. </w:t>
      </w:r>
    </w:p>
    <w:p w14:paraId="7297AD8C" w14:textId="77777777" w:rsidR="00474F58" w:rsidRPr="00474F58" w:rsidRDefault="00474F58" w:rsidP="00474F58">
      <w:pPr>
        <w:pStyle w:val="Bodycopy"/>
        <w:numPr>
          <w:ilvl w:val="0"/>
          <w:numId w:val="13"/>
        </w:numPr>
        <w:rPr>
          <w:rFonts w:ascii="Verdana" w:hAnsi="Verdana" w:cs="OpenSansRegular"/>
          <w:sz w:val="20"/>
          <w:szCs w:val="20"/>
        </w:rPr>
      </w:pPr>
      <w:r w:rsidRPr="00474F58">
        <w:rPr>
          <w:rFonts w:ascii="Verdana" w:hAnsi="Verdana" w:cs="OpenSansRegular"/>
          <w:sz w:val="20"/>
          <w:szCs w:val="20"/>
        </w:rPr>
        <w:t xml:space="preserve">If food enforcement authorities or individual businesses become aware of non-compliant imported products in the domestic market, they are encouraged to notify DAWR. </w:t>
      </w:r>
    </w:p>
    <w:p w14:paraId="3FE9B7D0" w14:textId="332261D2" w:rsidR="00E3136D" w:rsidRDefault="00474F58" w:rsidP="00474F58">
      <w:pPr>
        <w:pStyle w:val="Bodycopy"/>
        <w:numPr>
          <w:ilvl w:val="0"/>
          <w:numId w:val="13"/>
        </w:numPr>
        <w:rPr>
          <w:rFonts w:ascii="Verdana" w:hAnsi="Verdana" w:cs="OpenSansRegular"/>
          <w:sz w:val="20"/>
          <w:szCs w:val="20"/>
        </w:rPr>
      </w:pPr>
      <w:r w:rsidRPr="00474F58">
        <w:rPr>
          <w:rFonts w:ascii="Verdana" w:hAnsi="Verdana" w:cs="OpenSansRegular"/>
          <w:sz w:val="20"/>
          <w:szCs w:val="20"/>
        </w:rPr>
        <w:t>Failed food reports are listed on the DAWR website each month.</w:t>
      </w:r>
    </w:p>
    <w:p w14:paraId="483FAC66" w14:textId="77777777" w:rsidR="00E3136D" w:rsidRDefault="00533268" w:rsidP="00CF48DD">
      <w:pPr>
        <w:pStyle w:val="Bodycopy"/>
        <w:spacing w:before="240"/>
        <w:rPr>
          <w:rFonts w:ascii="Verdana" w:eastAsia="Times" w:hAnsi="Verdana" w:cs="OpenSansRegular"/>
          <w:b/>
          <w:noProof/>
          <w:color w:val="62B5E5"/>
          <w:sz w:val="22"/>
          <w:szCs w:val="22"/>
          <w:lang w:val="en-US"/>
        </w:rPr>
      </w:pPr>
      <w:r w:rsidRPr="00AF6FE3">
        <w:rPr>
          <w:rFonts w:ascii="Verdana" w:eastAsia="Times" w:hAnsi="Verdana" w:cs="OpenSansRegular"/>
          <w:b/>
          <w:noProof/>
          <w:sz w:val="22"/>
          <w:szCs w:val="22"/>
          <w:lang w:val="en-US"/>
        </w:rPr>
        <w:t>Dr Lucas de Toca, Principal Adviser, Office of Health Protection, Australian Government Department of Health</w:t>
      </w:r>
    </w:p>
    <w:p w14:paraId="4DC59740" w14:textId="77777777" w:rsidR="00533268" w:rsidRPr="00533268" w:rsidRDefault="00533268" w:rsidP="00533268">
      <w:pPr>
        <w:pStyle w:val="Bodycopy"/>
        <w:numPr>
          <w:ilvl w:val="0"/>
          <w:numId w:val="13"/>
        </w:numPr>
        <w:rPr>
          <w:rFonts w:ascii="Verdana" w:hAnsi="Verdana" w:cs="OpenSansRegular"/>
          <w:sz w:val="20"/>
          <w:szCs w:val="20"/>
        </w:rPr>
      </w:pPr>
      <w:r w:rsidRPr="00533268">
        <w:rPr>
          <w:rFonts w:ascii="Verdana" w:hAnsi="Verdana" w:cs="OpenSansRegular"/>
          <w:sz w:val="20"/>
          <w:szCs w:val="20"/>
        </w:rPr>
        <w:t>The definition of ‘sports supplements’ is viewed differently by consumers, regulators and the media. This makes it hard to generalise risks on such a diverse range of products. Focus for this presentation is products taken orally</w:t>
      </w:r>
      <w:r w:rsidR="00484014">
        <w:rPr>
          <w:rFonts w:ascii="Verdana" w:hAnsi="Verdana" w:cs="OpenSansRegular"/>
          <w:sz w:val="20"/>
          <w:szCs w:val="20"/>
        </w:rPr>
        <w:t>, by the general population</w:t>
      </w:r>
      <w:r w:rsidRPr="00533268">
        <w:rPr>
          <w:rFonts w:ascii="Verdana" w:hAnsi="Verdana" w:cs="OpenSansRegular"/>
          <w:sz w:val="20"/>
          <w:szCs w:val="20"/>
        </w:rPr>
        <w:t xml:space="preserve"> and without medical supervision. Not focussing on elite athletes. </w:t>
      </w:r>
    </w:p>
    <w:p w14:paraId="3048560E" w14:textId="77777777" w:rsidR="00533268" w:rsidRPr="00533268" w:rsidRDefault="00533268" w:rsidP="00533268">
      <w:pPr>
        <w:pStyle w:val="Bodycopy"/>
        <w:numPr>
          <w:ilvl w:val="0"/>
          <w:numId w:val="13"/>
        </w:numPr>
        <w:rPr>
          <w:rFonts w:ascii="Verdana" w:hAnsi="Verdana" w:cs="OpenSansRegular"/>
          <w:sz w:val="20"/>
          <w:szCs w:val="20"/>
        </w:rPr>
      </w:pPr>
      <w:r w:rsidRPr="00533268">
        <w:rPr>
          <w:rFonts w:ascii="Verdana" w:hAnsi="Verdana" w:cs="OpenSansRegular"/>
          <w:sz w:val="20"/>
          <w:szCs w:val="20"/>
        </w:rPr>
        <w:t>These products are taken by otherwise healthy people and have the potential to interact with drugs being taken concurrently. The products being consumed are regularly changing, which makes it difficult to get a full history from consumers where there have been adverse effects.</w:t>
      </w:r>
    </w:p>
    <w:p w14:paraId="621A2ED3" w14:textId="77777777" w:rsidR="00533268" w:rsidRPr="00533268" w:rsidRDefault="00533268" w:rsidP="00533268">
      <w:pPr>
        <w:pStyle w:val="Bodycopy"/>
        <w:numPr>
          <w:ilvl w:val="0"/>
          <w:numId w:val="13"/>
        </w:numPr>
        <w:rPr>
          <w:rFonts w:ascii="Verdana" w:hAnsi="Verdana" w:cs="OpenSansRegular"/>
          <w:sz w:val="20"/>
          <w:szCs w:val="20"/>
        </w:rPr>
      </w:pPr>
      <w:r w:rsidRPr="00533268">
        <w:rPr>
          <w:rFonts w:ascii="Verdana" w:hAnsi="Verdana" w:cs="OpenSansRegular"/>
          <w:sz w:val="20"/>
          <w:szCs w:val="20"/>
        </w:rPr>
        <w:t>The sports supplement industry has grown dramatically in recent years, with 14% growth each year from 2009-2014.</w:t>
      </w:r>
    </w:p>
    <w:p w14:paraId="21834965" w14:textId="77777777" w:rsidR="00533268" w:rsidRPr="00533268" w:rsidRDefault="00533268" w:rsidP="00533268">
      <w:pPr>
        <w:pStyle w:val="Bodycopy"/>
        <w:numPr>
          <w:ilvl w:val="0"/>
          <w:numId w:val="13"/>
        </w:numPr>
        <w:rPr>
          <w:rFonts w:ascii="Verdana" w:hAnsi="Verdana" w:cs="OpenSansRegular"/>
          <w:sz w:val="20"/>
          <w:szCs w:val="20"/>
        </w:rPr>
      </w:pPr>
      <w:r w:rsidRPr="00533268">
        <w:rPr>
          <w:rFonts w:ascii="Verdana" w:hAnsi="Verdana" w:cs="OpenSansRegular"/>
          <w:sz w:val="20"/>
          <w:szCs w:val="20"/>
        </w:rPr>
        <w:t xml:space="preserve">The FSANZ Sports Food Consumption Survey 2013 found that 10% of survey respondents consumed a sports supplement in the four weeks preceding the survey. Of this </w:t>
      </w:r>
      <w:r w:rsidR="0060536B" w:rsidRPr="00533268">
        <w:rPr>
          <w:rFonts w:ascii="Verdana" w:hAnsi="Verdana" w:cs="OpenSansRegular"/>
          <w:sz w:val="20"/>
          <w:szCs w:val="20"/>
        </w:rPr>
        <w:t>group,</w:t>
      </w:r>
      <w:r w:rsidRPr="00533268">
        <w:rPr>
          <w:rFonts w:ascii="Verdana" w:hAnsi="Verdana" w:cs="OpenSansRegular"/>
          <w:sz w:val="20"/>
          <w:szCs w:val="20"/>
        </w:rPr>
        <w:t xml:space="preserve"> 6% reported having experienced side effects. However, the exact product and severity of the side effect was not recorded.</w:t>
      </w:r>
    </w:p>
    <w:p w14:paraId="44A35B04" w14:textId="77777777" w:rsidR="00533268" w:rsidRPr="00533268" w:rsidRDefault="00533268" w:rsidP="00533268">
      <w:pPr>
        <w:pStyle w:val="Bodycopy"/>
        <w:numPr>
          <w:ilvl w:val="0"/>
          <w:numId w:val="13"/>
        </w:numPr>
        <w:rPr>
          <w:rFonts w:ascii="Verdana" w:hAnsi="Verdana" w:cs="OpenSansRegular"/>
          <w:sz w:val="20"/>
          <w:szCs w:val="20"/>
        </w:rPr>
      </w:pPr>
      <w:r w:rsidRPr="00533268">
        <w:rPr>
          <w:rFonts w:ascii="Verdana" w:hAnsi="Verdana" w:cs="OpenSansRegular"/>
          <w:sz w:val="20"/>
          <w:szCs w:val="20"/>
        </w:rPr>
        <w:t>There is anecdotal evidence that supplement use is starting at a young age, especially in the adolescent male population.</w:t>
      </w:r>
    </w:p>
    <w:p w14:paraId="49E7928D" w14:textId="77777777" w:rsidR="00533268" w:rsidRPr="00533268" w:rsidRDefault="00533268" w:rsidP="00533268">
      <w:pPr>
        <w:pStyle w:val="Bodycopy"/>
        <w:numPr>
          <w:ilvl w:val="0"/>
          <w:numId w:val="13"/>
        </w:numPr>
        <w:rPr>
          <w:rFonts w:ascii="Verdana" w:hAnsi="Verdana" w:cs="OpenSansRegular"/>
          <w:sz w:val="20"/>
          <w:szCs w:val="20"/>
        </w:rPr>
      </w:pPr>
      <w:r w:rsidRPr="00533268">
        <w:rPr>
          <w:rFonts w:ascii="Verdana" w:hAnsi="Verdana" w:cs="OpenSansRegular"/>
          <w:sz w:val="20"/>
          <w:szCs w:val="20"/>
        </w:rPr>
        <w:t xml:space="preserve">Protein powders are by far the </w:t>
      </w:r>
      <w:proofErr w:type="gramStart"/>
      <w:r w:rsidRPr="00533268">
        <w:rPr>
          <w:rFonts w:ascii="Verdana" w:hAnsi="Verdana" w:cs="OpenSansRegular"/>
          <w:sz w:val="20"/>
          <w:szCs w:val="20"/>
        </w:rPr>
        <w:t>most commonly used</w:t>
      </w:r>
      <w:proofErr w:type="gramEnd"/>
      <w:r w:rsidRPr="00533268">
        <w:rPr>
          <w:rFonts w:ascii="Verdana" w:hAnsi="Verdana" w:cs="OpenSansRegular"/>
          <w:sz w:val="20"/>
          <w:szCs w:val="20"/>
        </w:rPr>
        <w:t xml:space="preserve"> product.</w:t>
      </w:r>
    </w:p>
    <w:p w14:paraId="53EE0CDA" w14:textId="77777777" w:rsidR="00533268" w:rsidRPr="00533268" w:rsidRDefault="00533268" w:rsidP="00533268">
      <w:pPr>
        <w:pStyle w:val="Bodycopy"/>
        <w:numPr>
          <w:ilvl w:val="0"/>
          <w:numId w:val="13"/>
        </w:numPr>
        <w:rPr>
          <w:rFonts w:ascii="Verdana" w:hAnsi="Verdana" w:cs="OpenSansRegular"/>
          <w:sz w:val="20"/>
          <w:szCs w:val="20"/>
        </w:rPr>
      </w:pPr>
      <w:r w:rsidRPr="00533268">
        <w:rPr>
          <w:rFonts w:ascii="Verdana" w:hAnsi="Verdana" w:cs="OpenSansRegular"/>
          <w:sz w:val="20"/>
          <w:szCs w:val="20"/>
        </w:rPr>
        <w:t xml:space="preserve">The common perception that ‘natural’ and ‘organic’ means a product is automatically safe and good can be misguided. </w:t>
      </w:r>
    </w:p>
    <w:p w14:paraId="6E6FFB08" w14:textId="77777777" w:rsidR="00533268" w:rsidRPr="00533268" w:rsidRDefault="00533268" w:rsidP="00533268">
      <w:pPr>
        <w:pStyle w:val="Bodycopy"/>
        <w:numPr>
          <w:ilvl w:val="0"/>
          <w:numId w:val="13"/>
        </w:numPr>
        <w:rPr>
          <w:rFonts w:ascii="Verdana" w:hAnsi="Verdana" w:cs="OpenSansRegular"/>
          <w:sz w:val="20"/>
          <w:szCs w:val="20"/>
        </w:rPr>
      </w:pPr>
      <w:r w:rsidRPr="00533268">
        <w:rPr>
          <w:rFonts w:ascii="Verdana" w:hAnsi="Verdana" w:cs="OpenSansRegular"/>
          <w:sz w:val="20"/>
          <w:szCs w:val="20"/>
        </w:rPr>
        <w:t xml:space="preserve">The effectiveness of </w:t>
      </w:r>
      <w:proofErr w:type="gramStart"/>
      <w:r w:rsidRPr="00533268">
        <w:rPr>
          <w:rFonts w:ascii="Verdana" w:hAnsi="Verdana" w:cs="OpenSansRegular"/>
          <w:sz w:val="20"/>
          <w:szCs w:val="20"/>
        </w:rPr>
        <w:t>a number of</w:t>
      </w:r>
      <w:proofErr w:type="gramEnd"/>
      <w:r w:rsidRPr="00533268">
        <w:rPr>
          <w:rFonts w:ascii="Verdana" w:hAnsi="Verdana" w:cs="OpenSansRegular"/>
          <w:sz w:val="20"/>
          <w:szCs w:val="20"/>
        </w:rPr>
        <w:t xml:space="preserve"> products is still largely unknown. Ingredients such as Branched-Chain Amino Acids (BCAA) have strong evidence to show they </w:t>
      </w:r>
      <w:r w:rsidRPr="00533268">
        <w:rPr>
          <w:rFonts w:ascii="Verdana" w:hAnsi="Verdana" w:cs="OpenSansRegular"/>
          <w:sz w:val="20"/>
          <w:szCs w:val="20"/>
        </w:rPr>
        <w:lastRenderedPageBreak/>
        <w:t xml:space="preserve">work well when produced by the body, but evidence is not clear on the effectiveness of the external </w:t>
      </w:r>
      <w:r w:rsidR="00484014">
        <w:rPr>
          <w:rFonts w:ascii="Verdana" w:hAnsi="Verdana" w:cs="OpenSansRegular"/>
          <w:sz w:val="20"/>
          <w:szCs w:val="20"/>
        </w:rPr>
        <w:t>intake</w:t>
      </w:r>
      <w:r w:rsidRPr="00533268">
        <w:rPr>
          <w:rFonts w:ascii="Verdana" w:hAnsi="Verdana" w:cs="OpenSansRegular"/>
          <w:sz w:val="20"/>
          <w:szCs w:val="20"/>
        </w:rPr>
        <w:t xml:space="preserve"> of these.</w:t>
      </w:r>
    </w:p>
    <w:p w14:paraId="58FE5B10" w14:textId="77777777" w:rsidR="00533268" w:rsidRPr="00533268" w:rsidRDefault="00533268" w:rsidP="00533268">
      <w:pPr>
        <w:pStyle w:val="Bodycopy"/>
        <w:numPr>
          <w:ilvl w:val="0"/>
          <w:numId w:val="13"/>
        </w:numPr>
        <w:rPr>
          <w:rFonts w:ascii="Verdana" w:hAnsi="Verdana" w:cs="OpenSansRegular"/>
          <w:sz w:val="20"/>
          <w:szCs w:val="20"/>
        </w:rPr>
      </w:pPr>
      <w:r w:rsidRPr="00533268">
        <w:rPr>
          <w:rFonts w:ascii="Verdana" w:hAnsi="Verdana" w:cs="OpenSansRegular"/>
          <w:sz w:val="20"/>
          <w:szCs w:val="20"/>
        </w:rPr>
        <w:t>Potential contributors to adverse effects include:</w:t>
      </w:r>
    </w:p>
    <w:p w14:paraId="30F86A14" w14:textId="77777777" w:rsidR="00533268" w:rsidRPr="00533268" w:rsidRDefault="00533268" w:rsidP="00533268">
      <w:pPr>
        <w:pStyle w:val="Bodycopy"/>
        <w:numPr>
          <w:ilvl w:val="1"/>
          <w:numId w:val="13"/>
        </w:numPr>
        <w:rPr>
          <w:rFonts w:ascii="Verdana" w:hAnsi="Verdana" w:cs="OpenSansRegular"/>
          <w:sz w:val="20"/>
          <w:szCs w:val="20"/>
        </w:rPr>
      </w:pPr>
      <w:r w:rsidRPr="00533268">
        <w:rPr>
          <w:rFonts w:ascii="Verdana" w:hAnsi="Verdana" w:cs="OpenSansRegular"/>
          <w:sz w:val="20"/>
          <w:szCs w:val="20"/>
        </w:rPr>
        <w:t>Underlying conditions such as metabolic dietary disorders.</w:t>
      </w:r>
    </w:p>
    <w:p w14:paraId="450A3F02" w14:textId="77777777" w:rsidR="00533268" w:rsidRPr="00533268" w:rsidRDefault="00533268" w:rsidP="00533268">
      <w:pPr>
        <w:pStyle w:val="Bodycopy"/>
        <w:numPr>
          <w:ilvl w:val="1"/>
          <w:numId w:val="13"/>
        </w:numPr>
        <w:rPr>
          <w:rFonts w:ascii="Verdana" w:hAnsi="Verdana" w:cs="OpenSansRegular"/>
          <w:sz w:val="20"/>
          <w:szCs w:val="20"/>
        </w:rPr>
      </w:pPr>
      <w:r w:rsidRPr="00533268">
        <w:rPr>
          <w:rFonts w:ascii="Verdana" w:hAnsi="Verdana" w:cs="OpenSansRegular"/>
          <w:sz w:val="20"/>
          <w:szCs w:val="20"/>
        </w:rPr>
        <w:t>High amount of nutrients or unknown effects of ‘natural’ and ‘herbal’ products.</w:t>
      </w:r>
    </w:p>
    <w:p w14:paraId="351FFCFB" w14:textId="77777777" w:rsidR="00533268" w:rsidRPr="00533268" w:rsidRDefault="00533268" w:rsidP="00533268">
      <w:pPr>
        <w:pStyle w:val="Bodycopy"/>
        <w:numPr>
          <w:ilvl w:val="1"/>
          <w:numId w:val="13"/>
        </w:numPr>
        <w:rPr>
          <w:rFonts w:ascii="Verdana" w:hAnsi="Verdana" w:cs="OpenSansRegular"/>
          <w:sz w:val="20"/>
          <w:szCs w:val="20"/>
        </w:rPr>
      </w:pPr>
      <w:r w:rsidRPr="00533268">
        <w:rPr>
          <w:rFonts w:ascii="Verdana" w:hAnsi="Verdana" w:cs="OpenSansRegular"/>
          <w:sz w:val="20"/>
          <w:szCs w:val="20"/>
        </w:rPr>
        <w:t>Steroids and stimulants in products.</w:t>
      </w:r>
    </w:p>
    <w:p w14:paraId="2738E714" w14:textId="77777777" w:rsidR="00533268" w:rsidRPr="00533268" w:rsidRDefault="00533268" w:rsidP="00533268">
      <w:pPr>
        <w:pStyle w:val="Bodycopy"/>
        <w:numPr>
          <w:ilvl w:val="1"/>
          <w:numId w:val="13"/>
        </w:numPr>
        <w:rPr>
          <w:rFonts w:ascii="Verdana" w:hAnsi="Verdana" w:cs="OpenSansRegular"/>
          <w:sz w:val="20"/>
          <w:szCs w:val="20"/>
        </w:rPr>
      </w:pPr>
      <w:r w:rsidRPr="00533268">
        <w:rPr>
          <w:rFonts w:ascii="Verdana" w:hAnsi="Verdana" w:cs="OpenSansRegular"/>
          <w:sz w:val="20"/>
          <w:szCs w:val="20"/>
        </w:rPr>
        <w:t>Supplement ‘stacking’ (</w:t>
      </w:r>
      <w:proofErr w:type="gramStart"/>
      <w:r w:rsidRPr="00533268">
        <w:rPr>
          <w:rFonts w:ascii="Verdana" w:hAnsi="Verdana" w:cs="OpenSansRegular"/>
          <w:sz w:val="20"/>
          <w:szCs w:val="20"/>
        </w:rPr>
        <w:t>i.e.</w:t>
      </w:r>
      <w:proofErr w:type="gramEnd"/>
      <w:r w:rsidRPr="00533268">
        <w:rPr>
          <w:rFonts w:ascii="Verdana" w:hAnsi="Verdana" w:cs="OpenSansRegular"/>
          <w:sz w:val="20"/>
          <w:szCs w:val="20"/>
        </w:rPr>
        <w:t xml:space="preserve"> taking multiple supplements together) or drug interactions</w:t>
      </w:r>
    </w:p>
    <w:p w14:paraId="4D059F17" w14:textId="77777777" w:rsidR="00533268" w:rsidRPr="00533268" w:rsidRDefault="00533268" w:rsidP="00533268">
      <w:pPr>
        <w:pStyle w:val="Bodycopy"/>
        <w:numPr>
          <w:ilvl w:val="1"/>
          <w:numId w:val="13"/>
        </w:numPr>
        <w:rPr>
          <w:rFonts w:ascii="Verdana" w:hAnsi="Verdana" w:cs="OpenSansRegular"/>
          <w:sz w:val="20"/>
          <w:szCs w:val="20"/>
        </w:rPr>
      </w:pPr>
      <w:r w:rsidRPr="00533268">
        <w:rPr>
          <w:rFonts w:ascii="Verdana" w:hAnsi="Verdana" w:cs="OpenSansRegular"/>
          <w:sz w:val="20"/>
          <w:szCs w:val="20"/>
        </w:rPr>
        <w:t xml:space="preserve">Use of prohibited substances, which may also come about through mislabelling, adulteration or contamination. </w:t>
      </w:r>
    </w:p>
    <w:p w14:paraId="6BB5115D" w14:textId="77777777" w:rsidR="00533268" w:rsidRPr="00484014" w:rsidRDefault="00533268" w:rsidP="00484014">
      <w:pPr>
        <w:pStyle w:val="Bodycopy"/>
        <w:numPr>
          <w:ilvl w:val="0"/>
          <w:numId w:val="13"/>
        </w:numPr>
        <w:rPr>
          <w:rFonts w:ascii="Verdana" w:hAnsi="Verdana" w:cs="OpenSansRegular"/>
          <w:sz w:val="20"/>
          <w:szCs w:val="20"/>
        </w:rPr>
      </w:pPr>
      <w:r w:rsidRPr="00533268">
        <w:rPr>
          <w:rFonts w:ascii="Verdana" w:hAnsi="Verdana" w:cs="OpenSansRegular"/>
          <w:sz w:val="20"/>
          <w:szCs w:val="20"/>
        </w:rPr>
        <w:t>The Australian Institute of Sport (AIS) Sports Supplements Framework groups supplements into four categories (A, B, C or D) based on the strength of the evidence base for safety and effectiveness.</w:t>
      </w:r>
      <w:r w:rsidR="00484014">
        <w:rPr>
          <w:rFonts w:ascii="Verdana" w:hAnsi="Verdana" w:cs="OpenSansRegular"/>
          <w:sz w:val="20"/>
          <w:szCs w:val="20"/>
        </w:rPr>
        <w:t xml:space="preserve"> </w:t>
      </w:r>
      <w:r w:rsidR="00484014" w:rsidRPr="00484014">
        <w:rPr>
          <w:rFonts w:ascii="Verdana" w:hAnsi="Verdana" w:cs="OpenSansRegular"/>
          <w:sz w:val="20"/>
          <w:szCs w:val="20"/>
        </w:rPr>
        <w:t xml:space="preserve">This advice is, however, intended to guide elite athletes in controlled environments, not the </w:t>
      </w:r>
      <w:proofErr w:type="gramStart"/>
      <w:r w:rsidR="00484014" w:rsidRPr="00484014">
        <w:rPr>
          <w:rFonts w:ascii="Verdana" w:hAnsi="Verdana" w:cs="OpenSansRegular"/>
          <w:sz w:val="20"/>
          <w:szCs w:val="20"/>
        </w:rPr>
        <w:t>general public</w:t>
      </w:r>
      <w:proofErr w:type="gramEnd"/>
      <w:r w:rsidR="00484014">
        <w:rPr>
          <w:rFonts w:ascii="Verdana" w:hAnsi="Verdana" w:cs="OpenSansRegular"/>
          <w:sz w:val="20"/>
          <w:szCs w:val="20"/>
        </w:rPr>
        <w:t>.</w:t>
      </w:r>
    </w:p>
    <w:p w14:paraId="1C681F17" w14:textId="77777777" w:rsidR="006E0C95" w:rsidRPr="00AF4A89" w:rsidRDefault="00533268" w:rsidP="008674CE">
      <w:pPr>
        <w:pStyle w:val="Bodycopy"/>
        <w:numPr>
          <w:ilvl w:val="0"/>
          <w:numId w:val="13"/>
        </w:numPr>
        <w:rPr>
          <w:rFonts w:ascii="Verdana" w:hAnsi="Verdana" w:cs="OpenSansRegular"/>
          <w:sz w:val="20"/>
          <w:szCs w:val="20"/>
        </w:rPr>
      </w:pPr>
      <w:r w:rsidRPr="00533268">
        <w:rPr>
          <w:rFonts w:ascii="Verdana" w:hAnsi="Verdana" w:cs="OpenSansRegular"/>
          <w:sz w:val="20"/>
          <w:szCs w:val="20"/>
        </w:rPr>
        <w:t xml:space="preserve">The Australasian College of Sport and Exercise Physicians (ACSEP) position statement on supplements </w:t>
      </w:r>
      <w:r w:rsidR="00484014">
        <w:rPr>
          <w:rFonts w:ascii="Verdana" w:hAnsi="Verdana" w:cs="OpenSansRegular"/>
          <w:sz w:val="20"/>
          <w:szCs w:val="20"/>
        </w:rPr>
        <w:t xml:space="preserve">takes a ‘food first’ approach and </w:t>
      </w:r>
      <w:r w:rsidRPr="00533268">
        <w:rPr>
          <w:rFonts w:ascii="Verdana" w:hAnsi="Verdana" w:cs="OpenSansRegular"/>
          <w:sz w:val="20"/>
          <w:szCs w:val="20"/>
        </w:rPr>
        <w:t>states that consumers should not assume that a sports supplement available for purchase in Australia or New Zealand is safe for use and free of ingredients with harmful health effects.</w:t>
      </w:r>
      <w:bookmarkEnd w:id="7"/>
    </w:p>
    <w:p w14:paraId="617D6409" w14:textId="77777777" w:rsidR="006E0C95" w:rsidRDefault="006E0C95" w:rsidP="006E0C95">
      <w:pPr>
        <w:pStyle w:val="Heading1"/>
        <w:keepLines w:val="0"/>
        <w:spacing w:before="0" w:after="240" w:line="240" w:lineRule="auto"/>
        <w:rPr>
          <w:rFonts w:ascii="Verdana" w:eastAsia="Times New Roman" w:hAnsi="Verdana" w:cs="OpenSansRegular"/>
          <w:bCs/>
          <w:color w:val="000000" w:themeColor="text1"/>
          <w:kern w:val="32"/>
          <w:sz w:val="40"/>
          <w:szCs w:val="40"/>
        </w:rPr>
        <w:sectPr w:rsidR="006E0C95" w:rsidSect="00183BF8">
          <w:headerReference w:type="even" r:id="rId19"/>
          <w:headerReference w:type="default" r:id="rId20"/>
          <w:headerReference w:type="first" r:id="rId21"/>
          <w:pgSz w:w="11906" w:h="16838"/>
          <w:pgMar w:top="1440" w:right="1440" w:bottom="1440" w:left="1440" w:header="708" w:footer="708" w:gutter="0"/>
          <w:cols w:space="708"/>
          <w:docGrid w:linePitch="360"/>
        </w:sectPr>
      </w:pPr>
    </w:p>
    <w:p w14:paraId="22738D54" w14:textId="77777777" w:rsidR="006E0C95" w:rsidRPr="008D071E" w:rsidRDefault="008D071E" w:rsidP="006E0C95">
      <w:pPr>
        <w:pStyle w:val="Heading1"/>
        <w:keepLines w:val="0"/>
        <w:spacing w:before="0" w:after="240" w:line="240" w:lineRule="auto"/>
        <w:rPr>
          <w:rFonts w:ascii="Verdana" w:eastAsia="Verdana" w:hAnsi="Verdana" w:cs="OpenSansRegular"/>
          <w:sz w:val="18"/>
          <w:szCs w:val="18"/>
        </w:rPr>
      </w:pPr>
      <w:bookmarkStart w:id="8" w:name="_Toc521503524"/>
      <w:r w:rsidRPr="008D071E">
        <w:rPr>
          <w:rFonts w:ascii="Verdana" w:eastAsia="Times New Roman" w:hAnsi="Verdana" w:cs="OpenSansRegular"/>
          <w:bCs/>
          <w:color w:val="000000" w:themeColor="text1"/>
          <w:kern w:val="32"/>
          <w:sz w:val="40"/>
          <w:szCs w:val="40"/>
        </w:rPr>
        <w:lastRenderedPageBreak/>
        <w:t>Register of Issues Raised</w:t>
      </w:r>
      <w:bookmarkEnd w:id="8"/>
    </w:p>
    <w:p w14:paraId="4601A41C" w14:textId="77777777" w:rsidR="008D071E" w:rsidRPr="008D071E" w:rsidRDefault="008D071E" w:rsidP="008D071E">
      <w:pPr>
        <w:rPr>
          <w:rFonts w:ascii="Verdana" w:hAnsi="Verdana"/>
        </w:rPr>
      </w:pPr>
      <w:bookmarkStart w:id="9" w:name="_Toc514410585"/>
      <w:bookmarkStart w:id="10" w:name="_Toc514417086"/>
      <w:bookmarkStart w:id="11" w:name="_Toc515008208"/>
      <w:r w:rsidRPr="008D071E">
        <w:rPr>
          <w:rFonts w:ascii="Verdana" w:hAnsi="Verdana"/>
        </w:rPr>
        <w:t>This register is a summary of key concerns and points of interest raised by attendees throug</w:t>
      </w:r>
      <w:r w:rsidR="00AF4A89">
        <w:rPr>
          <w:rFonts w:ascii="Verdana" w:hAnsi="Verdana"/>
        </w:rPr>
        <w:t>hout the roundtable</w:t>
      </w:r>
      <w:r w:rsidRPr="008D071E">
        <w:rPr>
          <w:rFonts w:ascii="Verdana" w:hAnsi="Verdana"/>
        </w:rPr>
        <w:t>.</w:t>
      </w:r>
    </w:p>
    <w:p w14:paraId="4801A2C8" w14:textId="77777777" w:rsidR="008D071E" w:rsidRPr="008D071E" w:rsidRDefault="008D071E" w:rsidP="008D071E">
      <w:pPr>
        <w:pStyle w:val="BSubheading-Bluedk"/>
        <w:rPr>
          <w:rFonts w:ascii="Verdana" w:hAnsi="Verdana" w:cs="OpenSansRegular"/>
          <w:color w:val="62B5E5"/>
          <w:sz w:val="22"/>
          <w:szCs w:val="22"/>
        </w:rPr>
      </w:pPr>
      <w:bookmarkStart w:id="12" w:name="_Toc521503525"/>
      <w:r w:rsidRPr="00AF6FE3">
        <w:rPr>
          <w:rFonts w:ascii="Verdana" w:hAnsi="Verdana" w:cs="OpenSansRegular"/>
          <w:color w:val="auto"/>
          <w:sz w:val="22"/>
          <w:szCs w:val="22"/>
        </w:rPr>
        <w:t>Regulations</w:t>
      </w:r>
      <w:bookmarkEnd w:id="12"/>
    </w:p>
    <w:p w14:paraId="01CEBFFB" w14:textId="295BEB17" w:rsidR="008D071E" w:rsidRPr="008D071E" w:rsidRDefault="008D071E" w:rsidP="008D071E">
      <w:pPr>
        <w:pStyle w:val="ListParagraph"/>
        <w:numPr>
          <w:ilvl w:val="0"/>
          <w:numId w:val="28"/>
        </w:numPr>
        <w:rPr>
          <w:rFonts w:ascii="Verdana" w:hAnsi="Verdana"/>
        </w:rPr>
      </w:pPr>
      <w:r w:rsidRPr="008D071E">
        <w:rPr>
          <w:rFonts w:ascii="Verdana" w:hAnsi="Verdana"/>
        </w:rPr>
        <w:t xml:space="preserve">There are </w:t>
      </w:r>
      <w:proofErr w:type="gramStart"/>
      <w:r w:rsidRPr="008D071E">
        <w:rPr>
          <w:rFonts w:ascii="Verdana" w:hAnsi="Verdana"/>
        </w:rPr>
        <w:t>a number of</w:t>
      </w:r>
      <w:proofErr w:type="gramEnd"/>
      <w:r w:rsidRPr="008D071E">
        <w:rPr>
          <w:rFonts w:ascii="Verdana" w:hAnsi="Verdana"/>
        </w:rPr>
        <w:t xml:space="preserve"> Standards under Part 2.9 of the Code. It may be worth considering whether these can be consolidated when reviewing Standard 2.9.4 to simplify compliance. However, it was noted that including more Standards into the potential review of Standard 2.9.4 would increase the workload and slow the process. Furthermore, most components of these Standards would need to be retained.</w:t>
      </w:r>
    </w:p>
    <w:p w14:paraId="73A7B42E" w14:textId="77777777" w:rsidR="008D071E" w:rsidRPr="008D071E" w:rsidRDefault="008D071E" w:rsidP="008D071E">
      <w:pPr>
        <w:pStyle w:val="ListParagraph"/>
        <w:numPr>
          <w:ilvl w:val="0"/>
          <w:numId w:val="28"/>
        </w:numPr>
        <w:rPr>
          <w:rFonts w:ascii="Verdana" w:hAnsi="Verdana"/>
        </w:rPr>
      </w:pPr>
      <w:r w:rsidRPr="008D071E">
        <w:rPr>
          <w:rFonts w:ascii="Verdana" w:hAnsi="Verdana"/>
        </w:rPr>
        <w:t xml:space="preserve">Any review of the Standard should aim to be future-proofed. The review process should include anticipation of the style of products that may be released into the future. This concept is challenging as keeping the standard broad to allow for future product innovations means that a large number of products will fall under the </w:t>
      </w:r>
      <w:proofErr w:type="gramStart"/>
      <w:r w:rsidRPr="008D071E">
        <w:rPr>
          <w:rFonts w:ascii="Verdana" w:hAnsi="Verdana"/>
        </w:rPr>
        <w:t>Standard</w:t>
      </w:r>
      <w:proofErr w:type="gramEnd"/>
      <w:r w:rsidRPr="008D071E">
        <w:rPr>
          <w:rFonts w:ascii="Verdana" w:hAnsi="Verdana"/>
        </w:rPr>
        <w:t xml:space="preserve"> and it is unclear whether these products are foods or medicines.  </w:t>
      </w:r>
    </w:p>
    <w:p w14:paraId="03B84B2B" w14:textId="77777777" w:rsidR="008D071E" w:rsidRPr="008D071E" w:rsidRDefault="008D071E" w:rsidP="008D071E">
      <w:pPr>
        <w:pStyle w:val="ListParagraph"/>
        <w:numPr>
          <w:ilvl w:val="0"/>
          <w:numId w:val="28"/>
        </w:numPr>
        <w:rPr>
          <w:rFonts w:ascii="Verdana" w:hAnsi="Verdana"/>
        </w:rPr>
      </w:pPr>
      <w:r w:rsidRPr="008D071E">
        <w:rPr>
          <w:rFonts w:ascii="Verdana" w:hAnsi="Verdana"/>
        </w:rPr>
        <w:t xml:space="preserve">It was noted that manufacturers </w:t>
      </w:r>
      <w:proofErr w:type="gramStart"/>
      <w:r w:rsidRPr="008D071E">
        <w:rPr>
          <w:rFonts w:ascii="Verdana" w:hAnsi="Verdana"/>
        </w:rPr>
        <w:t>are able to</w:t>
      </w:r>
      <w:proofErr w:type="gramEnd"/>
      <w:r w:rsidRPr="008D071E">
        <w:rPr>
          <w:rFonts w:ascii="Verdana" w:hAnsi="Verdana"/>
        </w:rPr>
        <w:t xml:space="preserve"> put the statement ‘Formulated supplementary sports food’ on labels, when these products are not necessarily a food. Consideration needs to be given to how broad definitions will be and what groups of products will potentially be captured under these.</w:t>
      </w:r>
    </w:p>
    <w:p w14:paraId="50285DCD" w14:textId="77777777" w:rsidR="008D071E" w:rsidRPr="008D071E" w:rsidRDefault="008D071E" w:rsidP="008D071E">
      <w:pPr>
        <w:pStyle w:val="ListParagraph"/>
        <w:numPr>
          <w:ilvl w:val="0"/>
          <w:numId w:val="28"/>
        </w:numPr>
        <w:rPr>
          <w:rFonts w:ascii="Verdana" w:hAnsi="Verdana"/>
        </w:rPr>
      </w:pPr>
      <w:r w:rsidRPr="008D071E">
        <w:rPr>
          <w:rFonts w:ascii="Verdana" w:hAnsi="Verdana"/>
        </w:rPr>
        <w:t xml:space="preserve">Consideration could be given to whether DAWR could increase the inspection rate of FSSF and what evidence or advice would be required from FSANZ to facilitate this. It was noted that the FSANZ risk </w:t>
      </w:r>
      <w:r w:rsidR="0060536B" w:rsidRPr="008D071E">
        <w:rPr>
          <w:rFonts w:ascii="Verdana" w:hAnsi="Verdana"/>
        </w:rPr>
        <w:t>assessment, which is used by DAWR to determine if a food is a ‘risk’ or ‘surveillance’ food,</w:t>
      </w:r>
      <w:r w:rsidRPr="008D071E">
        <w:rPr>
          <w:rFonts w:ascii="Verdana" w:hAnsi="Verdana"/>
        </w:rPr>
        <w:t xml:space="preserve"> is based on the extent to which a product is a risk to human health. </w:t>
      </w:r>
    </w:p>
    <w:p w14:paraId="37A36F9E" w14:textId="77777777" w:rsidR="008D071E" w:rsidRPr="008D071E" w:rsidRDefault="008D071E" w:rsidP="008D071E">
      <w:pPr>
        <w:pStyle w:val="BSubheading-Bluedk"/>
        <w:rPr>
          <w:rFonts w:ascii="Verdana" w:hAnsi="Verdana" w:cs="OpenSansRegular"/>
          <w:color w:val="62B5E5"/>
          <w:sz w:val="22"/>
          <w:szCs w:val="22"/>
        </w:rPr>
      </w:pPr>
      <w:bookmarkStart w:id="13" w:name="_Toc521503526"/>
      <w:r w:rsidRPr="00AF6FE3">
        <w:rPr>
          <w:rFonts w:ascii="Verdana" w:hAnsi="Verdana" w:cs="OpenSansRegular"/>
          <w:color w:val="auto"/>
          <w:sz w:val="22"/>
          <w:szCs w:val="22"/>
        </w:rPr>
        <w:t>Metabolic Dietary Disorders</w:t>
      </w:r>
      <w:bookmarkEnd w:id="13"/>
    </w:p>
    <w:p w14:paraId="13FDDAB1" w14:textId="77777777" w:rsidR="008D071E" w:rsidRPr="008D071E" w:rsidRDefault="008D071E" w:rsidP="008D071E">
      <w:pPr>
        <w:pStyle w:val="ListParagraph"/>
        <w:numPr>
          <w:ilvl w:val="0"/>
          <w:numId w:val="28"/>
        </w:numPr>
        <w:rPr>
          <w:rFonts w:ascii="Verdana" w:hAnsi="Verdana"/>
        </w:rPr>
      </w:pPr>
      <w:r w:rsidRPr="008D071E">
        <w:rPr>
          <w:rFonts w:ascii="Verdana" w:hAnsi="Verdana"/>
        </w:rPr>
        <w:t>People with these disorders are not only affected by protein (or other nutrient) intake, exertion placed on the body also has an impact. There are a range of disorders including metabolising other nutrients.</w:t>
      </w:r>
    </w:p>
    <w:p w14:paraId="0CBB670F" w14:textId="77777777" w:rsidR="008D071E" w:rsidRPr="008D071E" w:rsidRDefault="008D071E" w:rsidP="008D071E">
      <w:pPr>
        <w:pStyle w:val="ListParagraph"/>
        <w:numPr>
          <w:ilvl w:val="0"/>
          <w:numId w:val="28"/>
        </w:numPr>
        <w:rPr>
          <w:rFonts w:ascii="Verdana" w:hAnsi="Verdana"/>
        </w:rPr>
      </w:pPr>
      <w:r w:rsidRPr="008D071E">
        <w:rPr>
          <w:rFonts w:ascii="Verdana" w:hAnsi="Verdana"/>
        </w:rPr>
        <w:t xml:space="preserve">Urea Cycle Disorders were added </w:t>
      </w:r>
      <w:r w:rsidR="003A066B">
        <w:rPr>
          <w:rFonts w:ascii="Verdana" w:hAnsi="Verdana"/>
        </w:rPr>
        <w:t>to</w:t>
      </w:r>
      <w:r w:rsidRPr="008D071E">
        <w:rPr>
          <w:rFonts w:ascii="Verdana" w:hAnsi="Verdana"/>
        </w:rPr>
        <w:t xml:space="preserve"> newborn screening in </w:t>
      </w:r>
      <w:proofErr w:type="gramStart"/>
      <w:r w:rsidRPr="008D071E">
        <w:rPr>
          <w:rFonts w:ascii="Verdana" w:hAnsi="Verdana"/>
        </w:rPr>
        <w:t>1998, but</w:t>
      </w:r>
      <w:proofErr w:type="gramEnd"/>
      <w:r w:rsidRPr="008D071E">
        <w:rPr>
          <w:rFonts w:ascii="Verdana" w:hAnsi="Verdana"/>
        </w:rPr>
        <w:t xml:space="preserve"> have since been removed. The presence of the condition does not necessarily mean a person will be symptomatic and therefore the testing was not particularly helpful.</w:t>
      </w:r>
    </w:p>
    <w:p w14:paraId="0C6D6B1E" w14:textId="77777777" w:rsidR="008D071E" w:rsidRPr="008D071E" w:rsidRDefault="008D071E" w:rsidP="008D071E">
      <w:pPr>
        <w:pStyle w:val="ListParagraph"/>
        <w:numPr>
          <w:ilvl w:val="0"/>
          <w:numId w:val="28"/>
        </w:numPr>
        <w:rPr>
          <w:rFonts w:ascii="Verdana" w:hAnsi="Verdana"/>
        </w:rPr>
      </w:pPr>
      <w:r w:rsidRPr="008D071E">
        <w:rPr>
          <w:rFonts w:ascii="Verdana" w:hAnsi="Verdana"/>
        </w:rPr>
        <w:t>Any extreme variants in diet and lifestyle can have consequences for people with a range of disorders.</w:t>
      </w:r>
    </w:p>
    <w:p w14:paraId="5CB30802" w14:textId="77777777" w:rsidR="008D071E" w:rsidRPr="008D071E" w:rsidRDefault="008D071E" w:rsidP="008D071E">
      <w:pPr>
        <w:pStyle w:val="BSubheading-Bluedk"/>
        <w:rPr>
          <w:rFonts w:ascii="Verdana" w:hAnsi="Verdana" w:cs="OpenSansRegular"/>
          <w:color w:val="62B5E5"/>
          <w:sz w:val="22"/>
          <w:szCs w:val="22"/>
        </w:rPr>
      </w:pPr>
      <w:bookmarkStart w:id="14" w:name="_Toc521503527"/>
      <w:r w:rsidRPr="00AF6FE3">
        <w:rPr>
          <w:rFonts w:ascii="Verdana" w:hAnsi="Verdana" w:cs="OpenSansRegular"/>
          <w:color w:val="auto"/>
          <w:sz w:val="22"/>
          <w:szCs w:val="22"/>
        </w:rPr>
        <w:t>Pre-trainers and weight loss supplements- Caffeine</w:t>
      </w:r>
      <w:bookmarkEnd w:id="14"/>
      <w:r w:rsidRPr="00AF6FE3">
        <w:rPr>
          <w:rFonts w:ascii="Verdana" w:hAnsi="Verdana" w:cs="OpenSansRegular"/>
          <w:color w:val="auto"/>
          <w:sz w:val="22"/>
          <w:szCs w:val="22"/>
        </w:rPr>
        <w:t xml:space="preserve"> </w:t>
      </w:r>
    </w:p>
    <w:p w14:paraId="5B4711B6" w14:textId="77777777" w:rsidR="008D071E" w:rsidRPr="008D071E" w:rsidRDefault="008D071E" w:rsidP="008D071E">
      <w:pPr>
        <w:pStyle w:val="ListParagraph"/>
        <w:numPr>
          <w:ilvl w:val="0"/>
          <w:numId w:val="28"/>
        </w:numPr>
        <w:rPr>
          <w:rFonts w:ascii="Verdana" w:hAnsi="Verdana"/>
        </w:rPr>
      </w:pPr>
      <w:proofErr w:type="gramStart"/>
      <w:r w:rsidRPr="008D071E">
        <w:rPr>
          <w:rFonts w:ascii="Verdana" w:hAnsi="Verdana"/>
        </w:rPr>
        <w:t>A number of</w:t>
      </w:r>
      <w:proofErr w:type="gramEnd"/>
      <w:r w:rsidRPr="008D071E">
        <w:rPr>
          <w:rFonts w:ascii="Verdana" w:hAnsi="Verdana"/>
        </w:rPr>
        <w:t xml:space="preserve"> products have been presenting with up to 400mg of caffeine in one serving.</w:t>
      </w:r>
    </w:p>
    <w:p w14:paraId="507F5CEA" w14:textId="77777777" w:rsidR="008D071E" w:rsidRPr="008D071E" w:rsidRDefault="008D071E" w:rsidP="008D071E">
      <w:pPr>
        <w:pStyle w:val="ListParagraph"/>
        <w:numPr>
          <w:ilvl w:val="0"/>
          <w:numId w:val="28"/>
        </w:numPr>
        <w:rPr>
          <w:rFonts w:ascii="Verdana" w:hAnsi="Verdana"/>
        </w:rPr>
      </w:pPr>
      <w:r w:rsidRPr="008D071E">
        <w:rPr>
          <w:rFonts w:ascii="Verdana" w:hAnsi="Verdana"/>
        </w:rPr>
        <w:t xml:space="preserve">FSANZ advice (considered </w:t>
      </w:r>
      <w:r w:rsidR="0060536B" w:rsidRPr="008D071E">
        <w:rPr>
          <w:rFonts w:ascii="Verdana" w:hAnsi="Verdana"/>
        </w:rPr>
        <w:t>potentially</w:t>
      </w:r>
      <w:r w:rsidRPr="008D071E">
        <w:rPr>
          <w:rFonts w:ascii="Verdana" w:hAnsi="Verdana"/>
        </w:rPr>
        <w:t xml:space="preserve"> outdated) states that increased anxiety levels occur in adults with an intake of 210mg per day. However, current advice from the European Food Safety Authority </w:t>
      </w:r>
      <w:r w:rsidR="003A066B">
        <w:rPr>
          <w:rFonts w:ascii="Verdana" w:hAnsi="Verdana"/>
        </w:rPr>
        <w:t xml:space="preserve">in its 2015 scientific opinion on caffeine suggests that consumption of up to 400mg does not give rise to safety concern. </w:t>
      </w:r>
    </w:p>
    <w:p w14:paraId="411C6921" w14:textId="77777777" w:rsidR="008D071E" w:rsidRPr="008D071E" w:rsidRDefault="008D071E" w:rsidP="008D071E">
      <w:pPr>
        <w:pStyle w:val="ListParagraph"/>
        <w:numPr>
          <w:ilvl w:val="0"/>
          <w:numId w:val="28"/>
        </w:numPr>
        <w:rPr>
          <w:rFonts w:ascii="Verdana" w:hAnsi="Verdana"/>
        </w:rPr>
      </w:pPr>
      <w:r w:rsidRPr="008D071E">
        <w:rPr>
          <w:rFonts w:ascii="Verdana" w:hAnsi="Verdana"/>
        </w:rPr>
        <w:t>It is considered that general consumers are unsure of what the safe maximum daily intake is.</w:t>
      </w:r>
    </w:p>
    <w:p w14:paraId="79F9F4F2" w14:textId="77777777" w:rsidR="008D071E" w:rsidRPr="008D071E" w:rsidRDefault="008D071E" w:rsidP="008D071E">
      <w:pPr>
        <w:pStyle w:val="ListParagraph"/>
        <w:numPr>
          <w:ilvl w:val="0"/>
          <w:numId w:val="28"/>
        </w:numPr>
        <w:rPr>
          <w:rFonts w:ascii="Verdana" w:hAnsi="Verdana"/>
        </w:rPr>
      </w:pPr>
      <w:r w:rsidRPr="008D071E">
        <w:rPr>
          <w:rFonts w:ascii="Verdana" w:hAnsi="Verdana"/>
        </w:rPr>
        <w:t xml:space="preserve">Concerns were raised over the addition of caffeine derivatives, such as </w:t>
      </w:r>
      <w:proofErr w:type="spellStart"/>
      <w:r w:rsidRPr="008D071E">
        <w:rPr>
          <w:rFonts w:ascii="Verdana" w:hAnsi="Verdana"/>
        </w:rPr>
        <w:t>theacrine</w:t>
      </w:r>
      <w:proofErr w:type="spellEnd"/>
      <w:r w:rsidRPr="008D071E">
        <w:rPr>
          <w:rFonts w:ascii="Verdana" w:hAnsi="Verdana"/>
        </w:rPr>
        <w:t xml:space="preserve"> (</w:t>
      </w:r>
      <w:proofErr w:type="spellStart"/>
      <w:r w:rsidRPr="008D071E">
        <w:rPr>
          <w:rFonts w:ascii="Verdana" w:hAnsi="Verdana"/>
        </w:rPr>
        <w:t>TeaCrine</w:t>
      </w:r>
      <w:proofErr w:type="spellEnd"/>
      <w:r w:rsidRPr="008D071E">
        <w:rPr>
          <w:rFonts w:ascii="Verdana" w:hAnsi="Verdana"/>
        </w:rPr>
        <w:t xml:space="preserve">©) and </w:t>
      </w:r>
      <w:proofErr w:type="spellStart"/>
      <w:r w:rsidRPr="008D071E">
        <w:rPr>
          <w:rFonts w:ascii="Verdana" w:hAnsi="Verdana"/>
        </w:rPr>
        <w:t>Dynamine</w:t>
      </w:r>
      <w:proofErr w:type="spellEnd"/>
      <w:r w:rsidRPr="008D071E">
        <w:rPr>
          <w:rFonts w:ascii="Verdana" w:hAnsi="Verdana"/>
        </w:rPr>
        <w:t>. Some products contain large amounts of caffeine and these derivatives.</w:t>
      </w:r>
      <w:r w:rsidR="00BA235C">
        <w:rPr>
          <w:rFonts w:ascii="Verdana" w:hAnsi="Verdana"/>
        </w:rPr>
        <w:t xml:space="preserve"> This could increase the inherent risk in those products.</w:t>
      </w:r>
    </w:p>
    <w:p w14:paraId="0536DF94" w14:textId="77777777" w:rsidR="008D071E" w:rsidRPr="008D071E" w:rsidRDefault="008D071E" w:rsidP="008D071E">
      <w:pPr>
        <w:pStyle w:val="ListParagraph"/>
        <w:numPr>
          <w:ilvl w:val="0"/>
          <w:numId w:val="28"/>
        </w:numPr>
        <w:rPr>
          <w:rFonts w:ascii="Verdana" w:hAnsi="Verdana"/>
        </w:rPr>
      </w:pPr>
      <w:r w:rsidRPr="008D071E">
        <w:rPr>
          <w:rFonts w:ascii="Verdana" w:hAnsi="Verdana"/>
        </w:rPr>
        <w:t>It was noted that sports dietitians have the knowledge to advise consumers of a safe level for their needs, but qualified personnel are rarely available when consumers are purchasing these products.</w:t>
      </w:r>
    </w:p>
    <w:p w14:paraId="252BE764" w14:textId="77777777" w:rsidR="008D071E" w:rsidRPr="008D071E" w:rsidRDefault="008D071E" w:rsidP="008D071E">
      <w:pPr>
        <w:pStyle w:val="BSubheading-Bluedk"/>
        <w:rPr>
          <w:rFonts w:ascii="Verdana" w:hAnsi="Verdana" w:cs="OpenSansRegular"/>
          <w:color w:val="62B5E5"/>
          <w:sz w:val="22"/>
          <w:szCs w:val="22"/>
        </w:rPr>
      </w:pPr>
      <w:bookmarkStart w:id="15" w:name="_Toc521503528"/>
      <w:r w:rsidRPr="00AF6FE3">
        <w:rPr>
          <w:rFonts w:ascii="Verdana" w:hAnsi="Verdana" w:cs="OpenSansRegular"/>
          <w:color w:val="auto"/>
          <w:sz w:val="22"/>
          <w:szCs w:val="22"/>
        </w:rPr>
        <w:lastRenderedPageBreak/>
        <w:t>Composition and interactions with other products</w:t>
      </w:r>
      <w:bookmarkEnd w:id="15"/>
    </w:p>
    <w:p w14:paraId="2058AAC4" w14:textId="77777777" w:rsidR="008D071E" w:rsidRPr="008D071E" w:rsidRDefault="008D071E" w:rsidP="008D071E">
      <w:pPr>
        <w:pStyle w:val="ListParagraph"/>
        <w:numPr>
          <w:ilvl w:val="0"/>
          <w:numId w:val="28"/>
        </w:numPr>
        <w:rPr>
          <w:rFonts w:ascii="Verdana" w:hAnsi="Verdana"/>
        </w:rPr>
      </w:pPr>
      <w:r w:rsidRPr="008D071E">
        <w:rPr>
          <w:rFonts w:ascii="Verdana" w:hAnsi="Verdana"/>
        </w:rPr>
        <w:t>Some sports supplements provide a very large serving of a single ingredient that under the Code is considered ‘safe’, but when this ingredient is consumed at high levels it may have the potential to become toxic.</w:t>
      </w:r>
    </w:p>
    <w:p w14:paraId="049BE6F7" w14:textId="77777777" w:rsidR="008D071E" w:rsidRPr="008D071E" w:rsidRDefault="008D071E" w:rsidP="008D071E">
      <w:pPr>
        <w:pStyle w:val="ListParagraph"/>
        <w:numPr>
          <w:ilvl w:val="0"/>
          <w:numId w:val="28"/>
        </w:numPr>
        <w:rPr>
          <w:rFonts w:ascii="Verdana" w:hAnsi="Verdana"/>
        </w:rPr>
      </w:pPr>
      <w:r w:rsidRPr="008D071E">
        <w:rPr>
          <w:rFonts w:ascii="Verdana" w:hAnsi="Verdana"/>
        </w:rPr>
        <w:t xml:space="preserve">Consumers assume that if a product is on the shelf then it is safe to consume at the </w:t>
      </w:r>
      <w:proofErr w:type="gramStart"/>
      <w:r w:rsidRPr="008D071E">
        <w:rPr>
          <w:rFonts w:ascii="Verdana" w:hAnsi="Verdana"/>
        </w:rPr>
        <w:t>dose</w:t>
      </w:r>
      <w:proofErr w:type="gramEnd"/>
      <w:r w:rsidRPr="008D071E">
        <w:rPr>
          <w:rFonts w:ascii="Verdana" w:hAnsi="Verdana"/>
        </w:rPr>
        <w:t xml:space="preserve"> they should be taking it.</w:t>
      </w:r>
    </w:p>
    <w:p w14:paraId="6BF84953" w14:textId="77777777" w:rsidR="008D071E" w:rsidRPr="008D071E" w:rsidRDefault="008D071E" w:rsidP="008D071E">
      <w:pPr>
        <w:pStyle w:val="ListParagraph"/>
        <w:numPr>
          <w:ilvl w:val="0"/>
          <w:numId w:val="28"/>
        </w:numPr>
        <w:rPr>
          <w:rFonts w:ascii="Verdana" w:hAnsi="Verdana"/>
        </w:rPr>
      </w:pPr>
      <w:r w:rsidRPr="008D071E">
        <w:rPr>
          <w:rFonts w:ascii="Verdana" w:hAnsi="Verdana"/>
        </w:rPr>
        <w:t>Research shows consumers are frequently taking more than one product at the same time. The interaction between these products and other medications is important to know. St John’s Wort is an example of this.</w:t>
      </w:r>
    </w:p>
    <w:p w14:paraId="2F21ECD0" w14:textId="77777777" w:rsidR="008D071E" w:rsidRPr="008D071E" w:rsidRDefault="008D071E" w:rsidP="008D071E">
      <w:pPr>
        <w:pStyle w:val="ListParagraph"/>
        <w:numPr>
          <w:ilvl w:val="0"/>
          <w:numId w:val="28"/>
        </w:numPr>
        <w:rPr>
          <w:rFonts w:ascii="Verdana" w:hAnsi="Verdana"/>
        </w:rPr>
      </w:pPr>
      <w:r w:rsidRPr="008D071E">
        <w:rPr>
          <w:rFonts w:ascii="Verdana" w:hAnsi="Verdana"/>
        </w:rPr>
        <w:t>Natural or organic does not mean that these products are safe. Unsafe ingredients can be sourced naturally.</w:t>
      </w:r>
    </w:p>
    <w:p w14:paraId="4386C48C" w14:textId="77777777" w:rsidR="008D071E" w:rsidRPr="008D071E" w:rsidRDefault="008D071E" w:rsidP="008D071E">
      <w:pPr>
        <w:pStyle w:val="BSubheading-Bluedk"/>
        <w:rPr>
          <w:rFonts w:ascii="Verdana" w:hAnsi="Verdana" w:cs="OpenSansRegular"/>
          <w:color w:val="62B5E5"/>
          <w:sz w:val="22"/>
          <w:szCs w:val="22"/>
        </w:rPr>
      </w:pPr>
      <w:bookmarkStart w:id="16" w:name="_Toc521503529"/>
      <w:r w:rsidRPr="00AF6FE3">
        <w:rPr>
          <w:rFonts w:ascii="Verdana" w:hAnsi="Verdana" w:cs="OpenSansRegular"/>
          <w:color w:val="auto"/>
          <w:sz w:val="22"/>
          <w:szCs w:val="22"/>
        </w:rPr>
        <w:t>Reporting of adverse effects</w:t>
      </w:r>
      <w:bookmarkEnd w:id="16"/>
    </w:p>
    <w:p w14:paraId="242F18A9" w14:textId="77777777" w:rsidR="008D071E" w:rsidRPr="008D071E" w:rsidRDefault="008D071E" w:rsidP="008D071E">
      <w:pPr>
        <w:pStyle w:val="ListParagraph"/>
        <w:numPr>
          <w:ilvl w:val="0"/>
          <w:numId w:val="28"/>
        </w:numPr>
        <w:rPr>
          <w:rFonts w:ascii="Verdana" w:hAnsi="Verdana"/>
        </w:rPr>
      </w:pPr>
      <w:r w:rsidRPr="008D071E">
        <w:rPr>
          <w:rFonts w:ascii="Verdana" w:hAnsi="Verdana"/>
        </w:rPr>
        <w:t xml:space="preserve">It was noted that there is a lack of data available on the incidence of adverse effects to consumers when taking sports supplements. Work could be done to improve this data gap. </w:t>
      </w:r>
    </w:p>
    <w:p w14:paraId="3DD1D127" w14:textId="77777777" w:rsidR="008D071E" w:rsidRPr="008D071E" w:rsidRDefault="008D071E" w:rsidP="008D071E">
      <w:pPr>
        <w:pStyle w:val="ListParagraph"/>
        <w:numPr>
          <w:ilvl w:val="0"/>
          <w:numId w:val="28"/>
        </w:numPr>
        <w:rPr>
          <w:rFonts w:ascii="Verdana" w:hAnsi="Verdana"/>
        </w:rPr>
      </w:pPr>
      <w:r w:rsidRPr="008D071E">
        <w:rPr>
          <w:rFonts w:ascii="Verdana" w:hAnsi="Verdana"/>
        </w:rPr>
        <w:t>The FSANZ telephone survey from 2010 is available, but no further questions were asked on the types/severity of adverse event or the specific products that were taken. Further research into this area would be valuable.</w:t>
      </w:r>
    </w:p>
    <w:p w14:paraId="3551A321" w14:textId="77777777" w:rsidR="008D071E" w:rsidRPr="008D071E" w:rsidRDefault="008D071E" w:rsidP="008D071E">
      <w:pPr>
        <w:pStyle w:val="ListParagraph"/>
        <w:numPr>
          <w:ilvl w:val="0"/>
          <w:numId w:val="28"/>
        </w:numPr>
        <w:rPr>
          <w:rFonts w:ascii="Verdana" w:hAnsi="Verdana"/>
        </w:rPr>
      </w:pPr>
      <w:r w:rsidRPr="008D071E">
        <w:rPr>
          <w:rFonts w:ascii="Verdana" w:hAnsi="Verdana"/>
        </w:rPr>
        <w:t>Furthermore, consideration was given to including doping violations as adverse effects of taking these products. Australia’s obligations under international anti-doping codes should be considered.</w:t>
      </w:r>
    </w:p>
    <w:p w14:paraId="17EBFA4A" w14:textId="77777777" w:rsidR="008D071E" w:rsidRPr="008D071E" w:rsidRDefault="008D071E" w:rsidP="008D071E">
      <w:pPr>
        <w:pStyle w:val="BSubheading-Bluedk"/>
        <w:rPr>
          <w:rFonts w:ascii="Verdana" w:hAnsi="Verdana" w:cs="OpenSansRegular"/>
          <w:color w:val="62B5E5"/>
          <w:sz w:val="22"/>
          <w:szCs w:val="22"/>
        </w:rPr>
      </w:pPr>
      <w:bookmarkStart w:id="17" w:name="_Toc521503530"/>
      <w:r w:rsidRPr="00AF6FE3">
        <w:rPr>
          <w:rFonts w:ascii="Verdana" w:hAnsi="Verdana" w:cs="OpenSansRegular"/>
          <w:color w:val="auto"/>
          <w:sz w:val="22"/>
          <w:szCs w:val="22"/>
        </w:rPr>
        <w:t>Reporting of sales data</w:t>
      </w:r>
      <w:bookmarkEnd w:id="17"/>
    </w:p>
    <w:p w14:paraId="52ED9F6E" w14:textId="77777777" w:rsidR="008D071E" w:rsidRPr="008D071E" w:rsidRDefault="008D071E" w:rsidP="008D071E">
      <w:pPr>
        <w:pStyle w:val="ListParagraph"/>
        <w:numPr>
          <w:ilvl w:val="0"/>
          <w:numId w:val="28"/>
        </w:numPr>
        <w:rPr>
          <w:rFonts w:ascii="Verdana" w:hAnsi="Verdana" w:cs="OpenSansRegular"/>
          <w:szCs w:val="20"/>
        </w:rPr>
      </w:pPr>
      <w:r w:rsidRPr="008D071E">
        <w:rPr>
          <w:rFonts w:ascii="Verdana" w:hAnsi="Verdana" w:cs="OpenSansRegular"/>
          <w:szCs w:val="20"/>
        </w:rPr>
        <w:t>The option to obtain sales data from industry would allow for further insight into what products are being purchased and why.</w:t>
      </w:r>
    </w:p>
    <w:p w14:paraId="010A21CC" w14:textId="77777777" w:rsidR="008D071E" w:rsidRPr="008D071E" w:rsidRDefault="008D071E" w:rsidP="008D071E">
      <w:pPr>
        <w:pStyle w:val="BSubheading-Bluedk"/>
        <w:rPr>
          <w:rFonts w:ascii="Verdana" w:hAnsi="Verdana" w:cs="OpenSansRegular"/>
          <w:color w:val="62B5E5"/>
          <w:sz w:val="22"/>
          <w:szCs w:val="22"/>
        </w:rPr>
      </w:pPr>
      <w:bookmarkStart w:id="18" w:name="_Toc521503531"/>
      <w:r w:rsidRPr="00AF6FE3">
        <w:rPr>
          <w:rFonts w:ascii="Verdana" w:hAnsi="Verdana" w:cs="OpenSansRegular"/>
          <w:color w:val="auto"/>
          <w:sz w:val="22"/>
          <w:szCs w:val="22"/>
        </w:rPr>
        <w:t>Capacity of compliance and enforcement officers</w:t>
      </w:r>
      <w:bookmarkEnd w:id="18"/>
    </w:p>
    <w:p w14:paraId="7CBF329F" w14:textId="77777777" w:rsidR="008D071E" w:rsidRPr="008D071E" w:rsidRDefault="008D071E" w:rsidP="008D071E">
      <w:pPr>
        <w:pStyle w:val="ListParagraph"/>
        <w:numPr>
          <w:ilvl w:val="0"/>
          <w:numId w:val="28"/>
        </w:numPr>
        <w:rPr>
          <w:rFonts w:ascii="Verdana" w:hAnsi="Verdana" w:cs="OpenSansRegular"/>
          <w:szCs w:val="20"/>
        </w:rPr>
      </w:pPr>
      <w:r w:rsidRPr="008D071E">
        <w:rPr>
          <w:rFonts w:ascii="Verdana" w:hAnsi="Verdana" w:cs="OpenSansRegular"/>
          <w:szCs w:val="20"/>
        </w:rPr>
        <w:t xml:space="preserve">It is widely accepted that there are </w:t>
      </w:r>
      <w:proofErr w:type="gramStart"/>
      <w:r w:rsidRPr="008D071E">
        <w:rPr>
          <w:rFonts w:ascii="Verdana" w:hAnsi="Verdana" w:cs="OpenSansRegular"/>
          <w:szCs w:val="20"/>
        </w:rPr>
        <w:t>a number of</w:t>
      </w:r>
      <w:proofErr w:type="gramEnd"/>
      <w:r w:rsidRPr="008D071E">
        <w:rPr>
          <w:rFonts w:ascii="Verdana" w:hAnsi="Verdana" w:cs="OpenSansRegular"/>
          <w:szCs w:val="20"/>
        </w:rPr>
        <w:t xml:space="preserve"> non-compliant products that are available to Australian and New Zealand consumers. From previous compliance activities, this </w:t>
      </w:r>
      <w:proofErr w:type="gramStart"/>
      <w:r w:rsidRPr="008D071E">
        <w:rPr>
          <w:rFonts w:ascii="Verdana" w:hAnsi="Verdana" w:cs="OpenSansRegular"/>
          <w:szCs w:val="20"/>
        </w:rPr>
        <w:t>is considered to be</w:t>
      </w:r>
      <w:proofErr w:type="gramEnd"/>
      <w:r w:rsidRPr="008D071E">
        <w:rPr>
          <w:rFonts w:ascii="Verdana" w:hAnsi="Verdana" w:cs="OpenSansRegular"/>
          <w:szCs w:val="20"/>
        </w:rPr>
        <w:t xml:space="preserve"> largely from overseas products that are privately purchased on the internet.</w:t>
      </w:r>
    </w:p>
    <w:p w14:paraId="4E0601B6" w14:textId="77777777" w:rsidR="008D071E" w:rsidRPr="008D071E" w:rsidRDefault="008D071E" w:rsidP="008D071E">
      <w:pPr>
        <w:pStyle w:val="ListParagraph"/>
        <w:numPr>
          <w:ilvl w:val="0"/>
          <w:numId w:val="28"/>
        </w:numPr>
        <w:rPr>
          <w:rFonts w:ascii="Verdana" w:hAnsi="Verdana" w:cs="OpenSansRegular"/>
          <w:szCs w:val="20"/>
        </w:rPr>
      </w:pPr>
      <w:r w:rsidRPr="008D071E">
        <w:rPr>
          <w:rFonts w:ascii="Verdana" w:hAnsi="Verdana" w:cs="OpenSansRegular"/>
          <w:szCs w:val="20"/>
        </w:rPr>
        <w:t>It was also noted that consumer education is important, but when products contain undeclared ingredients, then education can only go so far.</w:t>
      </w:r>
    </w:p>
    <w:p w14:paraId="577C838C" w14:textId="77777777" w:rsidR="008D071E" w:rsidRPr="008D071E" w:rsidRDefault="008D071E" w:rsidP="008D071E">
      <w:pPr>
        <w:pStyle w:val="ListParagraph"/>
        <w:numPr>
          <w:ilvl w:val="0"/>
          <w:numId w:val="28"/>
        </w:numPr>
        <w:rPr>
          <w:rFonts w:ascii="Verdana" w:hAnsi="Verdana" w:cs="OpenSansRegular"/>
          <w:szCs w:val="20"/>
        </w:rPr>
      </w:pPr>
      <w:r w:rsidRPr="008D071E">
        <w:rPr>
          <w:rFonts w:ascii="Verdana" w:hAnsi="Verdana" w:cs="OpenSansRegular"/>
          <w:szCs w:val="20"/>
        </w:rPr>
        <w:t>This is now a global industry. It was acknowledged that the Australian sports supplements industry should be protected when considering potential action. Any scrutiny should be equally applied to both domestic and international companies.</w:t>
      </w:r>
    </w:p>
    <w:bookmarkEnd w:id="9"/>
    <w:bookmarkEnd w:id="10"/>
    <w:bookmarkEnd w:id="11"/>
    <w:p w14:paraId="5ECF894B" w14:textId="77777777" w:rsidR="001C2AE4" w:rsidRDefault="001C2AE4" w:rsidP="001C03D2">
      <w:pPr>
        <w:rPr>
          <w:rFonts w:ascii="Verdana" w:hAnsi="Verdana" w:cs="OpenSansRegular"/>
          <w:sz w:val="20"/>
          <w:szCs w:val="20"/>
        </w:rPr>
      </w:pPr>
    </w:p>
    <w:p w14:paraId="5AD2F09D" w14:textId="77777777" w:rsidR="00A97CA6" w:rsidRPr="008D071E" w:rsidRDefault="00A97CA6" w:rsidP="009D6524">
      <w:pPr>
        <w:rPr>
          <w:rFonts w:ascii="Verdana" w:hAnsi="Verdana" w:cs="OpenSansRegular"/>
          <w:sz w:val="20"/>
          <w:szCs w:val="20"/>
        </w:rPr>
        <w:sectPr w:rsidR="00A97CA6" w:rsidRPr="008D071E" w:rsidSect="00183BF8">
          <w:pgSz w:w="11906" w:h="16838"/>
          <w:pgMar w:top="1440" w:right="1440" w:bottom="1440" w:left="1440" w:header="708" w:footer="708" w:gutter="0"/>
          <w:cols w:space="708"/>
          <w:docGrid w:linePitch="360"/>
        </w:sectPr>
      </w:pPr>
    </w:p>
    <w:p w14:paraId="6965A63A" w14:textId="77777777" w:rsidR="009A00F3" w:rsidRPr="00DF4971" w:rsidRDefault="00DF4971" w:rsidP="00DF4971">
      <w:pPr>
        <w:pStyle w:val="Heading1"/>
        <w:keepLines w:val="0"/>
        <w:spacing w:before="0" w:after="240" w:line="240" w:lineRule="auto"/>
        <w:rPr>
          <w:rFonts w:ascii="Verdana" w:eastAsia="Times New Roman" w:hAnsi="Verdana" w:cs="OpenSansRegular"/>
          <w:bCs/>
          <w:color w:val="000000" w:themeColor="text1"/>
          <w:kern w:val="32"/>
          <w:sz w:val="40"/>
          <w:szCs w:val="40"/>
        </w:rPr>
      </w:pPr>
      <w:bookmarkStart w:id="19" w:name="_Toc521503532"/>
      <w:bookmarkStart w:id="20" w:name="_Toc517430220"/>
      <w:bookmarkStart w:id="21" w:name="_Toc514410603"/>
      <w:bookmarkStart w:id="22" w:name="_Toc514417104"/>
      <w:bookmarkStart w:id="23" w:name="_Toc515008220"/>
      <w:bookmarkStart w:id="24" w:name="_Toc515893691"/>
      <w:bookmarkStart w:id="25" w:name="_Toc503543376"/>
      <w:bookmarkStart w:id="26" w:name="_Toc504553826"/>
      <w:bookmarkStart w:id="27" w:name="_Toc505003196"/>
      <w:bookmarkStart w:id="28" w:name="_Toc505011002"/>
      <w:bookmarkStart w:id="29" w:name="_Toc505011167"/>
      <w:r>
        <w:rPr>
          <w:rFonts w:ascii="Verdana" w:eastAsia="Times New Roman" w:hAnsi="Verdana" w:cs="OpenSansRegular"/>
          <w:bCs/>
          <w:color w:val="000000" w:themeColor="text1"/>
          <w:kern w:val="32"/>
          <w:sz w:val="40"/>
          <w:szCs w:val="40"/>
        </w:rPr>
        <w:lastRenderedPageBreak/>
        <w:t>Options to Improve Consumer Safety</w:t>
      </w:r>
      <w:bookmarkEnd w:id="19"/>
    </w:p>
    <w:bookmarkEnd w:id="20"/>
    <w:p w14:paraId="7BA6EE30" w14:textId="77777777" w:rsidR="00DF4971" w:rsidRDefault="00DF4971" w:rsidP="009A00F3">
      <w:pPr>
        <w:rPr>
          <w:rFonts w:ascii="Verdana" w:hAnsi="Verdana" w:cs="OpenSansRegular"/>
          <w:sz w:val="20"/>
          <w:szCs w:val="20"/>
        </w:rPr>
      </w:pPr>
      <w:r>
        <w:rPr>
          <w:rFonts w:ascii="Verdana" w:hAnsi="Verdana" w:cs="OpenSansRegular"/>
          <w:sz w:val="20"/>
          <w:szCs w:val="20"/>
        </w:rPr>
        <w:t xml:space="preserve">After an extended group discussion, participants worked in small groups </w:t>
      </w:r>
      <w:r w:rsidR="007C587D">
        <w:rPr>
          <w:rFonts w:ascii="Verdana" w:hAnsi="Verdana" w:cs="OpenSansRegular"/>
          <w:sz w:val="20"/>
          <w:szCs w:val="20"/>
        </w:rPr>
        <w:t xml:space="preserve">to </w:t>
      </w:r>
      <w:r>
        <w:rPr>
          <w:rFonts w:ascii="Verdana" w:hAnsi="Verdana" w:cs="OpenSansRegular"/>
          <w:sz w:val="20"/>
          <w:szCs w:val="20"/>
        </w:rPr>
        <w:t>consider options for improving the safety of consumers who use sports supplements.</w:t>
      </w:r>
    </w:p>
    <w:p w14:paraId="4E0C8F96" w14:textId="77777777" w:rsidR="00DF4971" w:rsidRDefault="00DF4971" w:rsidP="009A00F3">
      <w:pPr>
        <w:rPr>
          <w:rFonts w:ascii="Verdana" w:hAnsi="Verdana" w:cs="OpenSansRegular"/>
          <w:sz w:val="20"/>
          <w:szCs w:val="20"/>
        </w:rPr>
      </w:pPr>
      <w:r>
        <w:rPr>
          <w:rFonts w:ascii="Verdana" w:hAnsi="Verdana" w:cs="OpenSansRegular"/>
          <w:sz w:val="20"/>
          <w:szCs w:val="20"/>
        </w:rPr>
        <w:t xml:space="preserve">Each small group presented a summary of their ideas </w:t>
      </w:r>
      <w:r w:rsidR="004F2D4D">
        <w:rPr>
          <w:rFonts w:ascii="Verdana" w:hAnsi="Verdana" w:cs="OpenSansRegular"/>
          <w:sz w:val="20"/>
          <w:szCs w:val="20"/>
        </w:rPr>
        <w:t xml:space="preserve">and options </w:t>
      </w:r>
      <w:r>
        <w:rPr>
          <w:rFonts w:ascii="Verdana" w:hAnsi="Verdana" w:cs="OpenSansRegular"/>
          <w:sz w:val="20"/>
          <w:szCs w:val="20"/>
        </w:rPr>
        <w:t xml:space="preserve">to the broader group </w:t>
      </w:r>
      <w:r w:rsidR="0060536B">
        <w:rPr>
          <w:rFonts w:ascii="Verdana" w:hAnsi="Verdana" w:cs="OpenSansRegular"/>
          <w:sz w:val="20"/>
          <w:szCs w:val="20"/>
        </w:rPr>
        <w:t>roundtable</w:t>
      </w:r>
      <w:r>
        <w:rPr>
          <w:rFonts w:ascii="Verdana" w:hAnsi="Verdana" w:cs="OpenSansRegular"/>
          <w:sz w:val="20"/>
          <w:szCs w:val="20"/>
        </w:rPr>
        <w:t xml:space="preserve"> participants – allowing discussion, questions and counter-issues to be raised. This part of the </w:t>
      </w:r>
      <w:r w:rsidR="0060536B">
        <w:rPr>
          <w:rFonts w:ascii="Verdana" w:hAnsi="Verdana" w:cs="OpenSansRegular"/>
          <w:sz w:val="20"/>
          <w:szCs w:val="20"/>
        </w:rPr>
        <w:t>roundtable</w:t>
      </w:r>
      <w:r>
        <w:rPr>
          <w:rFonts w:ascii="Verdana" w:hAnsi="Verdana" w:cs="OpenSansRegular"/>
          <w:sz w:val="20"/>
          <w:szCs w:val="20"/>
        </w:rPr>
        <w:t xml:space="preserve"> was particularly productive and conducted with goodwill.</w:t>
      </w:r>
    </w:p>
    <w:p w14:paraId="52ED59EA" w14:textId="77777777" w:rsidR="00DF4971" w:rsidRDefault="0060536B" w:rsidP="009A00F3">
      <w:pPr>
        <w:rPr>
          <w:rFonts w:ascii="Verdana" w:hAnsi="Verdana" w:cs="OpenSansRegular"/>
          <w:sz w:val="20"/>
          <w:szCs w:val="20"/>
        </w:rPr>
      </w:pPr>
      <w:r>
        <w:rPr>
          <w:rFonts w:ascii="Verdana" w:hAnsi="Verdana" w:cs="OpenSansRegular"/>
          <w:sz w:val="20"/>
          <w:szCs w:val="20"/>
        </w:rPr>
        <w:t>Participants</w:t>
      </w:r>
      <w:r w:rsidR="00DF4971">
        <w:rPr>
          <w:rFonts w:ascii="Verdana" w:hAnsi="Verdana" w:cs="OpenSansRegular"/>
          <w:sz w:val="20"/>
          <w:szCs w:val="20"/>
        </w:rPr>
        <w:t xml:space="preserve"> were advised, and acknowledged, that e</w:t>
      </w:r>
      <w:r w:rsidR="009A00F3" w:rsidRPr="009A00F3">
        <w:rPr>
          <w:rFonts w:ascii="Verdana" w:hAnsi="Verdana" w:cs="OpenSansRegular"/>
          <w:sz w:val="20"/>
          <w:szCs w:val="20"/>
        </w:rPr>
        <w:t xml:space="preserve">vidence-based, best practice regulatory </w:t>
      </w:r>
      <w:r w:rsidR="00DF4971">
        <w:rPr>
          <w:rFonts w:ascii="Verdana" w:hAnsi="Verdana" w:cs="OpenSansRegular"/>
          <w:sz w:val="20"/>
          <w:szCs w:val="20"/>
        </w:rPr>
        <w:t>evaluation would need</w:t>
      </w:r>
      <w:r w:rsidR="004F2D4D">
        <w:rPr>
          <w:rFonts w:ascii="Verdana" w:hAnsi="Verdana" w:cs="OpenSansRegular"/>
          <w:sz w:val="20"/>
          <w:szCs w:val="20"/>
        </w:rPr>
        <w:t xml:space="preserve"> occur before any options</w:t>
      </w:r>
      <w:r w:rsidR="00DF4971">
        <w:rPr>
          <w:rFonts w:ascii="Verdana" w:hAnsi="Verdana" w:cs="OpenSansRegular"/>
          <w:sz w:val="20"/>
          <w:szCs w:val="20"/>
        </w:rPr>
        <w:t xml:space="preserve"> could be formally recommended to government.</w:t>
      </w:r>
    </w:p>
    <w:p w14:paraId="769F397A" w14:textId="77777777" w:rsidR="009A00F3" w:rsidRDefault="00DF4971" w:rsidP="009A00F3">
      <w:pPr>
        <w:rPr>
          <w:rFonts w:ascii="Verdana" w:hAnsi="Verdana" w:cs="OpenSansRegular"/>
          <w:sz w:val="20"/>
          <w:szCs w:val="20"/>
        </w:rPr>
      </w:pPr>
      <w:r>
        <w:rPr>
          <w:rFonts w:ascii="Verdana" w:hAnsi="Verdana" w:cs="OpenSansRegular"/>
          <w:sz w:val="20"/>
          <w:szCs w:val="20"/>
        </w:rPr>
        <w:t xml:space="preserve">There was a clear and unanimous view within the roundtable that all parties were willing to </w:t>
      </w:r>
      <w:r w:rsidR="009A00F3" w:rsidRPr="009A00F3">
        <w:rPr>
          <w:rFonts w:ascii="Verdana" w:hAnsi="Verdana" w:cs="OpenSansRegular"/>
          <w:sz w:val="20"/>
          <w:szCs w:val="20"/>
        </w:rPr>
        <w:t>work together to improve product safety</w:t>
      </w:r>
      <w:r w:rsidR="004F2D4D">
        <w:rPr>
          <w:rFonts w:ascii="Verdana" w:hAnsi="Verdana" w:cs="OpenSansRegular"/>
          <w:sz w:val="20"/>
          <w:szCs w:val="20"/>
        </w:rPr>
        <w:t xml:space="preserve"> and would be willing to continue further engagement to develop options.</w:t>
      </w:r>
    </w:p>
    <w:p w14:paraId="556CE47F" w14:textId="77777777" w:rsidR="004F2D4D" w:rsidRPr="009A00F3" w:rsidRDefault="004F2D4D" w:rsidP="004F2D4D">
      <w:pPr>
        <w:rPr>
          <w:rFonts w:ascii="Verdana" w:hAnsi="Verdana" w:cs="OpenSansRegular"/>
          <w:sz w:val="20"/>
          <w:szCs w:val="20"/>
        </w:rPr>
      </w:pPr>
      <w:r>
        <w:rPr>
          <w:rFonts w:ascii="Verdana" w:hAnsi="Verdana" w:cs="OpenSansRegular"/>
          <w:sz w:val="20"/>
          <w:szCs w:val="20"/>
        </w:rPr>
        <w:t>The following ideas and options were raised during the roundtable and attracted broad support within roundtable participants. No significant objections were raised by any roundtable participant in response to any of the following options.</w:t>
      </w:r>
    </w:p>
    <w:p w14:paraId="4D86BA9F" w14:textId="77777777" w:rsidR="009A00F3" w:rsidRPr="009A00F3" w:rsidRDefault="009A00F3" w:rsidP="009A00F3">
      <w:pPr>
        <w:pStyle w:val="BSubheading-Bluedk"/>
        <w:rPr>
          <w:rFonts w:ascii="Verdana" w:hAnsi="Verdana" w:cs="OpenSansRegular"/>
          <w:color w:val="62B5E5"/>
          <w:sz w:val="22"/>
          <w:szCs w:val="22"/>
        </w:rPr>
      </w:pPr>
      <w:bookmarkStart w:id="30" w:name="_Toc521503533"/>
      <w:r w:rsidRPr="00AF6FE3">
        <w:rPr>
          <w:rFonts w:ascii="Verdana" w:hAnsi="Verdana" w:cs="OpenSansRegular"/>
          <w:color w:val="auto"/>
          <w:sz w:val="22"/>
          <w:szCs w:val="22"/>
        </w:rPr>
        <w:t>Full review of Standard 2.9.4 – Formulated Supplementary Sports Foods</w:t>
      </w:r>
      <w:bookmarkEnd w:id="30"/>
    </w:p>
    <w:p w14:paraId="44B24179" w14:textId="77777777" w:rsidR="009A00F3" w:rsidRPr="009A00F3" w:rsidRDefault="009A00F3" w:rsidP="009A00F3">
      <w:pPr>
        <w:pStyle w:val="ListParagraph"/>
        <w:numPr>
          <w:ilvl w:val="0"/>
          <w:numId w:val="28"/>
        </w:numPr>
        <w:rPr>
          <w:rFonts w:ascii="Verdana" w:hAnsi="Verdana" w:cs="OpenSansRegular"/>
          <w:szCs w:val="20"/>
        </w:rPr>
      </w:pPr>
      <w:r w:rsidRPr="009A00F3">
        <w:rPr>
          <w:rFonts w:ascii="Verdana" w:hAnsi="Verdana" w:cs="OpenSansRegular"/>
          <w:szCs w:val="20"/>
        </w:rPr>
        <w:t xml:space="preserve">This may include a review of the definition of a sports supplement. A new definition may pull more products under the Code to minimise the number of products that fall into the FMI. </w:t>
      </w:r>
    </w:p>
    <w:p w14:paraId="0586A563" w14:textId="77777777" w:rsidR="009A00F3" w:rsidRPr="009A00F3" w:rsidRDefault="009A00F3" w:rsidP="009A00F3">
      <w:pPr>
        <w:pStyle w:val="ListParagraph"/>
        <w:numPr>
          <w:ilvl w:val="0"/>
          <w:numId w:val="28"/>
        </w:numPr>
        <w:rPr>
          <w:rFonts w:ascii="Verdana" w:hAnsi="Verdana" w:cs="OpenSansRegular"/>
          <w:szCs w:val="20"/>
        </w:rPr>
      </w:pPr>
      <w:r w:rsidRPr="009A00F3">
        <w:rPr>
          <w:rFonts w:ascii="Verdana" w:hAnsi="Verdana" w:cs="OpenSansRegular"/>
          <w:szCs w:val="20"/>
        </w:rPr>
        <w:t>The maximum permitted levels of caffeine and its derivatives to be a consideration in this review. Potential maximum levels of other permitted ingredients would also be considered.</w:t>
      </w:r>
      <w:r w:rsidR="00BA235C">
        <w:rPr>
          <w:rFonts w:ascii="Verdana" w:hAnsi="Verdana" w:cs="OpenSansRegular"/>
          <w:szCs w:val="20"/>
        </w:rPr>
        <w:t xml:space="preserve"> This could also relate to product risk tiers.</w:t>
      </w:r>
    </w:p>
    <w:p w14:paraId="1983860F" w14:textId="77777777" w:rsidR="009A00F3" w:rsidRDefault="009A00F3" w:rsidP="009A00F3">
      <w:pPr>
        <w:pStyle w:val="ListParagraph"/>
        <w:numPr>
          <w:ilvl w:val="0"/>
          <w:numId w:val="28"/>
        </w:numPr>
        <w:rPr>
          <w:rFonts w:ascii="Verdana" w:hAnsi="Verdana" w:cs="OpenSansRegular"/>
          <w:szCs w:val="20"/>
        </w:rPr>
      </w:pPr>
      <w:r w:rsidRPr="009A00F3">
        <w:rPr>
          <w:rFonts w:ascii="Verdana" w:hAnsi="Verdana" w:cs="OpenSansRegular"/>
          <w:szCs w:val="20"/>
        </w:rPr>
        <w:t>Consideration of including a warning statement on products to the effect of – Medical or dietetic advice should be sought prior to consuming this product.</w:t>
      </w:r>
    </w:p>
    <w:p w14:paraId="65BA9EAD" w14:textId="77777777" w:rsidR="004F2D4D" w:rsidRPr="004F2D4D" w:rsidRDefault="004F2D4D" w:rsidP="004F2D4D">
      <w:pPr>
        <w:spacing w:before="160"/>
        <w:ind w:left="360"/>
        <w:rPr>
          <w:rFonts w:ascii="Verdana" w:hAnsi="Verdana" w:cs="OpenSansRegular"/>
          <w:b/>
          <w:i/>
          <w:sz w:val="20"/>
          <w:szCs w:val="20"/>
        </w:rPr>
      </w:pPr>
      <w:r w:rsidRPr="004F2D4D">
        <w:rPr>
          <w:rFonts w:ascii="Verdana" w:hAnsi="Verdana" w:cs="OpenSansRegular"/>
          <w:b/>
          <w:i/>
          <w:sz w:val="20"/>
          <w:szCs w:val="20"/>
        </w:rPr>
        <w:t>This option had the strongest level of support.</w:t>
      </w:r>
    </w:p>
    <w:p w14:paraId="436639A6" w14:textId="77777777" w:rsidR="009A00F3" w:rsidRPr="009A00F3" w:rsidRDefault="009A00F3" w:rsidP="009A00F3">
      <w:pPr>
        <w:pStyle w:val="BSubheading-Bluedk"/>
        <w:rPr>
          <w:rFonts w:ascii="Verdana" w:hAnsi="Verdana" w:cs="OpenSansRegular"/>
          <w:color w:val="62B5E5"/>
          <w:sz w:val="22"/>
          <w:szCs w:val="22"/>
        </w:rPr>
      </w:pPr>
      <w:bookmarkStart w:id="31" w:name="_Toc521503534"/>
      <w:r w:rsidRPr="00AF6FE3">
        <w:rPr>
          <w:rFonts w:ascii="Verdana" w:hAnsi="Verdana" w:cs="OpenSansRegular"/>
          <w:color w:val="auto"/>
          <w:sz w:val="22"/>
          <w:szCs w:val="22"/>
        </w:rPr>
        <w:t>Compliance and Enforcement</w:t>
      </w:r>
      <w:bookmarkEnd w:id="31"/>
    </w:p>
    <w:p w14:paraId="43BE773C" w14:textId="77777777" w:rsidR="009A00F3" w:rsidRPr="009A00F3" w:rsidRDefault="009A00F3" w:rsidP="009A00F3">
      <w:pPr>
        <w:pStyle w:val="ListParagraph"/>
        <w:numPr>
          <w:ilvl w:val="0"/>
          <w:numId w:val="28"/>
        </w:numPr>
        <w:rPr>
          <w:rFonts w:ascii="Verdana" w:hAnsi="Verdana" w:cs="OpenSansRegular"/>
          <w:szCs w:val="20"/>
        </w:rPr>
      </w:pPr>
      <w:r w:rsidRPr="009A00F3">
        <w:rPr>
          <w:rFonts w:ascii="Verdana" w:hAnsi="Verdana" w:cs="OpenSansRegular"/>
          <w:szCs w:val="20"/>
        </w:rPr>
        <w:t>Increase the enforcement capacity for regulators and increas</w:t>
      </w:r>
      <w:r w:rsidR="007C587D">
        <w:rPr>
          <w:rFonts w:ascii="Verdana" w:hAnsi="Verdana" w:cs="OpenSansRegular"/>
          <w:szCs w:val="20"/>
        </w:rPr>
        <w:t>e</w:t>
      </w:r>
      <w:r w:rsidRPr="009A00F3">
        <w:rPr>
          <w:rFonts w:ascii="Verdana" w:hAnsi="Verdana" w:cs="OpenSansRegular"/>
          <w:szCs w:val="20"/>
        </w:rPr>
        <w:t xml:space="preserve"> the ability for enforcement officers to efficiently remove non-compliant products from the market.</w:t>
      </w:r>
    </w:p>
    <w:p w14:paraId="7CF12225" w14:textId="77777777" w:rsidR="009A00F3" w:rsidRDefault="009A00F3" w:rsidP="009A00F3">
      <w:pPr>
        <w:pStyle w:val="ListParagraph"/>
        <w:numPr>
          <w:ilvl w:val="0"/>
          <w:numId w:val="28"/>
        </w:numPr>
        <w:rPr>
          <w:rFonts w:ascii="Verdana" w:hAnsi="Verdana" w:cs="OpenSansRegular"/>
          <w:szCs w:val="20"/>
        </w:rPr>
      </w:pPr>
      <w:proofErr w:type="gramStart"/>
      <w:r w:rsidRPr="009A00F3">
        <w:rPr>
          <w:rFonts w:ascii="Verdana" w:hAnsi="Verdana" w:cs="OpenSansRegular"/>
          <w:szCs w:val="20"/>
        </w:rPr>
        <w:t>Give consideration to</w:t>
      </w:r>
      <w:proofErr w:type="gramEnd"/>
      <w:r w:rsidRPr="009A00F3">
        <w:rPr>
          <w:rFonts w:ascii="Verdana" w:hAnsi="Verdana" w:cs="OpenSansRegular"/>
          <w:szCs w:val="20"/>
        </w:rPr>
        <w:t xml:space="preserve"> closing import loopholes. </w:t>
      </w:r>
    </w:p>
    <w:p w14:paraId="49B7CE1E" w14:textId="77777777" w:rsidR="004F2D4D" w:rsidRPr="004F2D4D" w:rsidRDefault="004F2D4D" w:rsidP="004F2D4D">
      <w:pPr>
        <w:spacing w:before="160"/>
        <w:ind w:left="360"/>
        <w:rPr>
          <w:rFonts w:ascii="Verdana" w:hAnsi="Verdana" w:cs="OpenSansRegular"/>
          <w:b/>
          <w:i/>
          <w:sz w:val="20"/>
          <w:szCs w:val="20"/>
        </w:rPr>
      </w:pPr>
      <w:r w:rsidRPr="004F2D4D">
        <w:rPr>
          <w:rFonts w:ascii="Verdana" w:hAnsi="Verdana" w:cs="OpenSansRegular"/>
          <w:b/>
          <w:i/>
          <w:sz w:val="20"/>
          <w:szCs w:val="20"/>
        </w:rPr>
        <w:t xml:space="preserve">This option had </w:t>
      </w:r>
      <w:r>
        <w:rPr>
          <w:rFonts w:ascii="Verdana" w:hAnsi="Verdana" w:cs="OpenSansRegular"/>
          <w:b/>
          <w:i/>
          <w:sz w:val="20"/>
          <w:szCs w:val="20"/>
        </w:rPr>
        <w:t>strong support, with all parties expressing a desire to see dangerous products and unethical businesses removed from the market.</w:t>
      </w:r>
    </w:p>
    <w:p w14:paraId="2B6B254C" w14:textId="77777777" w:rsidR="009A00F3" w:rsidRPr="009A00F3" w:rsidRDefault="009A00F3" w:rsidP="009A00F3">
      <w:pPr>
        <w:pStyle w:val="BSubheading-Bluedk"/>
        <w:rPr>
          <w:rFonts w:ascii="Verdana" w:hAnsi="Verdana" w:cs="OpenSansRegular"/>
          <w:color w:val="62B5E5"/>
          <w:sz w:val="22"/>
          <w:szCs w:val="22"/>
        </w:rPr>
      </w:pPr>
      <w:bookmarkStart w:id="32" w:name="_Toc521503535"/>
      <w:r w:rsidRPr="00AF6FE3">
        <w:rPr>
          <w:rFonts w:ascii="Verdana" w:hAnsi="Verdana" w:cs="OpenSansRegular"/>
          <w:color w:val="auto"/>
          <w:sz w:val="22"/>
          <w:szCs w:val="22"/>
        </w:rPr>
        <w:t>Data collection and better understanding of the problem</w:t>
      </w:r>
      <w:bookmarkEnd w:id="32"/>
    </w:p>
    <w:p w14:paraId="4882AAA0" w14:textId="77777777" w:rsidR="009A00F3" w:rsidRPr="009A00F3" w:rsidRDefault="009A00F3" w:rsidP="009A00F3">
      <w:pPr>
        <w:pStyle w:val="ListParagraph"/>
        <w:numPr>
          <w:ilvl w:val="0"/>
          <w:numId w:val="28"/>
        </w:numPr>
        <w:rPr>
          <w:rFonts w:ascii="Verdana" w:hAnsi="Verdana" w:cs="OpenSansRegular"/>
          <w:szCs w:val="20"/>
        </w:rPr>
      </w:pPr>
      <w:r w:rsidRPr="009A00F3">
        <w:rPr>
          <w:rFonts w:ascii="Verdana" w:hAnsi="Verdana" w:cs="OpenSansRegular"/>
          <w:szCs w:val="20"/>
        </w:rPr>
        <w:t>Consider better and more consistent reporting is needed to understand the nature of the problem and adverse events. This could include reporting to the TGA or to health departments.</w:t>
      </w:r>
    </w:p>
    <w:p w14:paraId="57D8AA0B" w14:textId="77777777" w:rsidR="009A00F3" w:rsidRPr="009A00F3" w:rsidRDefault="009A00F3" w:rsidP="009A00F3">
      <w:pPr>
        <w:pStyle w:val="ListParagraph"/>
        <w:numPr>
          <w:ilvl w:val="0"/>
          <w:numId w:val="28"/>
        </w:numPr>
        <w:rPr>
          <w:rFonts w:ascii="Verdana" w:hAnsi="Verdana" w:cs="OpenSansRegular"/>
          <w:szCs w:val="20"/>
        </w:rPr>
      </w:pPr>
      <w:r w:rsidRPr="009A00F3">
        <w:rPr>
          <w:rFonts w:ascii="Verdana" w:hAnsi="Verdana" w:cs="OpenSansRegular"/>
          <w:szCs w:val="20"/>
        </w:rPr>
        <w:t xml:space="preserve">Data from industry would also be helpful. </w:t>
      </w:r>
    </w:p>
    <w:p w14:paraId="2E0053BF" w14:textId="77777777" w:rsidR="009A00F3" w:rsidRDefault="009A00F3" w:rsidP="009A00F3">
      <w:pPr>
        <w:pStyle w:val="ListParagraph"/>
        <w:numPr>
          <w:ilvl w:val="0"/>
          <w:numId w:val="28"/>
        </w:numPr>
        <w:rPr>
          <w:rFonts w:ascii="Verdana" w:hAnsi="Verdana" w:cs="OpenSansRegular"/>
          <w:szCs w:val="20"/>
        </w:rPr>
      </w:pPr>
      <w:r w:rsidRPr="009A00F3">
        <w:rPr>
          <w:rFonts w:ascii="Verdana" w:hAnsi="Verdana" w:cs="OpenSansRegular"/>
          <w:szCs w:val="20"/>
        </w:rPr>
        <w:t xml:space="preserve">Undertake more work to understand the issue and what regulatory options are available to address the issue. </w:t>
      </w:r>
    </w:p>
    <w:p w14:paraId="5D998181" w14:textId="77777777" w:rsidR="004F2D4D" w:rsidRPr="004F2D4D" w:rsidRDefault="004F2D4D" w:rsidP="004F2D4D">
      <w:pPr>
        <w:spacing w:before="160"/>
        <w:ind w:left="360"/>
        <w:rPr>
          <w:rFonts w:ascii="Verdana" w:hAnsi="Verdana" w:cs="OpenSansRegular"/>
          <w:b/>
          <w:i/>
          <w:sz w:val="20"/>
          <w:szCs w:val="20"/>
        </w:rPr>
      </w:pPr>
      <w:r w:rsidRPr="004F2D4D">
        <w:rPr>
          <w:rFonts w:ascii="Verdana" w:hAnsi="Verdana" w:cs="OpenSansRegular"/>
          <w:b/>
          <w:i/>
          <w:sz w:val="20"/>
          <w:szCs w:val="20"/>
        </w:rPr>
        <w:t>This option had strong support</w:t>
      </w:r>
      <w:r>
        <w:rPr>
          <w:rFonts w:ascii="Verdana" w:hAnsi="Verdana" w:cs="OpenSansRegular"/>
          <w:b/>
          <w:i/>
          <w:sz w:val="20"/>
          <w:szCs w:val="20"/>
        </w:rPr>
        <w:t xml:space="preserve"> – with industry participants indicating they could also share information on emerging trends (positive and negative) based on their interactions with consumers</w:t>
      </w:r>
      <w:r w:rsidRPr="004F2D4D">
        <w:rPr>
          <w:rFonts w:ascii="Verdana" w:hAnsi="Verdana" w:cs="OpenSansRegular"/>
          <w:b/>
          <w:i/>
          <w:sz w:val="20"/>
          <w:szCs w:val="20"/>
        </w:rPr>
        <w:t>.</w:t>
      </w:r>
    </w:p>
    <w:p w14:paraId="650A17C4" w14:textId="77777777" w:rsidR="009A00F3" w:rsidRPr="009A00F3" w:rsidRDefault="009A00F3" w:rsidP="009A00F3">
      <w:pPr>
        <w:pStyle w:val="BSubheading-Bluedk"/>
        <w:rPr>
          <w:rFonts w:ascii="Verdana" w:hAnsi="Verdana" w:cs="OpenSansRegular"/>
          <w:color w:val="62B5E5"/>
          <w:sz w:val="22"/>
          <w:szCs w:val="22"/>
        </w:rPr>
      </w:pPr>
      <w:bookmarkStart w:id="33" w:name="_Toc521503536"/>
      <w:r w:rsidRPr="00AF6FE3">
        <w:rPr>
          <w:rFonts w:ascii="Verdana" w:hAnsi="Verdana" w:cs="OpenSansRegular"/>
          <w:color w:val="auto"/>
          <w:sz w:val="22"/>
          <w:szCs w:val="22"/>
        </w:rPr>
        <w:lastRenderedPageBreak/>
        <w:t>Education campaigns targeted at:</w:t>
      </w:r>
      <w:bookmarkEnd w:id="33"/>
    </w:p>
    <w:p w14:paraId="4F3E953E" w14:textId="77777777" w:rsidR="009A00F3" w:rsidRPr="009A00F3" w:rsidRDefault="009A00F3" w:rsidP="009A00F3">
      <w:pPr>
        <w:pStyle w:val="ListParagraph"/>
        <w:numPr>
          <w:ilvl w:val="0"/>
          <w:numId w:val="28"/>
        </w:numPr>
        <w:rPr>
          <w:rFonts w:ascii="Verdana" w:hAnsi="Verdana" w:cs="OpenSansRegular"/>
          <w:szCs w:val="20"/>
        </w:rPr>
      </w:pPr>
      <w:r w:rsidRPr="009A00F3">
        <w:rPr>
          <w:rFonts w:ascii="Verdana" w:hAnsi="Verdana" w:cs="OpenSansRegular"/>
          <w:szCs w:val="20"/>
        </w:rPr>
        <w:t xml:space="preserve">Critical care professionals – to </w:t>
      </w:r>
      <w:r w:rsidR="007C587D">
        <w:rPr>
          <w:rFonts w:ascii="Verdana" w:hAnsi="Verdana" w:cs="OpenSansRegular"/>
          <w:szCs w:val="20"/>
        </w:rPr>
        <w:t xml:space="preserve">support </w:t>
      </w:r>
      <w:r w:rsidRPr="009A00F3">
        <w:rPr>
          <w:rFonts w:ascii="Verdana" w:hAnsi="Verdana" w:cs="OpenSansRegular"/>
          <w:szCs w:val="20"/>
        </w:rPr>
        <w:t xml:space="preserve">health care professionals </w:t>
      </w:r>
      <w:r w:rsidR="007C587D">
        <w:rPr>
          <w:rFonts w:ascii="Verdana" w:hAnsi="Verdana" w:cs="OpenSansRegular"/>
          <w:szCs w:val="20"/>
        </w:rPr>
        <w:t xml:space="preserve">to maintain their knowledge and skills in identifying and managing a patient with a metabolic condition. </w:t>
      </w:r>
    </w:p>
    <w:p w14:paraId="2EF0399A" w14:textId="77777777" w:rsidR="007C587D" w:rsidRPr="00BC0D3D" w:rsidRDefault="007C587D" w:rsidP="007C587D">
      <w:pPr>
        <w:pStyle w:val="ListParagraph"/>
        <w:numPr>
          <w:ilvl w:val="0"/>
          <w:numId w:val="28"/>
        </w:numPr>
        <w:spacing w:before="120"/>
        <w:rPr>
          <w:rFonts w:ascii="Verdana" w:hAnsi="Verdana"/>
        </w:rPr>
      </w:pPr>
      <w:r w:rsidRPr="00BC0D3D">
        <w:rPr>
          <w:rFonts w:ascii="Verdana" w:hAnsi="Verdana"/>
        </w:rPr>
        <w:t>Health professionals – to encourage general health professionals to enquire whether sports supplements have been consumed when determining the cause of a reaction.</w:t>
      </w:r>
    </w:p>
    <w:p w14:paraId="50DE86C3" w14:textId="77777777" w:rsidR="009A00F3" w:rsidRPr="009A00F3" w:rsidRDefault="009A00F3" w:rsidP="009A00F3">
      <w:pPr>
        <w:pStyle w:val="ListParagraph"/>
        <w:numPr>
          <w:ilvl w:val="0"/>
          <w:numId w:val="28"/>
        </w:numPr>
        <w:rPr>
          <w:rFonts w:ascii="Verdana" w:hAnsi="Verdana" w:cs="OpenSansRegular"/>
          <w:szCs w:val="20"/>
        </w:rPr>
      </w:pPr>
      <w:r w:rsidRPr="009A00F3">
        <w:rPr>
          <w:rFonts w:ascii="Verdana" w:hAnsi="Verdana" w:cs="OpenSansRegular"/>
          <w:szCs w:val="20"/>
        </w:rPr>
        <w:t>Consumers and agents who sell/recommend products – to educate all consumers</w:t>
      </w:r>
      <w:r w:rsidR="007C587D">
        <w:rPr>
          <w:rFonts w:ascii="Verdana" w:hAnsi="Verdana" w:cs="OpenSansRegular"/>
          <w:szCs w:val="20"/>
        </w:rPr>
        <w:t>, manufacturers an</w:t>
      </w:r>
      <w:r w:rsidR="00BC0D3D">
        <w:rPr>
          <w:rFonts w:ascii="Verdana" w:hAnsi="Verdana" w:cs="OpenSansRegular"/>
          <w:szCs w:val="20"/>
        </w:rPr>
        <w:t>d suppliers (online and retail)</w:t>
      </w:r>
      <w:r w:rsidRPr="009A00F3">
        <w:rPr>
          <w:rFonts w:ascii="Verdana" w:hAnsi="Verdana" w:cs="OpenSansRegular"/>
          <w:szCs w:val="20"/>
        </w:rPr>
        <w:t xml:space="preserve"> of the potential risks of consuming sports supplements. This includes targeting users and the specific industry. The need for carefully planned communication messages was recognised, as warning consumers not to take supplements is unlikely to be engaging, consumers that are seeking a competitive advantage may be more likely to take risks to achieve their desired outcome. </w:t>
      </w:r>
    </w:p>
    <w:p w14:paraId="03E4BB10" w14:textId="77777777" w:rsidR="009A00F3" w:rsidRDefault="009A00F3" w:rsidP="009A00F3">
      <w:pPr>
        <w:pStyle w:val="ListParagraph"/>
        <w:numPr>
          <w:ilvl w:val="0"/>
          <w:numId w:val="28"/>
        </w:numPr>
        <w:rPr>
          <w:rFonts w:ascii="Verdana" w:hAnsi="Verdana" w:cs="OpenSansRegular"/>
          <w:szCs w:val="20"/>
        </w:rPr>
      </w:pPr>
      <w:r w:rsidRPr="009A00F3">
        <w:rPr>
          <w:rFonts w:ascii="Verdana" w:hAnsi="Verdana" w:cs="OpenSansRegular"/>
          <w:szCs w:val="20"/>
        </w:rPr>
        <w:t>Gym owners and personal training educators - to educate personal trainers that they should be providing only basic health eating information, not specific advice on taking sports supplements. Advice should be sought from a qualified health professional prior to recommending sports supplements.</w:t>
      </w:r>
    </w:p>
    <w:p w14:paraId="78E90E94" w14:textId="77777777" w:rsidR="004F2D4D" w:rsidRPr="004F2D4D" w:rsidRDefault="004F2D4D" w:rsidP="004F2D4D">
      <w:pPr>
        <w:spacing w:before="160"/>
        <w:ind w:left="360"/>
        <w:rPr>
          <w:rFonts w:ascii="Verdana" w:hAnsi="Verdana" w:cs="OpenSansRegular"/>
          <w:b/>
          <w:i/>
          <w:sz w:val="20"/>
          <w:szCs w:val="20"/>
        </w:rPr>
      </w:pPr>
      <w:r w:rsidRPr="004F2D4D">
        <w:rPr>
          <w:rFonts w:ascii="Verdana" w:hAnsi="Verdana" w:cs="OpenSansRegular"/>
          <w:b/>
          <w:i/>
          <w:sz w:val="20"/>
          <w:szCs w:val="20"/>
        </w:rPr>
        <w:t>This option had the strong support</w:t>
      </w:r>
      <w:r w:rsidR="002C6696">
        <w:rPr>
          <w:rFonts w:ascii="Verdana" w:hAnsi="Verdana" w:cs="OpenSansRegular"/>
          <w:b/>
          <w:i/>
          <w:sz w:val="20"/>
          <w:szCs w:val="20"/>
        </w:rPr>
        <w:t xml:space="preserve"> but noting the risk of alienating consumers if the message was poorly pitched</w:t>
      </w:r>
      <w:r w:rsidRPr="004F2D4D">
        <w:rPr>
          <w:rFonts w:ascii="Verdana" w:hAnsi="Verdana" w:cs="OpenSansRegular"/>
          <w:b/>
          <w:i/>
          <w:sz w:val="20"/>
          <w:szCs w:val="20"/>
        </w:rPr>
        <w:t>.</w:t>
      </w:r>
    </w:p>
    <w:p w14:paraId="1FE145B2" w14:textId="77777777" w:rsidR="009A00F3" w:rsidRPr="009A00F3" w:rsidRDefault="009A00F3" w:rsidP="009A00F3">
      <w:pPr>
        <w:pStyle w:val="BSubheading-Bluedk"/>
        <w:rPr>
          <w:rFonts w:ascii="Verdana" w:hAnsi="Verdana" w:cs="OpenSansRegular"/>
          <w:color w:val="62B5E5"/>
          <w:sz w:val="22"/>
          <w:szCs w:val="22"/>
        </w:rPr>
      </w:pPr>
      <w:bookmarkStart w:id="34" w:name="_Toc521503537"/>
      <w:r w:rsidRPr="00AF6FE3">
        <w:rPr>
          <w:rFonts w:ascii="Verdana" w:hAnsi="Verdana" w:cs="OpenSansRegular"/>
          <w:color w:val="auto"/>
          <w:sz w:val="22"/>
          <w:szCs w:val="22"/>
        </w:rPr>
        <w:t>Risk tiers</w:t>
      </w:r>
      <w:bookmarkEnd w:id="34"/>
    </w:p>
    <w:p w14:paraId="203B6FF1" w14:textId="77777777" w:rsidR="009A00F3" w:rsidRPr="009A00F3" w:rsidRDefault="009A00F3" w:rsidP="009A00F3">
      <w:pPr>
        <w:pStyle w:val="ListParagraph"/>
        <w:numPr>
          <w:ilvl w:val="0"/>
          <w:numId w:val="28"/>
        </w:numPr>
        <w:rPr>
          <w:rFonts w:ascii="Verdana" w:hAnsi="Verdana" w:cs="OpenSansRegular"/>
          <w:szCs w:val="20"/>
        </w:rPr>
      </w:pPr>
      <w:r w:rsidRPr="009A00F3">
        <w:rPr>
          <w:rFonts w:ascii="Verdana" w:hAnsi="Verdana" w:cs="OpenSansRegular"/>
          <w:szCs w:val="20"/>
        </w:rPr>
        <w:t>This would see products classed into specific groups aligned with an agreed risk level. For example, higher risk products</w:t>
      </w:r>
      <w:r w:rsidR="00BA235C">
        <w:rPr>
          <w:rFonts w:ascii="Verdana" w:hAnsi="Verdana" w:cs="OpenSansRegular"/>
          <w:szCs w:val="20"/>
        </w:rPr>
        <w:t xml:space="preserve"> (such as those with very high caffeine levels)</w:t>
      </w:r>
      <w:r w:rsidRPr="009A00F3">
        <w:rPr>
          <w:rFonts w:ascii="Verdana" w:hAnsi="Verdana" w:cs="OpenSansRegular"/>
          <w:szCs w:val="20"/>
        </w:rPr>
        <w:t xml:space="preserve"> may be placed behind the counter and require advice prior to purchase. </w:t>
      </w:r>
    </w:p>
    <w:p w14:paraId="234245D2" w14:textId="77777777" w:rsidR="009A00F3" w:rsidRPr="009A00F3" w:rsidRDefault="009A00F3" w:rsidP="009A00F3">
      <w:pPr>
        <w:pStyle w:val="ListParagraph"/>
        <w:numPr>
          <w:ilvl w:val="0"/>
          <w:numId w:val="28"/>
        </w:numPr>
        <w:rPr>
          <w:rFonts w:ascii="Verdana" w:hAnsi="Verdana" w:cs="OpenSansRegular"/>
          <w:szCs w:val="20"/>
        </w:rPr>
      </w:pPr>
      <w:r w:rsidRPr="009A00F3">
        <w:rPr>
          <w:rFonts w:ascii="Verdana" w:hAnsi="Verdana" w:cs="OpenSansRegular"/>
          <w:szCs w:val="20"/>
        </w:rPr>
        <w:t>Concerns were raised on this matter as to the equality between a retail business versus an internet business.</w:t>
      </w:r>
    </w:p>
    <w:p w14:paraId="407D57E4" w14:textId="77777777" w:rsidR="009A00F3" w:rsidRDefault="009A00F3" w:rsidP="009A00F3">
      <w:pPr>
        <w:pStyle w:val="ListParagraph"/>
        <w:numPr>
          <w:ilvl w:val="0"/>
          <w:numId w:val="28"/>
        </w:numPr>
        <w:rPr>
          <w:rFonts w:ascii="Verdana" w:hAnsi="Verdana" w:cs="OpenSansRegular"/>
          <w:szCs w:val="20"/>
        </w:rPr>
      </w:pPr>
      <w:r w:rsidRPr="009A00F3">
        <w:rPr>
          <w:rFonts w:ascii="Verdana" w:hAnsi="Verdana" w:cs="OpenSansRegular"/>
          <w:szCs w:val="20"/>
        </w:rPr>
        <w:t>Further concerns were raised that if domestic products are placed behind a counter, consumers will purchase products online which may be less likely to be compliant.</w:t>
      </w:r>
    </w:p>
    <w:p w14:paraId="23A18E10" w14:textId="77777777" w:rsidR="009A00F3" w:rsidRPr="00ED06BD" w:rsidRDefault="002C6696" w:rsidP="006F03F1">
      <w:pPr>
        <w:spacing w:before="160"/>
        <w:ind w:left="360"/>
        <w:rPr>
          <w:rFonts w:ascii="Verdana" w:hAnsi="Verdana" w:cs="OpenSansRegular"/>
          <w:sz w:val="20"/>
          <w:szCs w:val="20"/>
        </w:rPr>
      </w:pPr>
      <w:r>
        <w:rPr>
          <w:rFonts w:ascii="Verdana" w:hAnsi="Verdana" w:cs="OpenSansRegular"/>
          <w:b/>
          <w:i/>
          <w:sz w:val="20"/>
          <w:szCs w:val="20"/>
        </w:rPr>
        <w:t>This option had</w:t>
      </w:r>
      <w:r w:rsidR="004F2D4D" w:rsidRPr="004F2D4D">
        <w:rPr>
          <w:rFonts w:ascii="Verdana" w:hAnsi="Verdana" w:cs="OpenSansRegular"/>
          <w:b/>
          <w:i/>
          <w:sz w:val="20"/>
          <w:szCs w:val="20"/>
        </w:rPr>
        <w:t xml:space="preserve"> support</w:t>
      </w:r>
      <w:r>
        <w:rPr>
          <w:rFonts w:ascii="Verdana" w:hAnsi="Verdana" w:cs="OpenSansRegular"/>
          <w:b/>
          <w:i/>
          <w:sz w:val="20"/>
          <w:szCs w:val="20"/>
        </w:rPr>
        <w:t xml:space="preserve"> in-principle, noting that further policy work would be required to consider the effectiveness of such an option and means of implementing it without undue regulatory burden</w:t>
      </w:r>
      <w:r w:rsidR="006F03F1">
        <w:rPr>
          <w:rFonts w:ascii="Verdana" w:hAnsi="Verdana" w:cs="OpenSansRegular"/>
          <w:b/>
          <w:i/>
          <w:sz w:val="20"/>
          <w:szCs w:val="20"/>
        </w:rPr>
        <w:t>.</w:t>
      </w:r>
    </w:p>
    <w:bookmarkEnd w:id="21"/>
    <w:bookmarkEnd w:id="22"/>
    <w:bookmarkEnd w:id="23"/>
    <w:bookmarkEnd w:id="24"/>
    <w:p w14:paraId="5F8DF4D4" w14:textId="77777777" w:rsidR="00445A81" w:rsidRPr="00ED06BD" w:rsidRDefault="00445A81" w:rsidP="00F855ED">
      <w:pPr>
        <w:rPr>
          <w:rFonts w:ascii="Verdana" w:hAnsi="Verdana" w:cs="OpenSansRegular"/>
          <w:sz w:val="20"/>
          <w:szCs w:val="20"/>
        </w:rPr>
      </w:pPr>
    </w:p>
    <w:p w14:paraId="63F6524A" w14:textId="77777777" w:rsidR="00445A81" w:rsidRPr="00ED06BD" w:rsidRDefault="00445A81" w:rsidP="00F855ED">
      <w:pPr>
        <w:rPr>
          <w:rFonts w:ascii="Verdana" w:hAnsi="Verdana" w:cs="OpenSansRegular"/>
          <w:sz w:val="20"/>
          <w:szCs w:val="20"/>
        </w:rPr>
        <w:sectPr w:rsidR="00445A81" w:rsidRPr="00ED06BD" w:rsidSect="009A00F3">
          <w:headerReference w:type="even" r:id="rId22"/>
          <w:headerReference w:type="default" r:id="rId23"/>
          <w:headerReference w:type="first" r:id="rId24"/>
          <w:pgSz w:w="11906" w:h="16838"/>
          <w:pgMar w:top="1440" w:right="1440" w:bottom="1440" w:left="1440" w:header="708" w:footer="708" w:gutter="0"/>
          <w:cols w:space="708"/>
          <w:docGrid w:linePitch="360"/>
        </w:sectPr>
      </w:pPr>
    </w:p>
    <w:p w14:paraId="7BBFC296" w14:textId="77777777" w:rsidR="008D6885" w:rsidRPr="00ED06BD" w:rsidRDefault="009A00F3" w:rsidP="004F2D4D">
      <w:pPr>
        <w:pStyle w:val="Heading1"/>
        <w:keepLines w:val="0"/>
        <w:spacing w:before="0" w:after="240" w:line="240" w:lineRule="auto"/>
        <w:rPr>
          <w:rFonts w:ascii="Verdana" w:eastAsia="Times New Roman" w:hAnsi="Verdana" w:cs="OpenSansRegular"/>
          <w:bCs/>
          <w:color w:val="000000" w:themeColor="text1"/>
          <w:kern w:val="32"/>
          <w:sz w:val="40"/>
          <w:szCs w:val="40"/>
        </w:rPr>
        <w:sectPr w:rsidR="008D6885" w:rsidRPr="00ED06BD" w:rsidSect="008013FD">
          <w:pgSz w:w="11906" w:h="16838"/>
          <w:pgMar w:top="1440" w:right="1440" w:bottom="1440" w:left="1440" w:header="708" w:footer="708" w:gutter="0"/>
          <w:cols w:space="708"/>
          <w:docGrid w:linePitch="360"/>
        </w:sectPr>
      </w:pPr>
      <w:bookmarkStart w:id="35" w:name="_Toc521503538"/>
      <w:bookmarkEnd w:id="25"/>
      <w:bookmarkEnd w:id="26"/>
      <w:bookmarkEnd w:id="27"/>
      <w:bookmarkEnd w:id="28"/>
      <w:bookmarkEnd w:id="29"/>
      <w:r>
        <w:rPr>
          <w:rFonts w:ascii="Verdana" w:eastAsia="Times New Roman" w:hAnsi="Verdana" w:cs="OpenSansRegular"/>
          <w:bCs/>
          <w:color w:val="000000" w:themeColor="text1"/>
          <w:kern w:val="32"/>
          <w:sz w:val="40"/>
          <w:szCs w:val="40"/>
        </w:rPr>
        <w:lastRenderedPageBreak/>
        <w:t>Next Steps</w:t>
      </w:r>
      <w:bookmarkEnd w:id="35"/>
    </w:p>
    <w:p w14:paraId="0698EF4E" w14:textId="77777777" w:rsidR="004F2D4D" w:rsidRDefault="002C6696" w:rsidP="004F2D4D">
      <w:pPr>
        <w:rPr>
          <w:rFonts w:ascii="Verdana" w:hAnsi="Verdana" w:cs="OpenSansRegular"/>
          <w:sz w:val="20"/>
          <w:szCs w:val="20"/>
        </w:rPr>
      </w:pPr>
      <w:bookmarkStart w:id="36" w:name="_Toc514417106"/>
      <w:bookmarkStart w:id="37" w:name="_Toc515008222"/>
      <w:bookmarkStart w:id="38" w:name="_Toc515893693"/>
      <w:bookmarkStart w:id="39" w:name="_Toc517430223"/>
      <w:bookmarkStart w:id="40" w:name="_Toc504556666"/>
      <w:bookmarkStart w:id="41" w:name="_Toc505003203"/>
      <w:bookmarkStart w:id="42" w:name="_Toc505011009"/>
      <w:bookmarkStart w:id="43" w:name="_Toc505011174"/>
      <w:bookmarkStart w:id="44" w:name="_Toc505181198"/>
      <w:r>
        <w:rPr>
          <w:rFonts w:ascii="Verdana" w:hAnsi="Verdana" w:cs="OpenSansRegular"/>
          <w:sz w:val="20"/>
          <w:szCs w:val="20"/>
        </w:rPr>
        <w:t xml:space="preserve">Based on the proceedings of the </w:t>
      </w:r>
      <w:r w:rsidR="0060536B">
        <w:rPr>
          <w:rFonts w:ascii="Verdana" w:hAnsi="Verdana" w:cs="OpenSansRegular"/>
          <w:sz w:val="20"/>
          <w:szCs w:val="20"/>
        </w:rPr>
        <w:t>roundtable</w:t>
      </w:r>
      <w:r>
        <w:rPr>
          <w:rFonts w:ascii="Verdana" w:hAnsi="Verdana" w:cs="OpenSansRegular"/>
          <w:sz w:val="20"/>
          <w:szCs w:val="20"/>
        </w:rPr>
        <w:t>, including the presentations and subsequent discussions and ideation, we recommend the Australian Department of Health:</w:t>
      </w:r>
    </w:p>
    <w:bookmarkEnd w:id="36"/>
    <w:bookmarkEnd w:id="37"/>
    <w:bookmarkEnd w:id="38"/>
    <w:bookmarkEnd w:id="39"/>
    <w:p w14:paraId="34212BB9" w14:textId="77777777" w:rsidR="002C6696" w:rsidRDefault="00985111" w:rsidP="005D06D7">
      <w:pPr>
        <w:pStyle w:val="ListParagraph"/>
        <w:numPr>
          <w:ilvl w:val="0"/>
          <w:numId w:val="43"/>
        </w:numPr>
        <w:rPr>
          <w:rFonts w:ascii="Verdana" w:hAnsi="Verdana" w:cs="OpenSansRegular"/>
          <w:szCs w:val="20"/>
        </w:rPr>
      </w:pPr>
      <w:r>
        <w:rPr>
          <w:rFonts w:ascii="Verdana" w:hAnsi="Verdana" w:cs="OpenSansRegular"/>
          <w:szCs w:val="20"/>
        </w:rPr>
        <w:t>C</w:t>
      </w:r>
      <w:r w:rsidR="002C6696" w:rsidRPr="002C6696">
        <w:rPr>
          <w:rFonts w:ascii="Verdana" w:hAnsi="Verdana" w:cs="OpenSansRegular"/>
          <w:szCs w:val="20"/>
        </w:rPr>
        <w:t xml:space="preserve">onsider the options raised by the roundtable and </w:t>
      </w:r>
      <w:r w:rsidR="009A00F3" w:rsidRPr="002C6696">
        <w:rPr>
          <w:rFonts w:ascii="Verdana" w:hAnsi="Verdana" w:cs="OpenSansRegular"/>
          <w:szCs w:val="20"/>
        </w:rPr>
        <w:t>provide a</w:t>
      </w:r>
      <w:r w:rsidR="002C6696" w:rsidRPr="002C6696">
        <w:rPr>
          <w:rFonts w:ascii="Verdana" w:hAnsi="Verdana" w:cs="OpenSansRegular"/>
          <w:szCs w:val="20"/>
        </w:rPr>
        <w:t xml:space="preserve"> brief evaluation</w:t>
      </w:r>
      <w:r w:rsidR="009A00F3" w:rsidRPr="002C6696">
        <w:rPr>
          <w:rFonts w:ascii="Verdana" w:hAnsi="Verdana" w:cs="OpenSansRegular"/>
          <w:szCs w:val="20"/>
        </w:rPr>
        <w:t xml:space="preserve"> report to the FRSC and the Australia and New Zealand Ministerial Forum on Food Regulation</w:t>
      </w:r>
      <w:r w:rsidR="002C6696" w:rsidRPr="002C6696">
        <w:rPr>
          <w:rFonts w:ascii="Verdana" w:hAnsi="Verdana" w:cs="OpenSansRegular"/>
          <w:szCs w:val="20"/>
        </w:rPr>
        <w:t xml:space="preserve"> including a recommended</w:t>
      </w:r>
      <w:r w:rsidR="009A00F3" w:rsidRPr="002C6696">
        <w:rPr>
          <w:rFonts w:ascii="Verdana" w:hAnsi="Verdana" w:cs="OpenSansRegular"/>
          <w:szCs w:val="20"/>
        </w:rPr>
        <w:t xml:space="preserve"> Action Plan for </w:t>
      </w:r>
      <w:r w:rsidR="002C6696">
        <w:rPr>
          <w:rFonts w:ascii="Verdana" w:hAnsi="Verdana" w:cs="OpenSansRegular"/>
          <w:szCs w:val="20"/>
        </w:rPr>
        <w:t>consideration by t</w:t>
      </w:r>
      <w:r w:rsidR="002C6696" w:rsidRPr="002C6696">
        <w:rPr>
          <w:rFonts w:ascii="Verdana" w:hAnsi="Verdana" w:cs="OpenSansRegular"/>
          <w:szCs w:val="20"/>
        </w:rPr>
        <w:t xml:space="preserve">he </w:t>
      </w:r>
      <w:r w:rsidR="00903D59">
        <w:rPr>
          <w:rFonts w:ascii="Verdana" w:hAnsi="Verdana" w:cs="OpenSansRegular"/>
          <w:szCs w:val="20"/>
        </w:rPr>
        <w:t xml:space="preserve">Australian Government </w:t>
      </w:r>
      <w:r w:rsidR="002C6696" w:rsidRPr="002C6696">
        <w:rPr>
          <w:rFonts w:ascii="Verdana" w:hAnsi="Verdana" w:cs="OpenSansRegular"/>
          <w:szCs w:val="20"/>
        </w:rPr>
        <w:t>Minister for Health</w:t>
      </w:r>
      <w:r w:rsidR="002C6696">
        <w:rPr>
          <w:rFonts w:ascii="Verdana" w:hAnsi="Verdana" w:cs="OpenSansRegular"/>
          <w:szCs w:val="20"/>
        </w:rPr>
        <w:t>.</w:t>
      </w:r>
    </w:p>
    <w:p w14:paraId="77972E5F" w14:textId="77777777" w:rsidR="00985111" w:rsidRDefault="00985111" w:rsidP="00985111">
      <w:pPr>
        <w:pStyle w:val="ListParagraph"/>
        <w:rPr>
          <w:rFonts w:ascii="Verdana" w:hAnsi="Verdana" w:cs="OpenSansRegular"/>
          <w:szCs w:val="20"/>
        </w:rPr>
      </w:pPr>
    </w:p>
    <w:p w14:paraId="7DDAEE5D" w14:textId="77777777" w:rsidR="002C6696" w:rsidRDefault="002C6696" w:rsidP="005D06D7">
      <w:pPr>
        <w:pStyle w:val="ListParagraph"/>
        <w:numPr>
          <w:ilvl w:val="0"/>
          <w:numId w:val="43"/>
        </w:numPr>
        <w:rPr>
          <w:rFonts w:ascii="Verdana" w:hAnsi="Verdana" w:cs="OpenSansRegular"/>
          <w:szCs w:val="20"/>
        </w:rPr>
      </w:pPr>
      <w:r>
        <w:rPr>
          <w:rFonts w:ascii="Verdana" w:hAnsi="Verdana" w:cs="OpenSansRegular"/>
          <w:szCs w:val="20"/>
        </w:rPr>
        <w:t>Develop a stakeholder engagement plan to ensure that industry, consumers, public health organisations and regulators have reasonable opportunity to continue contributing to the development of options to improve consumer safety</w:t>
      </w:r>
      <w:r w:rsidR="00985111">
        <w:rPr>
          <w:rFonts w:ascii="Verdana" w:hAnsi="Verdana" w:cs="OpenSansRegular"/>
          <w:szCs w:val="20"/>
        </w:rPr>
        <w:t>.</w:t>
      </w:r>
    </w:p>
    <w:p w14:paraId="52F76FBA" w14:textId="77777777" w:rsidR="00985111" w:rsidRDefault="00985111" w:rsidP="00985111">
      <w:pPr>
        <w:pStyle w:val="ListParagraph"/>
        <w:rPr>
          <w:rFonts w:ascii="Verdana" w:hAnsi="Verdana" w:cs="OpenSansRegular"/>
          <w:szCs w:val="20"/>
        </w:rPr>
      </w:pPr>
    </w:p>
    <w:p w14:paraId="79861BD7" w14:textId="77777777" w:rsidR="008013FD" w:rsidRPr="002C6696" w:rsidRDefault="002C6696" w:rsidP="005C3EBA">
      <w:pPr>
        <w:pStyle w:val="ListParagraph"/>
        <w:numPr>
          <w:ilvl w:val="0"/>
          <w:numId w:val="43"/>
        </w:numPr>
        <w:rPr>
          <w:rFonts w:ascii="Verdana" w:hAnsi="Verdana" w:cs="OpenSansRegular"/>
          <w:szCs w:val="20"/>
        </w:rPr>
        <w:sectPr w:rsidR="008013FD" w:rsidRPr="002C6696" w:rsidSect="001F7223">
          <w:type w:val="continuous"/>
          <w:pgSz w:w="11906" w:h="16838"/>
          <w:pgMar w:top="1440" w:right="1440" w:bottom="1440" w:left="1440" w:header="708" w:footer="708" w:gutter="0"/>
          <w:cols w:space="708"/>
          <w:docGrid w:linePitch="360"/>
        </w:sectPr>
      </w:pPr>
      <w:r w:rsidRPr="002C6696">
        <w:rPr>
          <w:rFonts w:ascii="Verdana" w:hAnsi="Verdana" w:cs="OpenSansRegular"/>
          <w:szCs w:val="20"/>
        </w:rPr>
        <w:t xml:space="preserve">Consider convening a further roundtable/s </w:t>
      </w:r>
      <w:proofErr w:type="gramStart"/>
      <w:r>
        <w:rPr>
          <w:rFonts w:ascii="Verdana" w:hAnsi="Verdana" w:cs="OpenSansRegular"/>
          <w:szCs w:val="20"/>
        </w:rPr>
        <w:t>a</w:t>
      </w:r>
      <w:r w:rsidR="009A00F3" w:rsidRPr="002C6696">
        <w:rPr>
          <w:rFonts w:ascii="Verdana" w:hAnsi="Verdana" w:cs="OpenSansRegular"/>
          <w:szCs w:val="20"/>
        </w:rPr>
        <w:t>t a later date</w:t>
      </w:r>
      <w:proofErr w:type="gramEnd"/>
      <w:r w:rsidR="009A00F3" w:rsidRPr="002C6696">
        <w:rPr>
          <w:rFonts w:ascii="Verdana" w:hAnsi="Verdana" w:cs="OpenSansRegular"/>
          <w:szCs w:val="20"/>
        </w:rPr>
        <w:t xml:space="preserve"> to discuss how to progress the potential actions.</w:t>
      </w:r>
      <w:bookmarkEnd w:id="40"/>
      <w:bookmarkEnd w:id="41"/>
      <w:bookmarkEnd w:id="42"/>
      <w:bookmarkEnd w:id="43"/>
      <w:bookmarkEnd w:id="44"/>
    </w:p>
    <w:p w14:paraId="3D710B6C" w14:textId="77777777" w:rsidR="00080B10" w:rsidRPr="00080B10" w:rsidRDefault="006F03F1" w:rsidP="00080B10">
      <w:bookmarkStart w:id="45" w:name="LegalLogo"/>
      <w:bookmarkStart w:id="46" w:name="_Toc503543403"/>
      <w:r w:rsidRPr="00ED06BD">
        <w:rPr>
          <w:rFonts w:ascii="Verdana" w:hAnsi="Verdana" w:cs="OpenSansRegular"/>
          <w:noProof/>
          <w:lang w:eastAsia="en-AU"/>
        </w:rPr>
        <w:lastRenderedPageBreak/>
        <w:drawing>
          <wp:inline distT="0" distB="0" distL="0" distR="0" wp14:anchorId="0E967226" wp14:editId="3CA5CED5">
            <wp:extent cx="2085975" cy="400050"/>
            <wp:effectExtent l="0" t="0" r="0" b="0"/>
            <wp:docPr id="1011462012" name="LegalLogo" descr="Deloitte logo. "/>
            <wp:cNvGraphicFramePr/>
            <a:graphic xmlns:a="http://schemas.openxmlformats.org/drawingml/2006/main">
              <a:graphicData uri="http://schemas.openxmlformats.org/drawingml/2006/picture">
                <pic:pic xmlns:pic="http://schemas.openxmlformats.org/drawingml/2006/picture">
                  <pic:nvPicPr>
                    <pic:cNvPr id="1011462012" name="LegalLogo"/>
                    <pic:cNvPicPr/>
                  </pic:nvPicPr>
                  <pic:blipFill rotWithShape="1">
                    <a:blip r:embed="rId25"/>
                    <a:srcRect t="1" b="54886"/>
                    <a:stretch/>
                  </pic:blipFill>
                  <pic:spPr bwMode="auto">
                    <a:xfrm>
                      <a:off x="0" y="0"/>
                      <a:ext cx="2086123" cy="400078"/>
                    </a:xfrm>
                    <a:prstGeom prst="rect">
                      <a:avLst/>
                    </a:prstGeom>
                    <a:ln>
                      <a:noFill/>
                    </a:ln>
                    <a:extLst>
                      <a:ext uri="{53640926-AAD7-44D8-BBD7-CCE9431645EC}">
                        <a14:shadowObscured xmlns:a14="http://schemas.microsoft.com/office/drawing/2010/main"/>
                      </a:ext>
                    </a:extLst>
                  </pic:spPr>
                </pic:pic>
              </a:graphicData>
            </a:graphic>
          </wp:inline>
        </w:drawing>
      </w:r>
      <w:bookmarkEnd w:id="45"/>
    </w:p>
    <w:p w14:paraId="34CFFD6F" w14:textId="77777777" w:rsidR="004A54EC" w:rsidRPr="006F03F1" w:rsidRDefault="006F03F1" w:rsidP="006F03F1">
      <w:pPr>
        <w:pStyle w:val="Legaltext"/>
        <w:spacing w:after="120"/>
        <w:rPr>
          <w:rFonts w:ascii="Verdana" w:hAnsi="Verdana" w:cs="OpenSansRegular"/>
        </w:rPr>
      </w:pPr>
      <w:r w:rsidRPr="00ED06BD">
        <w:rPr>
          <w:rFonts w:ascii="Verdana" w:hAnsi="Verdana" w:cs="OpenSansRegular"/>
          <w:bCs/>
          <w:szCs w:val="22"/>
        </w:rPr>
        <w:t>This report is prepared solely for the internal use of the Department of Health. This report is not intended to and should not be used or relied upon by anyone else and we accept no duty of care to any other person or entity. The report has been prepared for the purpose set out in our work order dated 30 April 2018. This report was prepared solely as an external review and does not provide any assurance.  You should not refer to or use our name or the advice for any other purpose.</w:t>
      </w:r>
    </w:p>
    <w:bookmarkEnd w:id="46"/>
    <w:p w14:paraId="2A3A64F1" w14:textId="77777777" w:rsidR="006F03F1" w:rsidRDefault="006F03F1" w:rsidP="006F03F1">
      <w:pPr>
        <w:pStyle w:val="Bodycopy"/>
        <w:spacing w:after="120"/>
        <w:rPr>
          <w:rFonts w:ascii="Verdana" w:eastAsiaTheme="minorHAnsi" w:hAnsi="Verdana" w:cs="OpenSansRegular"/>
          <w:bCs/>
          <w:sz w:val="14"/>
          <w:szCs w:val="22"/>
        </w:rPr>
      </w:pPr>
      <w:r w:rsidRPr="006F03F1">
        <w:rPr>
          <w:rFonts w:ascii="Verdana" w:eastAsiaTheme="minorHAnsi" w:hAnsi="Verdana" w:cs="OpenSansRegular"/>
          <w:bCs/>
          <w:sz w:val="14"/>
          <w:szCs w:val="22"/>
        </w:rPr>
        <w:t xml:space="preserve">Deloitte refers to one or more of Deloitte </w:t>
      </w:r>
      <w:proofErr w:type="spellStart"/>
      <w:r w:rsidRPr="006F03F1">
        <w:rPr>
          <w:rFonts w:ascii="Verdana" w:eastAsiaTheme="minorHAnsi" w:hAnsi="Verdana" w:cs="OpenSansRegular"/>
          <w:bCs/>
          <w:sz w:val="14"/>
          <w:szCs w:val="22"/>
        </w:rPr>
        <w:t>Touche</w:t>
      </w:r>
      <w:proofErr w:type="spellEnd"/>
      <w:r w:rsidRPr="006F03F1">
        <w:rPr>
          <w:rFonts w:ascii="Verdana" w:eastAsiaTheme="minorHAnsi" w:hAnsi="Verdana" w:cs="OpenSansRegular"/>
          <w:bCs/>
          <w:sz w:val="14"/>
          <w:szCs w:val="22"/>
        </w:rPr>
        <w:t xml:space="preserve"> Tohmatsu Limited, a UK private company limited by guarantee, and its network of member firms, each of which is a legally separate and independent entity. Please see www.deloitte.com/au/about for a detailed description of the legal structure of Deloitte </w:t>
      </w:r>
      <w:proofErr w:type="spellStart"/>
      <w:r w:rsidRPr="006F03F1">
        <w:rPr>
          <w:rFonts w:ascii="Verdana" w:eastAsiaTheme="minorHAnsi" w:hAnsi="Verdana" w:cs="OpenSansRegular"/>
          <w:bCs/>
          <w:sz w:val="14"/>
          <w:szCs w:val="22"/>
        </w:rPr>
        <w:t>Touche</w:t>
      </w:r>
      <w:proofErr w:type="spellEnd"/>
      <w:r w:rsidRPr="006F03F1">
        <w:rPr>
          <w:rFonts w:ascii="Verdana" w:eastAsiaTheme="minorHAnsi" w:hAnsi="Verdana" w:cs="OpenSansRegular"/>
          <w:bCs/>
          <w:sz w:val="14"/>
          <w:szCs w:val="22"/>
        </w:rPr>
        <w:t xml:space="preserve"> Tohmatsu L</w:t>
      </w:r>
      <w:r>
        <w:rPr>
          <w:rFonts w:ascii="Verdana" w:eastAsiaTheme="minorHAnsi" w:hAnsi="Verdana" w:cs="OpenSansRegular"/>
          <w:bCs/>
          <w:sz w:val="14"/>
          <w:szCs w:val="22"/>
        </w:rPr>
        <w:t>imited and its member firms.</w:t>
      </w:r>
    </w:p>
    <w:p w14:paraId="1D3F2E52" w14:textId="77777777" w:rsidR="006F03F1" w:rsidRDefault="006F03F1" w:rsidP="006F03F1">
      <w:pPr>
        <w:pStyle w:val="Bodycopy"/>
        <w:spacing w:after="120"/>
        <w:rPr>
          <w:rFonts w:ascii="Verdana" w:eastAsiaTheme="minorHAnsi" w:hAnsi="Verdana" w:cs="OpenSansRegular"/>
          <w:bCs/>
          <w:sz w:val="14"/>
          <w:szCs w:val="22"/>
        </w:rPr>
      </w:pPr>
      <w:r w:rsidRPr="006F03F1">
        <w:rPr>
          <w:rFonts w:ascii="Verdana" w:eastAsiaTheme="minorHAnsi" w:hAnsi="Verdana" w:cs="OpenSansRegular"/>
          <w:bCs/>
          <w:sz w:val="14"/>
          <w:szCs w:val="22"/>
        </w:rPr>
        <w:t>The entity named herein is a legally separate and independent entity. In providing this document, the author only acts in the named capacity and does not act in any other capacity.  Nothing in this document, nor any related attachments or communications or services, have any capacity to bind any other entity under the ‘Deloitte’ network of member firms (including</w:t>
      </w:r>
      <w:r>
        <w:rPr>
          <w:rFonts w:ascii="Verdana" w:eastAsiaTheme="minorHAnsi" w:hAnsi="Verdana" w:cs="OpenSansRegular"/>
          <w:bCs/>
          <w:sz w:val="14"/>
          <w:szCs w:val="22"/>
        </w:rPr>
        <w:t xml:space="preserve"> those operating in Australia).</w:t>
      </w:r>
    </w:p>
    <w:p w14:paraId="1BE0BF2E" w14:textId="77777777" w:rsidR="006F03F1" w:rsidRDefault="006F03F1" w:rsidP="006F03F1">
      <w:pPr>
        <w:pStyle w:val="Bodycopy"/>
        <w:spacing w:after="120"/>
        <w:rPr>
          <w:rFonts w:ascii="Verdana" w:eastAsiaTheme="minorHAnsi" w:hAnsi="Verdana" w:cs="OpenSansRegular"/>
          <w:bCs/>
          <w:sz w:val="14"/>
          <w:szCs w:val="22"/>
        </w:rPr>
      </w:pPr>
      <w:r>
        <w:rPr>
          <w:rFonts w:ascii="Verdana" w:eastAsiaTheme="minorHAnsi" w:hAnsi="Verdana" w:cs="OpenSansRegular"/>
          <w:bCs/>
          <w:sz w:val="14"/>
          <w:szCs w:val="22"/>
        </w:rPr>
        <w:t>About Deloitte</w:t>
      </w:r>
    </w:p>
    <w:p w14:paraId="181314D1" w14:textId="77777777" w:rsidR="006F03F1" w:rsidRDefault="006F03F1" w:rsidP="006F03F1">
      <w:pPr>
        <w:pStyle w:val="Bodycopy"/>
        <w:spacing w:after="120"/>
        <w:rPr>
          <w:rFonts w:ascii="Verdana" w:eastAsiaTheme="minorHAnsi" w:hAnsi="Verdana" w:cs="OpenSansRegular"/>
          <w:bCs/>
          <w:sz w:val="14"/>
          <w:szCs w:val="22"/>
        </w:rPr>
      </w:pPr>
      <w:r w:rsidRPr="006F03F1">
        <w:rPr>
          <w:rFonts w:ascii="Verdana" w:eastAsiaTheme="minorHAnsi" w:hAnsi="Verdana" w:cs="OpenSansRegular"/>
          <w:bCs/>
          <w:sz w:val="14"/>
          <w:szCs w:val="22"/>
        </w:rPr>
        <w:t>Deloitte provides audit, tax, consulting, and financial advisory services to public and private clients spanning multiple industries. With a globally connected network of member firms in more than 150 countries, Deloitte brings world-class capabilities and high-quality service to clients, delivering the insights they need to address their most complex business challenges. Deloitte's approximately 200,000 professionals are committed to becom</w:t>
      </w:r>
      <w:r>
        <w:rPr>
          <w:rFonts w:ascii="Verdana" w:eastAsiaTheme="minorHAnsi" w:hAnsi="Verdana" w:cs="OpenSansRegular"/>
          <w:bCs/>
          <w:sz w:val="14"/>
          <w:szCs w:val="22"/>
        </w:rPr>
        <w:t>ing the standard of excellence.</w:t>
      </w:r>
    </w:p>
    <w:p w14:paraId="2F1245E2" w14:textId="77777777" w:rsidR="006F03F1" w:rsidRDefault="006F03F1" w:rsidP="006F03F1">
      <w:pPr>
        <w:pStyle w:val="Bodycopy"/>
        <w:spacing w:after="120"/>
        <w:rPr>
          <w:rFonts w:ascii="Verdana" w:eastAsiaTheme="minorHAnsi" w:hAnsi="Verdana" w:cs="OpenSansRegular"/>
          <w:bCs/>
          <w:sz w:val="14"/>
          <w:szCs w:val="22"/>
        </w:rPr>
      </w:pPr>
      <w:r>
        <w:rPr>
          <w:rFonts w:ascii="Verdana" w:eastAsiaTheme="minorHAnsi" w:hAnsi="Verdana" w:cs="OpenSansRegular"/>
          <w:bCs/>
          <w:sz w:val="14"/>
          <w:szCs w:val="22"/>
        </w:rPr>
        <w:t>About Deloitte Australia</w:t>
      </w:r>
    </w:p>
    <w:p w14:paraId="6B0FAC2A" w14:textId="77777777" w:rsidR="006F03F1" w:rsidRDefault="006F03F1" w:rsidP="006F03F1">
      <w:pPr>
        <w:pStyle w:val="Bodycopy"/>
        <w:spacing w:after="120"/>
        <w:rPr>
          <w:rFonts w:ascii="Verdana" w:eastAsiaTheme="minorHAnsi" w:hAnsi="Verdana" w:cs="OpenSansRegular"/>
          <w:bCs/>
          <w:sz w:val="14"/>
          <w:szCs w:val="22"/>
        </w:rPr>
      </w:pPr>
      <w:r w:rsidRPr="006F03F1">
        <w:rPr>
          <w:rFonts w:ascii="Verdana" w:eastAsiaTheme="minorHAnsi" w:hAnsi="Verdana" w:cs="OpenSansRegular"/>
          <w:bCs/>
          <w:sz w:val="14"/>
          <w:szCs w:val="22"/>
        </w:rPr>
        <w:t xml:space="preserve">In Australia, the member firm is the Australian partnership of Deloitte </w:t>
      </w:r>
      <w:proofErr w:type="spellStart"/>
      <w:r w:rsidRPr="006F03F1">
        <w:rPr>
          <w:rFonts w:ascii="Verdana" w:eastAsiaTheme="minorHAnsi" w:hAnsi="Verdana" w:cs="OpenSansRegular"/>
          <w:bCs/>
          <w:sz w:val="14"/>
          <w:szCs w:val="22"/>
        </w:rPr>
        <w:t>Touche</w:t>
      </w:r>
      <w:proofErr w:type="spellEnd"/>
      <w:r w:rsidRPr="006F03F1">
        <w:rPr>
          <w:rFonts w:ascii="Verdana" w:eastAsiaTheme="minorHAnsi" w:hAnsi="Verdana" w:cs="OpenSansRegular"/>
          <w:bCs/>
          <w:sz w:val="14"/>
          <w:szCs w:val="22"/>
        </w:rPr>
        <w:t xml:space="preserve"> Tohmatsu. As one of Australia’s leading professional services firms. Deloitte </w:t>
      </w:r>
      <w:proofErr w:type="spellStart"/>
      <w:r w:rsidRPr="006F03F1">
        <w:rPr>
          <w:rFonts w:ascii="Verdana" w:eastAsiaTheme="minorHAnsi" w:hAnsi="Verdana" w:cs="OpenSansRegular"/>
          <w:bCs/>
          <w:sz w:val="14"/>
          <w:szCs w:val="22"/>
        </w:rPr>
        <w:t>Touche</w:t>
      </w:r>
      <w:proofErr w:type="spellEnd"/>
      <w:r w:rsidRPr="006F03F1">
        <w:rPr>
          <w:rFonts w:ascii="Verdana" w:eastAsiaTheme="minorHAnsi" w:hAnsi="Verdana" w:cs="OpenSansRegular"/>
          <w:bCs/>
          <w:sz w:val="14"/>
          <w:szCs w:val="22"/>
        </w:rPr>
        <w:t xml:space="preserve"> Tohmatsu and its affiliates provide audit, tax, consulting, and financial advisory services through approximately 6000 people across the country. Focused on the creation of value and </w:t>
      </w:r>
      <w:proofErr w:type="gramStart"/>
      <w:r w:rsidRPr="006F03F1">
        <w:rPr>
          <w:rFonts w:ascii="Verdana" w:eastAsiaTheme="minorHAnsi" w:hAnsi="Verdana" w:cs="OpenSansRegular"/>
          <w:bCs/>
          <w:sz w:val="14"/>
          <w:szCs w:val="22"/>
        </w:rPr>
        <w:t>growth, and</w:t>
      </w:r>
      <w:proofErr w:type="gramEnd"/>
      <w:r w:rsidRPr="006F03F1">
        <w:rPr>
          <w:rFonts w:ascii="Verdana" w:eastAsiaTheme="minorHAnsi" w:hAnsi="Verdana" w:cs="OpenSansRegular"/>
          <w:bCs/>
          <w:sz w:val="14"/>
          <w:szCs w:val="22"/>
        </w:rPr>
        <w:t xml:space="preserve"> known as an employer of choice for innovative human resources programs, we are dedicated to helping our clients and our people excel. For more information, please visit our we</w:t>
      </w:r>
      <w:r>
        <w:rPr>
          <w:rFonts w:ascii="Verdana" w:eastAsiaTheme="minorHAnsi" w:hAnsi="Verdana" w:cs="OpenSansRegular"/>
          <w:bCs/>
          <w:sz w:val="14"/>
          <w:szCs w:val="22"/>
        </w:rPr>
        <w:t xml:space="preserve">b site at </w:t>
      </w:r>
      <w:hyperlink r:id="rId26" w:history="1">
        <w:r w:rsidRPr="008D37C7">
          <w:rPr>
            <w:rStyle w:val="Hyperlink"/>
            <w:rFonts w:ascii="Verdana" w:eastAsiaTheme="minorHAnsi" w:hAnsi="Verdana" w:cs="OpenSansRegular"/>
            <w:bCs/>
            <w:sz w:val="14"/>
            <w:szCs w:val="22"/>
          </w:rPr>
          <w:t>www.deloitte.com.au</w:t>
        </w:r>
      </w:hyperlink>
      <w:r>
        <w:rPr>
          <w:rFonts w:ascii="Verdana" w:eastAsiaTheme="minorHAnsi" w:hAnsi="Verdana" w:cs="OpenSansRegular"/>
          <w:bCs/>
          <w:sz w:val="14"/>
          <w:szCs w:val="22"/>
        </w:rPr>
        <w:t>.</w:t>
      </w:r>
    </w:p>
    <w:p w14:paraId="534CC8E2" w14:textId="77777777" w:rsidR="00B16FBC" w:rsidRPr="006F03F1" w:rsidRDefault="006F03F1" w:rsidP="006F03F1">
      <w:pPr>
        <w:pStyle w:val="Bodycopy"/>
        <w:spacing w:after="120"/>
        <w:rPr>
          <w:rFonts w:ascii="Verdana" w:eastAsiaTheme="minorHAnsi" w:hAnsi="Verdana" w:cs="OpenSansRegular"/>
          <w:bCs/>
          <w:sz w:val="14"/>
          <w:szCs w:val="22"/>
        </w:rPr>
      </w:pPr>
      <w:r w:rsidRPr="006F03F1">
        <w:rPr>
          <w:rFonts w:ascii="Verdana" w:eastAsiaTheme="minorHAnsi" w:hAnsi="Verdana" w:cs="OpenSansRegular"/>
          <w:bCs/>
          <w:sz w:val="14"/>
          <w:szCs w:val="22"/>
        </w:rPr>
        <w:t xml:space="preserve">Member of Deloitte </w:t>
      </w:r>
      <w:proofErr w:type="spellStart"/>
      <w:r w:rsidRPr="006F03F1">
        <w:rPr>
          <w:rFonts w:ascii="Verdana" w:eastAsiaTheme="minorHAnsi" w:hAnsi="Verdana" w:cs="OpenSansRegular"/>
          <w:bCs/>
          <w:sz w:val="14"/>
          <w:szCs w:val="22"/>
        </w:rPr>
        <w:t>Touche</w:t>
      </w:r>
      <w:proofErr w:type="spellEnd"/>
      <w:r w:rsidRPr="006F03F1">
        <w:rPr>
          <w:rFonts w:ascii="Verdana" w:eastAsiaTheme="minorHAnsi" w:hAnsi="Verdana" w:cs="OpenSansRegular"/>
          <w:bCs/>
          <w:sz w:val="14"/>
          <w:szCs w:val="22"/>
        </w:rPr>
        <w:t xml:space="preserve"> Tohmatsu Limited</w:t>
      </w:r>
    </w:p>
    <w:sectPr w:rsidR="00B16FBC" w:rsidRPr="006F03F1" w:rsidSect="00335760">
      <w:pgSz w:w="11907" w:h="16840" w:code="9"/>
      <w:pgMar w:top="1440" w:right="1440" w:bottom="1440"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02939" w14:textId="77777777" w:rsidR="00AF4A89" w:rsidRDefault="00AF4A89">
      <w:pPr>
        <w:spacing w:after="0" w:line="240" w:lineRule="auto"/>
      </w:pPr>
      <w:r>
        <w:separator/>
      </w:r>
    </w:p>
  </w:endnote>
  <w:endnote w:type="continuationSeparator" w:id="0">
    <w:p w14:paraId="682358C5" w14:textId="77777777" w:rsidR="00AF4A89" w:rsidRDefault="00AF4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SansRegular">
    <w:altName w:val="Tahoma"/>
    <w:charset w:val="00"/>
    <w:family w:val="swiss"/>
    <w:pitch w:val="variable"/>
    <w:sig w:usb0="00000001"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OpenSansRegular" w:hAnsi="OpenSansRegular" w:cs="OpenSansRegular"/>
        <w:sz w:val="16"/>
        <w:szCs w:val="16"/>
      </w:rPr>
      <w:id w:val="432406941"/>
      <w:docPartObj>
        <w:docPartGallery w:val="Page Numbers (Bottom of Page)"/>
        <w:docPartUnique/>
      </w:docPartObj>
    </w:sdtPr>
    <w:sdtEndPr>
      <w:rPr>
        <w:noProof/>
      </w:rPr>
    </w:sdtEndPr>
    <w:sdtContent>
      <w:p w14:paraId="4D1E3FB8" w14:textId="77777777" w:rsidR="00AF4A89" w:rsidRPr="0012464B" w:rsidRDefault="00AF4A89" w:rsidP="0012464B">
        <w:pPr>
          <w:pStyle w:val="Footer"/>
          <w:rPr>
            <w:rFonts w:ascii="OpenSansRegular" w:hAnsi="OpenSansRegular" w:cs="OpenSansRegular"/>
            <w:sz w:val="16"/>
            <w:szCs w:val="16"/>
          </w:rPr>
        </w:pPr>
        <w:r w:rsidRPr="0012464B">
          <w:rPr>
            <w:rFonts w:ascii="Verdana" w:hAnsi="Verdana" w:cs="OpenSansRegular"/>
            <w:sz w:val="16"/>
            <w:szCs w:val="16"/>
          </w:rPr>
          <w:t>Liability limited by a scheme approved under Professional Stand</w:t>
        </w:r>
        <w:r>
          <w:rPr>
            <w:rFonts w:ascii="Verdana" w:hAnsi="Verdana" w:cs="OpenSansRegular"/>
            <w:sz w:val="16"/>
            <w:szCs w:val="16"/>
          </w:rPr>
          <w:t>ards Legislation.</w:t>
        </w:r>
        <w:r w:rsidRPr="0012464B">
          <w:rPr>
            <w:rFonts w:ascii="Verdana" w:hAnsi="Verdana" w:cs="OpenSansRegular"/>
            <w:sz w:val="16"/>
            <w:szCs w:val="16"/>
          </w:rPr>
          <w:br/>
          <w:t xml:space="preserve">© 2018 Deloitte </w:t>
        </w:r>
        <w:proofErr w:type="spellStart"/>
        <w:r w:rsidRPr="0012464B">
          <w:rPr>
            <w:rFonts w:ascii="Verdana" w:hAnsi="Verdana" w:cs="OpenSansRegular"/>
            <w:sz w:val="16"/>
            <w:szCs w:val="16"/>
          </w:rPr>
          <w:t>Touche</w:t>
        </w:r>
        <w:proofErr w:type="spellEnd"/>
        <w:r w:rsidRPr="0012464B">
          <w:rPr>
            <w:rFonts w:ascii="Verdana" w:hAnsi="Verdana" w:cs="OpenSansRegular"/>
            <w:sz w:val="16"/>
            <w:szCs w:val="16"/>
          </w:rPr>
          <w:t xml:space="preserve"> Tohmatsu</w:t>
        </w:r>
        <w:r w:rsidRPr="0012464B">
          <w:rPr>
            <w:rFonts w:ascii="OpenSansRegular" w:hAnsi="OpenSansRegular" w:cs="OpenSansRegular"/>
            <w:sz w:val="16"/>
            <w:szCs w:val="16"/>
          </w:rPr>
          <w:t xml:space="preserve"> </w:t>
        </w:r>
        <w:r>
          <w:rPr>
            <w:rFonts w:ascii="OpenSansRegular" w:hAnsi="OpenSansRegular" w:cs="OpenSansRegular"/>
            <w:sz w:val="16"/>
            <w:szCs w:val="16"/>
          </w:rPr>
          <w:tab/>
        </w:r>
        <w:r>
          <w:rPr>
            <w:rFonts w:ascii="OpenSansRegular" w:hAnsi="OpenSansRegular" w:cs="OpenSansRegular"/>
            <w:sz w:val="16"/>
            <w:szCs w:val="16"/>
          </w:rPr>
          <w:tab/>
        </w:r>
        <w:r w:rsidRPr="0012464B">
          <w:rPr>
            <w:rFonts w:ascii="OpenSansRegular" w:hAnsi="OpenSansRegular" w:cs="OpenSansRegular"/>
            <w:sz w:val="16"/>
            <w:szCs w:val="16"/>
          </w:rPr>
          <w:fldChar w:fldCharType="begin"/>
        </w:r>
        <w:r w:rsidRPr="0012464B">
          <w:rPr>
            <w:rFonts w:ascii="OpenSansRegular" w:hAnsi="OpenSansRegular" w:cs="OpenSansRegular"/>
            <w:sz w:val="16"/>
            <w:szCs w:val="16"/>
          </w:rPr>
          <w:instrText xml:space="preserve"> PAGE   \* MERGEFORMAT </w:instrText>
        </w:r>
        <w:r w:rsidRPr="0012464B">
          <w:rPr>
            <w:rFonts w:ascii="OpenSansRegular" w:hAnsi="OpenSansRegular" w:cs="OpenSansRegular"/>
            <w:sz w:val="16"/>
            <w:szCs w:val="16"/>
          </w:rPr>
          <w:fldChar w:fldCharType="separate"/>
        </w:r>
        <w:r w:rsidR="006F03F1">
          <w:rPr>
            <w:rFonts w:ascii="OpenSansRegular" w:hAnsi="OpenSansRegular" w:cs="OpenSansRegular"/>
            <w:noProof/>
            <w:sz w:val="16"/>
            <w:szCs w:val="16"/>
          </w:rPr>
          <w:t>2</w:t>
        </w:r>
        <w:r w:rsidRPr="0012464B">
          <w:rPr>
            <w:rFonts w:ascii="OpenSansRegular" w:hAnsi="OpenSansRegular" w:cs="OpenSansRegular"/>
            <w:noProof/>
            <w:sz w:val="16"/>
            <w:szCs w:val="16"/>
          </w:rPr>
          <w:fldChar w:fldCharType="end"/>
        </w:r>
      </w:p>
    </w:sdtContent>
  </w:sdt>
  <w:p w14:paraId="1C7F651D" w14:textId="77777777" w:rsidR="00AF4A89" w:rsidRDefault="00AF4A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C8F9B" w14:textId="77777777" w:rsidR="00AF4A89" w:rsidRDefault="00AF4A89">
      <w:pPr>
        <w:spacing w:after="0" w:line="240" w:lineRule="auto"/>
      </w:pPr>
      <w:r>
        <w:separator/>
      </w:r>
    </w:p>
  </w:footnote>
  <w:footnote w:type="continuationSeparator" w:id="0">
    <w:p w14:paraId="33E8A6CA" w14:textId="77777777" w:rsidR="00AF4A89" w:rsidRDefault="00AF4A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9D02" w14:textId="77777777" w:rsidR="00AF4A89" w:rsidRDefault="00AF4A8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E7183" w14:textId="77777777" w:rsidR="00AF4A89" w:rsidRDefault="00AF4A8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BED8E" w14:textId="3F129CE1" w:rsidR="00AF4A89" w:rsidRPr="00E55828" w:rsidRDefault="00AF4A89" w:rsidP="00873D53">
    <w:pPr>
      <w:pStyle w:val="Header"/>
      <w:jc w:val="right"/>
      <w:rPr>
        <w:sz w:val="18"/>
        <w:szCs w:val="18"/>
      </w:rPr>
    </w:pPr>
    <w:r>
      <w:rPr>
        <w:sz w:val="18"/>
        <w:szCs w:val="18"/>
      </w:rPr>
      <w:fldChar w:fldCharType="begin"/>
    </w:r>
    <w:r>
      <w:rPr>
        <w:sz w:val="18"/>
        <w:szCs w:val="18"/>
      </w:rPr>
      <w:instrText xml:space="preserve"> STYLEREF  "Heading 1"  \* MERGEFORMAT </w:instrText>
    </w:r>
    <w:r>
      <w:rPr>
        <w:sz w:val="18"/>
        <w:szCs w:val="18"/>
      </w:rPr>
      <w:fldChar w:fldCharType="separate"/>
    </w:r>
    <w:r w:rsidR="008D7ECA">
      <w:rPr>
        <w:noProof/>
        <w:sz w:val="18"/>
        <w:szCs w:val="18"/>
      </w:rPr>
      <w:t>Next Steps</w:t>
    </w:r>
    <w:r>
      <w:rPr>
        <w:sz w:val="18"/>
        <w:szCs w:val="18"/>
      </w:rPr>
      <w:fldChar w:fldCharType="end"/>
    </w:r>
  </w:p>
  <w:p w14:paraId="0F855B79" w14:textId="77777777" w:rsidR="00AF4A89" w:rsidRDefault="00AF4A8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14F3E" w14:textId="77777777" w:rsidR="00AF4A89" w:rsidRDefault="00AF4A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4611A" w14:textId="77777777" w:rsidR="00AF4A89" w:rsidRDefault="00AF4A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C8C62" w14:textId="77777777" w:rsidR="00AF4A89" w:rsidRDefault="00AF4A8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393DD" w14:textId="77777777" w:rsidR="00AF4A89" w:rsidRDefault="00AF4A8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9C946" w14:textId="66AFE2AC" w:rsidR="00AF4A89" w:rsidRPr="00ED06BD" w:rsidRDefault="00AF4A89" w:rsidP="00873D53">
    <w:pPr>
      <w:pStyle w:val="Header"/>
      <w:jc w:val="right"/>
      <w:rPr>
        <w:rFonts w:ascii="Verdana" w:hAnsi="Verdana"/>
        <w:sz w:val="18"/>
        <w:szCs w:val="18"/>
      </w:rPr>
    </w:pPr>
    <w:r w:rsidRPr="00ED06BD">
      <w:rPr>
        <w:rFonts w:ascii="Verdana" w:hAnsi="Verdana"/>
        <w:sz w:val="18"/>
        <w:szCs w:val="18"/>
      </w:rPr>
      <w:fldChar w:fldCharType="begin"/>
    </w:r>
    <w:r w:rsidRPr="00ED06BD">
      <w:rPr>
        <w:rFonts w:ascii="Verdana" w:hAnsi="Verdana"/>
        <w:sz w:val="18"/>
        <w:szCs w:val="18"/>
      </w:rPr>
      <w:instrText xml:space="preserve"> STYLEREF  "Heading 1"  \* MERGEFORMAT </w:instrText>
    </w:r>
    <w:r w:rsidRPr="00ED06BD">
      <w:rPr>
        <w:rFonts w:ascii="Verdana" w:hAnsi="Verdana"/>
        <w:sz w:val="18"/>
        <w:szCs w:val="18"/>
      </w:rPr>
      <w:fldChar w:fldCharType="separate"/>
    </w:r>
    <w:r w:rsidR="008D7ECA">
      <w:rPr>
        <w:rFonts w:ascii="Verdana" w:hAnsi="Verdana"/>
        <w:noProof/>
        <w:sz w:val="18"/>
        <w:szCs w:val="18"/>
      </w:rPr>
      <w:t>Background</w:t>
    </w:r>
    <w:r w:rsidRPr="00ED06BD">
      <w:rPr>
        <w:rFonts w:ascii="Verdana" w:hAnsi="Verdana"/>
        <w:sz w:val="18"/>
        <w:szCs w:val="18"/>
      </w:rPr>
      <w:fldChar w:fldCharType="end"/>
    </w:r>
  </w:p>
  <w:p w14:paraId="781B7D89" w14:textId="77777777" w:rsidR="00AF4A89" w:rsidRDefault="00AF4A8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997A7" w14:textId="77777777" w:rsidR="00AF4A89" w:rsidRDefault="00AF4A8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CC1A6" w14:textId="612E0D68" w:rsidR="00AF4A89" w:rsidRDefault="0007355C">
    <w:pPr>
      <w:pStyle w:val="Header"/>
    </w:pPr>
    <w:r>
      <w:rPr>
        <w:noProof/>
      </w:rPr>
      <mc:AlternateContent>
        <mc:Choice Requires="wps">
          <w:drawing>
            <wp:anchor distT="0" distB="0" distL="114300" distR="114300" simplePos="0" relativeHeight="251684864" behindDoc="1" locked="0" layoutInCell="0" allowOverlap="1" wp14:anchorId="2DDA59A8" wp14:editId="5D0B74CF">
              <wp:simplePos x="0" y="0"/>
              <wp:positionH relativeFrom="margin">
                <wp:align>center</wp:align>
              </wp:positionH>
              <wp:positionV relativeFrom="margin">
                <wp:align>center</wp:align>
              </wp:positionV>
              <wp:extent cx="5050155" cy="3030220"/>
              <wp:effectExtent l="0" t="1104900" r="0" b="636905"/>
              <wp:wrapNone/>
              <wp:docPr id="5" name="WordArt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04C739" w14:textId="77777777" w:rsidR="0007355C" w:rsidRDefault="0007355C" w:rsidP="0007355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DDA59A8" id="_x0000_t202" coordsize="21600,21600" o:spt="202" path="m,l,21600r21600,l21600,xe">
              <v:stroke joinstyle="miter"/>
              <v:path gradientshapeok="t" o:connecttype="rect"/>
            </v:shapetype>
            <v:shape id="WordArt 29" o:spid="_x0000_s1029" type="#_x0000_t202" alt="&quot;&quot;" style="position:absolute;margin-left:0;margin-top:0;width:397.65pt;height:238.6pt;rotation:-45;z-index:-251631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" o:allowincell="f" filled="f" stroked="f">
              <v:stroke joinstyle="round"/>
              <o:lock v:ext="edit" shapetype="t"/>
              <v:textbox style="mso-fit-shape-to-text:t">
                <w:txbxContent>
                  <w:p w14:paraId="5F04C739" w14:textId="77777777" w:rsidR="0007355C" w:rsidRDefault="0007355C" w:rsidP="0007355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F0E4E" w14:textId="44021160" w:rsidR="00AF4A89" w:rsidRPr="00E55828" w:rsidRDefault="00AF4A89" w:rsidP="00873D53">
    <w:pPr>
      <w:pStyle w:val="Header"/>
      <w:jc w:val="right"/>
      <w:rPr>
        <w:sz w:val="18"/>
        <w:szCs w:val="18"/>
      </w:rPr>
    </w:pPr>
    <w:r>
      <w:rPr>
        <w:sz w:val="18"/>
        <w:szCs w:val="18"/>
      </w:rPr>
      <w:fldChar w:fldCharType="begin"/>
    </w:r>
    <w:r>
      <w:rPr>
        <w:sz w:val="18"/>
        <w:szCs w:val="18"/>
      </w:rPr>
      <w:instrText xml:space="preserve"> STYLEREF  "Heading 1"  \* MERGEFORMAT </w:instrText>
    </w:r>
    <w:r>
      <w:rPr>
        <w:sz w:val="18"/>
        <w:szCs w:val="18"/>
      </w:rPr>
      <w:fldChar w:fldCharType="separate"/>
    </w:r>
    <w:r w:rsidR="008D7ECA">
      <w:rPr>
        <w:noProof/>
        <w:sz w:val="18"/>
        <w:szCs w:val="18"/>
      </w:rPr>
      <w:t>Register of Issues Raised</w:t>
    </w:r>
    <w:r>
      <w:rPr>
        <w:sz w:val="18"/>
        <w:szCs w:val="18"/>
      </w:rPr>
      <w:fldChar w:fldCharType="end"/>
    </w:r>
  </w:p>
  <w:p w14:paraId="152479D1" w14:textId="77777777" w:rsidR="00AF4A89" w:rsidRDefault="00AF4A8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6C130" w14:textId="7E505EA2" w:rsidR="00AF4A89" w:rsidRDefault="0007355C">
    <w:pPr>
      <w:pStyle w:val="Header"/>
    </w:pPr>
    <w:r>
      <w:rPr>
        <w:noProof/>
      </w:rPr>
      <mc:AlternateContent>
        <mc:Choice Requires="wps">
          <w:drawing>
            <wp:anchor distT="0" distB="0" distL="114300" distR="114300" simplePos="0" relativeHeight="251683840" behindDoc="1" locked="0" layoutInCell="0" allowOverlap="1" wp14:anchorId="2CAE5102" wp14:editId="7C504628">
              <wp:simplePos x="0" y="0"/>
              <wp:positionH relativeFrom="margin">
                <wp:align>center</wp:align>
              </wp:positionH>
              <wp:positionV relativeFrom="margin">
                <wp:align>center</wp:align>
              </wp:positionV>
              <wp:extent cx="5050155" cy="3030220"/>
              <wp:effectExtent l="0" t="1104900" r="0" b="636905"/>
              <wp:wrapNone/>
              <wp:docPr id="3" name="WordArt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AC449D" w14:textId="77777777" w:rsidR="0007355C" w:rsidRDefault="0007355C" w:rsidP="0007355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CAE5102" id="_x0000_t202" coordsize="21600,21600" o:spt="202" path="m,l,21600r21600,l21600,xe">
              <v:stroke joinstyle="miter"/>
              <v:path gradientshapeok="t" o:connecttype="rect"/>
            </v:shapetype>
            <v:shape id="WordArt 28" o:spid="_x0000_s1030" type="#_x0000_t202" alt="&quot;&quot;" style="position:absolute;margin-left:0;margin-top:0;width:397.65pt;height:238.6pt;rotation:-45;z-index:-2516326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" o:allowincell="f" filled="f" stroked="f">
              <v:stroke joinstyle="round"/>
              <o:lock v:ext="edit" shapetype="t"/>
              <v:textbox style="mso-fit-shape-to-text:t">
                <w:txbxContent>
                  <w:p w14:paraId="69AC449D" w14:textId="77777777" w:rsidR="0007355C" w:rsidRDefault="0007355C" w:rsidP="0007355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BFA188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9pt;visibility:visible" o:bullet="t">
        <v:imagedata r:id="rId1" o:title=""/>
      </v:shape>
    </w:pict>
  </w:numPicBullet>
  <w:abstractNum w:abstractNumId="0" w15:restartNumberingAfterBreak="0">
    <w:nsid w:val="06812238"/>
    <w:multiLevelType w:val="hybridMultilevel"/>
    <w:tmpl w:val="00BC8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FA40FA"/>
    <w:multiLevelType w:val="multilevel"/>
    <w:tmpl w:val="EB00E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5D404E"/>
    <w:multiLevelType w:val="hybridMultilevel"/>
    <w:tmpl w:val="2F567826"/>
    <w:lvl w:ilvl="0" w:tplc="295C26FE">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12D34FD8"/>
    <w:multiLevelType w:val="hybridMultilevel"/>
    <w:tmpl w:val="5A2E14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B538C9"/>
    <w:multiLevelType w:val="hybridMultilevel"/>
    <w:tmpl w:val="0AD847A2"/>
    <w:lvl w:ilvl="0" w:tplc="0C090001">
      <w:start w:val="1"/>
      <w:numFmt w:val="bullet"/>
      <w:lvlText w:val=""/>
      <w:lvlJc w:val="left"/>
      <w:pPr>
        <w:ind w:left="720" w:hanging="360"/>
      </w:pPr>
      <w:rPr>
        <w:rFonts w:ascii="Symbol" w:hAnsi="Symbol" w:hint="default"/>
      </w:rPr>
    </w:lvl>
    <w:lvl w:ilvl="1" w:tplc="A038F4FA">
      <w:numFmt w:val="bullet"/>
      <w:lvlText w:val="•"/>
      <w:lvlJc w:val="left"/>
      <w:pPr>
        <w:ind w:left="1440" w:hanging="360"/>
      </w:pPr>
      <w:rPr>
        <w:rFonts w:ascii="OpenSansRegular" w:eastAsiaTheme="minorHAnsi" w:hAnsi="OpenSansRegular" w:cs="OpenSansRegular"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232A13"/>
    <w:multiLevelType w:val="hybridMultilevel"/>
    <w:tmpl w:val="9F0E6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F01A3B"/>
    <w:multiLevelType w:val="hybridMultilevel"/>
    <w:tmpl w:val="1D2EB6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8510F92"/>
    <w:multiLevelType w:val="hybridMultilevel"/>
    <w:tmpl w:val="937CA898"/>
    <w:lvl w:ilvl="0" w:tplc="01962994">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8C3595"/>
    <w:multiLevelType w:val="hybridMultilevel"/>
    <w:tmpl w:val="8C7E3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2B5682"/>
    <w:multiLevelType w:val="hybridMultilevel"/>
    <w:tmpl w:val="571AF2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E752205"/>
    <w:multiLevelType w:val="hybridMultilevel"/>
    <w:tmpl w:val="A7E6D0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A1135B"/>
    <w:multiLevelType w:val="hybridMultilevel"/>
    <w:tmpl w:val="60AC2154"/>
    <w:lvl w:ilvl="0" w:tplc="01962994">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AA6914"/>
    <w:multiLevelType w:val="hybridMultilevel"/>
    <w:tmpl w:val="BDCCF2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9C4E5A"/>
    <w:multiLevelType w:val="hybridMultilevel"/>
    <w:tmpl w:val="36EA0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A1444D"/>
    <w:multiLevelType w:val="hybridMultilevel"/>
    <w:tmpl w:val="DCB8F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0818CF"/>
    <w:multiLevelType w:val="hybridMultilevel"/>
    <w:tmpl w:val="EE40A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BD31F3"/>
    <w:multiLevelType w:val="hybridMultilevel"/>
    <w:tmpl w:val="C3C2A5D0"/>
    <w:lvl w:ilvl="0" w:tplc="5B263A5C">
      <w:numFmt w:val="bullet"/>
      <w:lvlText w:val="-"/>
      <w:lvlJc w:val="left"/>
      <w:pPr>
        <w:ind w:left="720" w:hanging="360"/>
      </w:pPr>
      <w:rPr>
        <w:rFonts w:ascii="Verdana" w:eastAsiaTheme="minorHAnsi" w:hAnsi="Verdana" w:cs="OpenSansRegular"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370035"/>
    <w:multiLevelType w:val="hybridMultilevel"/>
    <w:tmpl w:val="50D0B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C46E8A"/>
    <w:multiLevelType w:val="hybridMultilevel"/>
    <w:tmpl w:val="657CD538"/>
    <w:lvl w:ilvl="0" w:tplc="62FCED54">
      <w:start w:val="1"/>
      <w:numFmt w:val="decimal"/>
      <w:lvlText w:val="%1."/>
      <w:lvlJc w:val="left"/>
      <w:pPr>
        <w:ind w:left="720" w:hanging="72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0247F5C"/>
    <w:multiLevelType w:val="hybridMultilevel"/>
    <w:tmpl w:val="998ACCCC"/>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0" w15:restartNumberingAfterBreak="0">
    <w:nsid w:val="33916FEF"/>
    <w:multiLevelType w:val="hybridMultilevel"/>
    <w:tmpl w:val="7DCC8BA6"/>
    <w:lvl w:ilvl="0" w:tplc="936AC10C">
      <w:numFmt w:val="bullet"/>
      <w:lvlText w:val="•"/>
      <w:lvlJc w:val="left"/>
      <w:pPr>
        <w:ind w:left="1080" w:hanging="720"/>
      </w:pPr>
      <w:rPr>
        <w:rFonts w:ascii="OpenSansRegular" w:eastAsiaTheme="minorHAnsi" w:hAnsi="OpenSansRegular" w:cs="OpenSansRegular"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C3B6DC2"/>
    <w:multiLevelType w:val="hybridMultilevel"/>
    <w:tmpl w:val="18668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EBB452B"/>
    <w:multiLevelType w:val="hybridMultilevel"/>
    <w:tmpl w:val="53C65172"/>
    <w:lvl w:ilvl="0" w:tplc="2A128366">
      <w:numFmt w:val="bullet"/>
      <w:lvlText w:val="-"/>
      <w:lvlJc w:val="left"/>
      <w:pPr>
        <w:ind w:left="720" w:hanging="360"/>
      </w:pPr>
      <w:rPr>
        <w:rFonts w:ascii="Times New Roman" w:eastAsia="Times New Roman"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1DF5A99"/>
    <w:multiLevelType w:val="hybridMultilevel"/>
    <w:tmpl w:val="D7124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103ECB"/>
    <w:multiLevelType w:val="hybridMultilevel"/>
    <w:tmpl w:val="69369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B7B650E"/>
    <w:multiLevelType w:val="hybridMultilevel"/>
    <w:tmpl w:val="FE8C0D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CB45322"/>
    <w:multiLevelType w:val="hybridMultilevel"/>
    <w:tmpl w:val="1CEE5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05D3491"/>
    <w:multiLevelType w:val="hybridMultilevel"/>
    <w:tmpl w:val="C520E0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3B054FB"/>
    <w:multiLevelType w:val="hybridMultilevel"/>
    <w:tmpl w:val="D25E1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B609DF"/>
    <w:multiLevelType w:val="hybridMultilevel"/>
    <w:tmpl w:val="7980A0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5DE6E6B"/>
    <w:multiLevelType w:val="hybridMultilevel"/>
    <w:tmpl w:val="9AF067E2"/>
    <w:lvl w:ilvl="0" w:tplc="BBF2C3A2">
      <w:numFmt w:val="bullet"/>
      <w:lvlText w:val="•"/>
      <w:lvlJc w:val="left"/>
      <w:pPr>
        <w:ind w:left="1080" w:hanging="720"/>
      </w:pPr>
      <w:rPr>
        <w:rFonts w:ascii="OpenSansRegular" w:eastAsia="Times New Roman" w:hAnsi="OpenSansRegular" w:cs="OpenSansRegular"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5E74DFE"/>
    <w:multiLevelType w:val="hybridMultilevel"/>
    <w:tmpl w:val="B004020C"/>
    <w:lvl w:ilvl="0" w:tplc="31B69B2E">
      <w:numFmt w:val="bullet"/>
      <w:lvlText w:val="•"/>
      <w:lvlJc w:val="left"/>
      <w:pPr>
        <w:ind w:left="1080" w:hanging="720"/>
      </w:pPr>
      <w:rPr>
        <w:rFonts w:ascii="OpenSansRegular" w:eastAsiaTheme="minorHAnsi" w:hAnsi="OpenSansRegular" w:cs="OpenSansRegular"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69142F0"/>
    <w:multiLevelType w:val="hybridMultilevel"/>
    <w:tmpl w:val="41E0BEC6"/>
    <w:lvl w:ilvl="0" w:tplc="01962994">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6B5386D"/>
    <w:multiLevelType w:val="hybridMultilevel"/>
    <w:tmpl w:val="3A9E4792"/>
    <w:lvl w:ilvl="0" w:tplc="5B263A5C">
      <w:numFmt w:val="bullet"/>
      <w:lvlText w:val="-"/>
      <w:lvlJc w:val="left"/>
      <w:pPr>
        <w:ind w:left="720" w:hanging="360"/>
      </w:pPr>
      <w:rPr>
        <w:rFonts w:ascii="Verdana" w:eastAsiaTheme="minorHAnsi" w:hAnsi="Verdana" w:cs="OpenSansRegular"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73B33F5"/>
    <w:multiLevelType w:val="hybridMultilevel"/>
    <w:tmpl w:val="E5F80D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8481B77"/>
    <w:multiLevelType w:val="hybridMultilevel"/>
    <w:tmpl w:val="A3BA85C4"/>
    <w:lvl w:ilvl="0" w:tplc="2A128366">
      <w:numFmt w:val="bullet"/>
      <w:lvlText w:val="-"/>
      <w:lvlJc w:val="left"/>
      <w:pPr>
        <w:ind w:left="720" w:hanging="360"/>
      </w:pPr>
      <w:rPr>
        <w:rFonts w:ascii="Times New Roman" w:eastAsia="Times New Roman"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C057613"/>
    <w:multiLevelType w:val="hybridMultilevel"/>
    <w:tmpl w:val="F0C2C1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2C4414D"/>
    <w:multiLevelType w:val="hybridMultilevel"/>
    <w:tmpl w:val="40D488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5042005"/>
    <w:multiLevelType w:val="hybridMultilevel"/>
    <w:tmpl w:val="51D6E54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B3105A3"/>
    <w:multiLevelType w:val="hybridMultilevel"/>
    <w:tmpl w:val="CD7EF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EC6646A"/>
    <w:multiLevelType w:val="hybridMultilevel"/>
    <w:tmpl w:val="1A5205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2A57049"/>
    <w:multiLevelType w:val="hybridMultilevel"/>
    <w:tmpl w:val="0184715A"/>
    <w:lvl w:ilvl="0" w:tplc="5B263A5C">
      <w:numFmt w:val="bullet"/>
      <w:lvlText w:val="-"/>
      <w:lvlJc w:val="left"/>
      <w:pPr>
        <w:ind w:left="720" w:hanging="360"/>
      </w:pPr>
      <w:rPr>
        <w:rFonts w:ascii="Verdana" w:eastAsiaTheme="minorHAnsi" w:hAnsi="Verdana" w:cs="OpenSansRegular"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3AF5D27"/>
    <w:multiLevelType w:val="hybridMultilevel"/>
    <w:tmpl w:val="D56A059A"/>
    <w:lvl w:ilvl="0" w:tplc="0C090001">
      <w:start w:val="1"/>
      <w:numFmt w:val="bullet"/>
      <w:lvlText w:val=""/>
      <w:lvlJc w:val="left"/>
      <w:pPr>
        <w:ind w:left="3240" w:hanging="360"/>
      </w:pPr>
      <w:rPr>
        <w:rFonts w:ascii="Symbol" w:hAnsi="Symbol"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num w:numId="1">
    <w:abstractNumId w:val="29"/>
  </w:num>
  <w:num w:numId="2">
    <w:abstractNumId w:val="39"/>
  </w:num>
  <w:num w:numId="3">
    <w:abstractNumId w:val="38"/>
  </w:num>
  <w:num w:numId="4">
    <w:abstractNumId w:val="9"/>
  </w:num>
  <w:num w:numId="5">
    <w:abstractNumId w:val="4"/>
  </w:num>
  <w:num w:numId="6">
    <w:abstractNumId w:val="23"/>
  </w:num>
  <w:num w:numId="7">
    <w:abstractNumId w:val="20"/>
  </w:num>
  <w:num w:numId="8">
    <w:abstractNumId w:val="36"/>
  </w:num>
  <w:num w:numId="9">
    <w:abstractNumId w:val="28"/>
  </w:num>
  <w:num w:numId="10">
    <w:abstractNumId w:val="31"/>
  </w:num>
  <w:num w:numId="11">
    <w:abstractNumId w:val="34"/>
  </w:num>
  <w:num w:numId="12">
    <w:abstractNumId w:val="18"/>
  </w:num>
  <w:num w:numId="13">
    <w:abstractNumId w:val="27"/>
  </w:num>
  <w:num w:numId="14">
    <w:abstractNumId w:val="25"/>
  </w:num>
  <w:num w:numId="15">
    <w:abstractNumId w:val="3"/>
  </w:num>
  <w:num w:numId="16">
    <w:abstractNumId w:val="15"/>
  </w:num>
  <w:num w:numId="17">
    <w:abstractNumId w:val="14"/>
  </w:num>
  <w:num w:numId="18">
    <w:abstractNumId w:val="1"/>
  </w:num>
  <w:num w:numId="19">
    <w:abstractNumId w:val="8"/>
  </w:num>
  <w:num w:numId="20">
    <w:abstractNumId w:val="2"/>
  </w:num>
  <w:num w:numId="21">
    <w:abstractNumId w:val="6"/>
  </w:num>
  <w:num w:numId="22">
    <w:abstractNumId w:val="17"/>
  </w:num>
  <w:num w:numId="23">
    <w:abstractNumId w:val="40"/>
  </w:num>
  <w:num w:numId="24">
    <w:abstractNumId w:val="12"/>
  </w:num>
  <w:num w:numId="25">
    <w:abstractNumId w:val="26"/>
  </w:num>
  <w:num w:numId="26">
    <w:abstractNumId w:val="30"/>
  </w:num>
  <w:num w:numId="27">
    <w:abstractNumId w:val="19"/>
  </w:num>
  <w:num w:numId="28">
    <w:abstractNumId w:val="24"/>
  </w:num>
  <w:num w:numId="29">
    <w:abstractNumId w:val="42"/>
  </w:num>
  <w:num w:numId="30">
    <w:abstractNumId w:val="10"/>
  </w:num>
  <w:num w:numId="31">
    <w:abstractNumId w:val="13"/>
  </w:num>
  <w:num w:numId="32">
    <w:abstractNumId w:val="5"/>
  </w:num>
  <w:num w:numId="33">
    <w:abstractNumId w:val="7"/>
  </w:num>
  <w:num w:numId="34">
    <w:abstractNumId w:val="32"/>
  </w:num>
  <w:num w:numId="35">
    <w:abstractNumId w:val="11"/>
  </w:num>
  <w:num w:numId="36">
    <w:abstractNumId w:val="21"/>
  </w:num>
  <w:num w:numId="37">
    <w:abstractNumId w:val="0"/>
  </w:num>
  <w:num w:numId="38">
    <w:abstractNumId w:val="33"/>
  </w:num>
  <w:num w:numId="39">
    <w:abstractNumId w:val="16"/>
  </w:num>
  <w:num w:numId="40">
    <w:abstractNumId w:val="41"/>
  </w:num>
  <w:num w:numId="41">
    <w:abstractNumId w:val="22"/>
  </w:num>
  <w:num w:numId="42">
    <w:abstractNumId w:val="35"/>
  </w:num>
  <w:num w:numId="4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S3MDU1sDS0MDc3NTdT0lEKTi0uzszPAykwqgUApNfnjywAAAA="/>
  </w:docVars>
  <w:rsids>
    <w:rsidRoot w:val="008D6885"/>
    <w:rsid w:val="000017FF"/>
    <w:rsid w:val="000037D2"/>
    <w:rsid w:val="00005793"/>
    <w:rsid w:val="00005906"/>
    <w:rsid w:val="00006401"/>
    <w:rsid w:val="00012D99"/>
    <w:rsid w:val="0001563F"/>
    <w:rsid w:val="000308BE"/>
    <w:rsid w:val="0003173B"/>
    <w:rsid w:val="0004107F"/>
    <w:rsid w:val="00044A70"/>
    <w:rsid w:val="00045034"/>
    <w:rsid w:val="00060D07"/>
    <w:rsid w:val="00064667"/>
    <w:rsid w:val="00066D9F"/>
    <w:rsid w:val="00070385"/>
    <w:rsid w:val="0007355C"/>
    <w:rsid w:val="00073CB3"/>
    <w:rsid w:val="00074AE8"/>
    <w:rsid w:val="00075500"/>
    <w:rsid w:val="00075DE7"/>
    <w:rsid w:val="00076760"/>
    <w:rsid w:val="00077823"/>
    <w:rsid w:val="00080B10"/>
    <w:rsid w:val="0008646E"/>
    <w:rsid w:val="00093F56"/>
    <w:rsid w:val="00095110"/>
    <w:rsid w:val="000976F6"/>
    <w:rsid w:val="000A39B9"/>
    <w:rsid w:val="000A7638"/>
    <w:rsid w:val="000C1217"/>
    <w:rsid w:val="000C48A3"/>
    <w:rsid w:val="000C7D79"/>
    <w:rsid w:val="000D672E"/>
    <w:rsid w:val="000D6A82"/>
    <w:rsid w:val="000E053C"/>
    <w:rsid w:val="000E2E56"/>
    <w:rsid w:val="000F3448"/>
    <w:rsid w:val="000F7827"/>
    <w:rsid w:val="001021A3"/>
    <w:rsid w:val="00107CFA"/>
    <w:rsid w:val="0011365C"/>
    <w:rsid w:val="00116B2E"/>
    <w:rsid w:val="00122A22"/>
    <w:rsid w:val="0012464B"/>
    <w:rsid w:val="00134EC7"/>
    <w:rsid w:val="00142B28"/>
    <w:rsid w:val="00144888"/>
    <w:rsid w:val="00153860"/>
    <w:rsid w:val="00164358"/>
    <w:rsid w:val="001679E5"/>
    <w:rsid w:val="00170660"/>
    <w:rsid w:val="00171803"/>
    <w:rsid w:val="00173E90"/>
    <w:rsid w:val="001764FB"/>
    <w:rsid w:val="001832CE"/>
    <w:rsid w:val="00183BF8"/>
    <w:rsid w:val="00184E1A"/>
    <w:rsid w:val="001941F7"/>
    <w:rsid w:val="001A0350"/>
    <w:rsid w:val="001A11C4"/>
    <w:rsid w:val="001A1D53"/>
    <w:rsid w:val="001A2D43"/>
    <w:rsid w:val="001A6604"/>
    <w:rsid w:val="001A72DE"/>
    <w:rsid w:val="001B4B9E"/>
    <w:rsid w:val="001C03D2"/>
    <w:rsid w:val="001C2AE4"/>
    <w:rsid w:val="001C43B4"/>
    <w:rsid w:val="001E2CF9"/>
    <w:rsid w:val="001F3966"/>
    <w:rsid w:val="001F7223"/>
    <w:rsid w:val="00202B57"/>
    <w:rsid w:val="00215620"/>
    <w:rsid w:val="002231D0"/>
    <w:rsid w:val="00231360"/>
    <w:rsid w:val="00235F17"/>
    <w:rsid w:val="00246CC7"/>
    <w:rsid w:val="00250FE6"/>
    <w:rsid w:val="0025208D"/>
    <w:rsid w:val="00252738"/>
    <w:rsid w:val="00261D36"/>
    <w:rsid w:val="002624D3"/>
    <w:rsid w:val="0027202F"/>
    <w:rsid w:val="00277696"/>
    <w:rsid w:val="00285947"/>
    <w:rsid w:val="00287949"/>
    <w:rsid w:val="00294E0C"/>
    <w:rsid w:val="0029570B"/>
    <w:rsid w:val="002A0DB6"/>
    <w:rsid w:val="002A4BE5"/>
    <w:rsid w:val="002A52B2"/>
    <w:rsid w:val="002B2B4F"/>
    <w:rsid w:val="002B777C"/>
    <w:rsid w:val="002C5910"/>
    <w:rsid w:val="002C6696"/>
    <w:rsid w:val="002D79E0"/>
    <w:rsid w:val="002E40AE"/>
    <w:rsid w:val="002F0646"/>
    <w:rsid w:val="002F6AB9"/>
    <w:rsid w:val="0030786B"/>
    <w:rsid w:val="0031337E"/>
    <w:rsid w:val="0033207C"/>
    <w:rsid w:val="00332B5F"/>
    <w:rsid w:val="003337FA"/>
    <w:rsid w:val="00335760"/>
    <w:rsid w:val="0034232C"/>
    <w:rsid w:val="00344339"/>
    <w:rsid w:val="00346686"/>
    <w:rsid w:val="00351A7A"/>
    <w:rsid w:val="00372C1B"/>
    <w:rsid w:val="00372D11"/>
    <w:rsid w:val="003779D2"/>
    <w:rsid w:val="0038034F"/>
    <w:rsid w:val="0038312A"/>
    <w:rsid w:val="003A066B"/>
    <w:rsid w:val="003A4890"/>
    <w:rsid w:val="003B04AA"/>
    <w:rsid w:val="003B0923"/>
    <w:rsid w:val="003B35EC"/>
    <w:rsid w:val="003C7CFD"/>
    <w:rsid w:val="003D5D41"/>
    <w:rsid w:val="003E1B5B"/>
    <w:rsid w:val="003E5A43"/>
    <w:rsid w:val="003F2680"/>
    <w:rsid w:val="003F2FD9"/>
    <w:rsid w:val="003F3973"/>
    <w:rsid w:val="003F7657"/>
    <w:rsid w:val="004004C8"/>
    <w:rsid w:val="00421F7F"/>
    <w:rsid w:val="00431A72"/>
    <w:rsid w:val="004379D6"/>
    <w:rsid w:val="00445A81"/>
    <w:rsid w:val="0045071C"/>
    <w:rsid w:val="00464417"/>
    <w:rsid w:val="00465F53"/>
    <w:rsid w:val="0046719E"/>
    <w:rsid w:val="00474F58"/>
    <w:rsid w:val="004757B7"/>
    <w:rsid w:val="00484014"/>
    <w:rsid w:val="00485BB5"/>
    <w:rsid w:val="00487CFF"/>
    <w:rsid w:val="004A1CDF"/>
    <w:rsid w:val="004A37C3"/>
    <w:rsid w:val="004A54EC"/>
    <w:rsid w:val="004B2C2E"/>
    <w:rsid w:val="004C7184"/>
    <w:rsid w:val="004D2A67"/>
    <w:rsid w:val="004D3A89"/>
    <w:rsid w:val="004E6498"/>
    <w:rsid w:val="004E69B0"/>
    <w:rsid w:val="004F10B3"/>
    <w:rsid w:val="004F2D4D"/>
    <w:rsid w:val="004F453E"/>
    <w:rsid w:val="004F5141"/>
    <w:rsid w:val="004F744D"/>
    <w:rsid w:val="004F7848"/>
    <w:rsid w:val="0050143E"/>
    <w:rsid w:val="00502955"/>
    <w:rsid w:val="00502EC7"/>
    <w:rsid w:val="00506A75"/>
    <w:rsid w:val="005074E6"/>
    <w:rsid w:val="00512C3E"/>
    <w:rsid w:val="005150E6"/>
    <w:rsid w:val="00516450"/>
    <w:rsid w:val="00520978"/>
    <w:rsid w:val="00520F91"/>
    <w:rsid w:val="00522644"/>
    <w:rsid w:val="00532CCB"/>
    <w:rsid w:val="00533268"/>
    <w:rsid w:val="00534088"/>
    <w:rsid w:val="0054243B"/>
    <w:rsid w:val="00543062"/>
    <w:rsid w:val="005432F2"/>
    <w:rsid w:val="00545D15"/>
    <w:rsid w:val="0055420F"/>
    <w:rsid w:val="00554502"/>
    <w:rsid w:val="0057595C"/>
    <w:rsid w:val="00586433"/>
    <w:rsid w:val="00586C22"/>
    <w:rsid w:val="00591CD4"/>
    <w:rsid w:val="0059411C"/>
    <w:rsid w:val="00595FBA"/>
    <w:rsid w:val="005972F6"/>
    <w:rsid w:val="005A0304"/>
    <w:rsid w:val="005B44AB"/>
    <w:rsid w:val="005C0910"/>
    <w:rsid w:val="005C6126"/>
    <w:rsid w:val="005D64C1"/>
    <w:rsid w:val="005E0162"/>
    <w:rsid w:val="005E6D86"/>
    <w:rsid w:val="0060536B"/>
    <w:rsid w:val="00615EA0"/>
    <w:rsid w:val="00616CD1"/>
    <w:rsid w:val="006201A1"/>
    <w:rsid w:val="00622725"/>
    <w:rsid w:val="0063276D"/>
    <w:rsid w:val="0063753A"/>
    <w:rsid w:val="00637AE3"/>
    <w:rsid w:val="006536B6"/>
    <w:rsid w:val="006616E4"/>
    <w:rsid w:val="00677EC6"/>
    <w:rsid w:val="00683094"/>
    <w:rsid w:val="0068454A"/>
    <w:rsid w:val="006918C9"/>
    <w:rsid w:val="006929AB"/>
    <w:rsid w:val="00692F07"/>
    <w:rsid w:val="006A07A6"/>
    <w:rsid w:val="006A2A1B"/>
    <w:rsid w:val="006B2F47"/>
    <w:rsid w:val="006B6DFB"/>
    <w:rsid w:val="006B72C7"/>
    <w:rsid w:val="006C1274"/>
    <w:rsid w:val="006C460D"/>
    <w:rsid w:val="006D189D"/>
    <w:rsid w:val="006E0693"/>
    <w:rsid w:val="006E0C95"/>
    <w:rsid w:val="006E2E7F"/>
    <w:rsid w:val="006F03F1"/>
    <w:rsid w:val="006F4673"/>
    <w:rsid w:val="00700E5B"/>
    <w:rsid w:val="00706202"/>
    <w:rsid w:val="00714C7F"/>
    <w:rsid w:val="00715500"/>
    <w:rsid w:val="00715A89"/>
    <w:rsid w:val="00721686"/>
    <w:rsid w:val="007257F3"/>
    <w:rsid w:val="00731563"/>
    <w:rsid w:val="0074409B"/>
    <w:rsid w:val="00747FC5"/>
    <w:rsid w:val="007517E1"/>
    <w:rsid w:val="0075494E"/>
    <w:rsid w:val="00761F93"/>
    <w:rsid w:val="0076397A"/>
    <w:rsid w:val="00765011"/>
    <w:rsid w:val="0077221F"/>
    <w:rsid w:val="0077572D"/>
    <w:rsid w:val="007809C5"/>
    <w:rsid w:val="00782904"/>
    <w:rsid w:val="0078365E"/>
    <w:rsid w:val="00786B9C"/>
    <w:rsid w:val="00791EAD"/>
    <w:rsid w:val="007954AB"/>
    <w:rsid w:val="007A121D"/>
    <w:rsid w:val="007A2189"/>
    <w:rsid w:val="007A4E13"/>
    <w:rsid w:val="007B268D"/>
    <w:rsid w:val="007C2BB0"/>
    <w:rsid w:val="007C55DE"/>
    <w:rsid w:val="007C587D"/>
    <w:rsid w:val="007D0A0A"/>
    <w:rsid w:val="007D2196"/>
    <w:rsid w:val="007D2F46"/>
    <w:rsid w:val="007D5B22"/>
    <w:rsid w:val="007D7F8F"/>
    <w:rsid w:val="007E45F2"/>
    <w:rsid w:val="007F0016"/>
    <w:rsid w:val="007F0178"/>
    <w:rsid w:val="007F26EF"/>
    <w:rsid w:val="007F29D4"/>
    <w:rsid w:val="007F37C8"/>
    <w:rsid w:val="007F6E4B"/>
    <w:rsid w:val="008013FD"/>
    <w:rsid w:val="0080420D"/>
    <w:rsid w:val="00812A61"/>
    <w:rsid w:val="0082050B"/>
    <w:rsid w:val="00826FA7"/>
    <w:rsid w:val="008316D9"/>
    <w:rsid w:val="0083323D"/>
    <w:rsid w:val="008336F6"/>
    <w:rsid w:val="00833C70"/>
    <w:rsid w:val="00833C8A"/>
    <w:rsid w:val="008351C1"/>
    <w:rsid w:val="00837877"/>
    <w:rsid w:val="0084056C"/>
    <w:rsid w:val="00851B50"/>
    <w:rsid w:val="00852238"/>
    <w:rsid w:val="00856E28"/>
    <w:rsid w:val="00864CC6"/>
    <w:rsid w:val="00865559"/>
    <w:rsid w:val="008674CE"/>
    <w:rsid w:val="00867955"/>
    <w:rsid w:val="00867A7D"/>
    <w:rsid w:val="00870190"/>
    <w:rsid w:val="00873D53"/>
    <w:rsid w:val="0088075B"/>
    <w:rsid w:val="008872E1"/>
    <w:rsid w:val="0089077D"/>
    <w:rsid w:val="0089195C"/>
    <w:rsid w:val="00891A73"/>
    <w:rsid w:val="008A2BD5"/>
    <w:rsid w:val="008A33AC"/>
    <w:rsid w:val="008A3984"/>
    <w:rsid w:val="008A519B"/>
    <w:rsid w:val="008B19B1"/>
    <w:rsid w:val="008C08C7"/>
    <w:rsid w:val="008C50B4"/>
    <w:rsid w:val="008D071E"/>
    <w:rsid w:val="008D30A4"/>
    <w:rsid w:val="008D4143"/>
    <w:rsid w:val="008D6885"/>
    <w:rsid w:val="008D7ECA"/>
    <w:rsid w:val="008E0E32"/>
    <w:rsid w:val="008E3486"/>
    <w:rsid w:val="008E3F51"/>
    <w:rsid w:val="008E4889"/>
    <w:rsid w:val="008F4090"/>
    <w:rsid w:val="00903D59"/>
    <w:rsid w:val="009125D0"/>
    <w:rsid w:val="00917F7A"/>
    <w:rsid w:val="00921BF0"/>
    <w:rsid w:val="009307FD"/>
    <w:rsid w:val="00931C22"/>
    <w:rsid w:val="00933E45"/>
    <w:rsid w:val="009414E3"/>
    <w:rsid w:val="009577B4"/>
    <w:rsid w:val="009631A4"/>
    <w:rsid w:val="0096484C"/>
    <w:rsid w:val="00972118"/>
    <w:rsid w:val="00985111"/>
    <w:rsid w:val="009913EF"/>
    <w:rsid w:val="00993B50"/>
    <w:rsid w:val="009A00F3"/>
    <w:rsid w:val="009A1340"/>
    <w:rsid w:val="009A3BF2"/>
    <w:rsid w:val="009A5938"/>
    <w:rsid w:val="009B5E37"/>
    <w:rsid w:val="009C1E66"/>
    <w:rsid w:val="009C240B"/>
    <w:rsid w:val="009D26F4"/>
    <w:rsid w:val="009D3F06"/>
    <w:rsid w:val="009D5FBF"/>
    <w:rsid w:val="009D6524"/>
    <w:rsid w:val="009E23EA"/>
    <w:rsid w:val="009E33A2"/>
    <w:rsid w:val="009E5736"/>
    <w:rsid w:val="009F3C2B"/>
    <w:rsid w:val="009F3F60"/>
    <w:rsid w:val="00A00B62"/>
    <w:rsid w:val="00A029A8"/>
    <w:rsid w:val="00A04781"/>
    <w:rsid w:val="00A06BCD"/>
    <w:rsid w:val="00A17DC2"/>
    <w:rsid w:val="00A23293"/>
    <w:rsid w:val="00A453EE"/>
    <w:rsid w:val="00A535B1"/>
    <w:rsid w:val="00A56D04"/>
    <w:rsid w:val="00A614D0"/>
    <w:rsid w:val="00A667D0"/>
    <w:rsid w:val="00A77586"/>
    <w:rsid w:val="00A846B7"/>
    <w:rsid w:val="00A9226B"/>
    <w:rsid w:val="00A92D01"/>
    <w:rsid w:val="00A97CA6"/>
    <w:rsid w:val="00AA4451"/>
    <w:rsid w:val="00AB337B"/>
    <w:rsid w:val="00AB51F3"/>
    <w:rsid w:val="00AC1B06"/>
    <w:rsid w:val="00AC25DF"/>
    <w:rsid w:val="00AC353F"/>
    <w:rsid w:val="00AD1853"/>
    <w:rsid w:val="00AD7E72"/>
    <w:rsid w:val="00AE5936"/>
    <w:rsid w:val="00AE6CD3"/>
    <w:rsid w:val="00AE6E01"/>
    <w:rsid w:val="00AE7276"/>
    <w:rsid w:val="00AE72D6"/>
    <w:rsid w:val="00AF3CD3"/>
    <w:rsid w:val="00AF4A89"/>
    <w:rsid w:val="00AF6FE3"/>
    <w:rsid w:val="00B02856"/>
    <w:rsid w:val="00B03F28"/>
    <w:rsid w:val="00B062B2"/>
    <w:rsid w:val="00B11A6B"/>
    <w:rsid w:val="00B136CC"/>
    <w:rsid w:val="00B13E8A"/>
    <w:rsid w:val="00B159FC"/>
    <w:rsid w:val="00B16A06"/>
    <w:rsid w:val="00B16FBC"/>
    <w:rsid w:val="00B2422D"/>
    <w:rsid w:val="00B27D5D"/>
    <w:rsid w:val="00B350D9"/>
    <w:rsid w:val="00B460BC"/>
    <w:rsid w:val="00B52FE2"/>
    <w:rsid w:val="00B531AA"/>
    <w:rsid w:val="00B53C3F"/>
    <w:rsid w:val="00B63D4F"/>
    <w:rsid w:val="00B83FCB"/>
    <w:rsid w:val="00B86A8C"/>
    <w:rsid w:val="00BA01BD"/>
    <w:rsid w:val="00BA235C"/>
    <w:rsid w:val="00BA497A"/>
    <w:rsid w:val="00BB65EB"/>
    <w:rsid w:val="00BC0D3D"/>
    <w:rsid w:val="00BC6F4A"/>
    <w:rsid w:val="00BE6BA8"/>
    <w:rsid w:val="00C00B91"/>
    <w:rsid w:val="00C01B21"/>
    <w:rsid w:val="00C0202F"/>
    <w:rsid w:val="00C15F48"/>
    <w:rsid w:val="00C20B56"/>
    <w:rsid w:val="00C30FDE"/>
    <w:rsid w:val="00C36BAC"/>
    <w:rsid w:val="00C41BC8"/>
    <w:rsid w:val="00C5127C"/>
    <w:rsid w:val="00C61BD6"/>
    <w:rsid w:val="00C61E0A"/>
    <w:rsid w:val="00C7532D"/>
    <w:rsid w:val="00C81655"/>
    <w:rsid w:val="00C83F6E"/>
    <w:rsid w:val="00C875EB"/>
    <w:rsid w:val="00C87D9B"/>
    <w:rsid w:val="00CA35E6"/>
    <w:rsid w:val="00CB054B"/>
    <w:rsid w:val="00CB20C5"/>
    <w:rsid w:val="00CB66B7"/>
    <w:rsid w:val="00CF48DD"/>
    <w:rsid w:val="00CF7209"/>
    <w:rsid w:val="00CF7DCD"/>
    <w:rsid w:val="00D07379"/>
    <w:rsid w:val="00D0778C"/>
    <w:rsid w:val="00D10296"/>
    <w:rsid w:val="00D23F19"/>
    <w:rsid w:val="00D2581E"/>
    <w:rsid w:val="00D25A5B"/>
    <w:rsid w:val="00D30749"/>
    <w:rsid w:val="00D31EB6"/>
    <w:rsid w:val="00D34AD8"/>
    <w:rsid w:val="00D355D1"/>
    <w:rsid w:val="00D364E6"/>
    <w:rsid w:val="00D41249"/>
    <w:rsid w:val="00D47246"/>
    <w:rsid w:val="00D50787"/>
    <w:rsid w:val="00D516C3"/>
    <w:rsid w:val="00D56EA6"/>
    <w:rsid w:val="00D57082"/>
    <w:rsid w:val="00D5779C"/>
    <w:rsid w:val="00D61863"/>
    <w:rsid w:val="00D7113C"/>
    <w:rsid w:val="00D74523"/>
    <w:rsid w:val="00D76B71"/>
    <w:rsid w:val="00D875D3"/>
    <w:rsid w:val="00D90AA9"/>
    <w:rsid w:val="00D97612"/>
    <w:rsid w:val="00DA1A52"/>
    <w:rsid w:val="00DA2A21"/>
    <w:rsid w:val="00DA5BBF"/>
    <w:rsid w:val="00DA72A6"/>
    <w:rsid w:val="00DB14D6"/>
    <w:rsid w:val="00DC1474"/>
    <w:rsid w:val="00DC32C4"/>
    <w:rsid w:val="00DD7A40"/>
    <w:rsid w:val="00DE2AB8"/>
    <w:rsid w:val="00DE50E0"/>
    <w:rsid w:val="00DF0222"/>
    <w:rsid w:val="00DF4971"/>
    <w:rsid w:val="00DF628A"/>
    <w:rsid w:val="00E1373A"/>
    <w:rsid w:val="00E22F9B"/>
    <w:rsid w:val="00E239C2"/>
    <w:rsid w:val="00E25F8F"/>
    <w:rsid w:val="00E3136D"/>
    <w:rsid w:val="00E35EAE"/>
    <w:rsid w:val="00E47960"/>
    <w:rsid w:val="00E53D3E"/>
    <w:rsid w:val="00E55828"/>
    <w:rsid w:val="00E66E49"/>
    <w:rsid w:val="00E75C4D"/>
    <w:rsid w:val="00E917EB"/>
    <w:rsid w:val="00EA143E"/>
    <w:rsid w:val="00EA6F02"/>
    <w:rsid w:val="00EC7697"/>
    <w:rsid w:val="00ED06BD"/>
    <w:rsid w:val="00ED2606"/>
    <w:rsid w:val="00EE2553"/>
    <w:rsid w:val="00EE5692"/>
    <w:rsid w:val="00EE59B5"/>
    <w:rsid w:val="00F055EA"/>
    <w:rsid w:val="00F06D2E"/>
    <w:rsid w:val="00F10877"/>
    <w:rsid w:val="00F122E4"/>
    <w:rsid w:val="00F20728"/>
    <w:rsid w:val="00F22D5B"/>
    <w:rsid w:val="00F3005D"/>
    <w:rsid w:val="00F404D7"/>
    <w:rsid w:val="00F42A09"/>
    <w:rsid w:val="00F52478"/>
    <w:rsid w:val="00F65A81"/>
    <w:rsid w:val="00F7296B"/>
    <w:rsid w:val="00F855ED"/>
    <w:rsid w:val="00F9375B"/>
    <w:rsid w:val="00F95CE8"/>
    <w:rsid w:val="00FA6EE8"/>
    <w:rsid w:val="00FB22D7"/>
    <w:rsid w:val="00FB361C"/>
    <w:rsid w:val="00FB5686"/>
    <w:rsid w:val="00FD2C24"/>
    <w:rsid w:val="00FD3B2E"/>
    <w:rsid w:val="00FD3BF9"/>
    <w:rsid w:val="00FD4486"/>
    <w:rsid w:val="00FE48FC"/>
    <w:rsid w:val="00FF0F4E"/>
    <w:rsid w:val="00FF33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E322AC"/>
  <w15:docId w15:val="{5E78E99C-A869-42CF-96D8-D9947F616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6885"/>
  </w:style>
  <w:style w:type="paragraph" w:styleId="Heading1">
    <w:name w:val="heading 1"/>
    <w:basedOn w:val="Normal"/>
    <w:next w:val="Normal"/>
    <w:link w:val="Heading1Char"/>
    <w:qFormat/>
    <w:rsid w:val="008D688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8D071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
    <w:name w:val="Body copy"/>
    <w:basedOn w:val="Normal"/>
    <w:link w:val="BodycopyChar"/>
    <w:qFormat/>
    <w:rsid w:val="008D6885"/>
    <w:pPr>
      <w:spacing w:after="113" w:line="240" w:lineRule="atLeast"/>
    </w:pPr>
    <w:rPr>
      <w:rFonts w:ascii="OpenSansRegular" w:eastAsia="Times New Roman" w:hAnsi="OpenSansRegular" w:cs="Times New Roman"/>
      <w:sz w:val="18"/>
      <w:szCs w:val="24"/>
    </w:rPr>
  </w:style>
  <w:style w:type="character" w:customStyle="1" w:styleId="BodycopyChar">
    <w:name w:val="Body copy Char"/>
    <w:basedOn w:val="DefaultParagraphFont"/>
    <w:link w:val="Bodycopy"/>
    <w:rsid w:val="008D6885"/>
    <w:rPr>
      <w:rFonts w:ascii="OpenSansRegular" w:eastAsia="Times New Roman" w:hAnsi="OpenSansRegular" w:cs="Times New Roman"/>
      <w:sz w:val="18"/>
      <w:szCs w:val="24"/>
    </w:rPr>
  </w:style>
  <w:style w:type="character" w:customStyle="1" w:styleId="Heading1Char">
    <w:name w:val="Heading 1 Char"/>
    <w:basedOn w:val="DefaultParagraphFont"/>
    <w:link w:val="Heading1"/>
    <w:rsid w:val="008D6885"/>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D6885"/>
    <w:pPr>
      <w:outlineLvl w:val="9"/>
    </w:pPr>
    <w:rPr>
      <w:lang w:val="en-US"/>
    </w:rPr>
  </w:style>
  <w:style w:type="paragraph" w:customStyle="1" w:styleId="BSubheading-Bluedk">
    <w:name w:val="B Subheading - Blue dk"/>
    <w:basedOn w:val="Normal"/>
    <w:qFormat/>
    <w:rsid w:val="008D6885"/>
    <w:pPr>
      <w:spacing w:before="320" w:after="120" w:line="240" w:lineRule="auto"/>
      <w:outlineLvl w:val="1"/>
    </w:pPr>
    <w:rPr>
      <w:rFonts w:ascii="Arial" w:eastAsia="Times" w:hAnsi="Arial" w:cs="Times New Roman"/>
      <w:b/>
      <w:noProof/>
      <w:color w:val="002776"/>
      <w:sz w:val="20"/>
      <w:szCs w:val="24"/>
      <w:lang w:val="en-US"/>
    </w:rPr>
  </w:style>
  <w:style w:type="table" w:styleId="TableGrid">
    <w:name w:val="Table Grid"/>
    <w:basedOn w:val="TableNormal"/>
    <w:uiPriority w:val="99"/>
    <w:rsid w:val="008D6885"/>
    <w:pPr>
      <w:spacing w:after="0" w:line="240" w:lineRule="auto"/>
    </w:pPr>
    <w:rPr>
      <w:rFonts w:ascii="Times New Roman" w:eastAsia="Times New Roman" w:hAnsi="Times New Roman" w:cs="Times New Roman"/>
      <w:sz w:val="20"/>
      <w:szCs w:val="20"/>
      <w:lang w:eastAsia="en-AU"/>
    </w:rPr>
    <w:tblPr/>
  </w:style>
  <w:style w:type="paragraph" w:styleId="Caption">
    <w:name w:val="caption"/>
    <w:basedOn w:val="Normal"/>
    <w:next w:val="Normal"/>
    <w:uiPriority w:val="35"/>
    <w:unhideWhenUsed/>
    <w:qFormat/>
    <w:rsid w:val="008D6885"/>
    <w:pPr>
      <w:spacing w:after="200" w:line="240" w:lineRule="auto"/>
    </w:pPr>
    <w:rPr>
      <w:i/>
      <w:iCs/>
      <w:color w:val="44546A" w:themeColor="text2"/>
      <w:sz w:val="18"/>
      <w:szCs w:val="18"/>
    </w:rPr>
  </w:style>
  <w:style w:type="table" w:customStyle="1" w:styleId="TableGrid1">
    <w:name w:val="Table Grid1"/>
    <w:basedOn w:val="TableNormal"/>
    <w:next w:val="TableGrid"/>
    <w:rsid w:val="008D6885"/>
    <w:pPr>
      <w:spacing w:after="0" w:line="240" w:lineRule="auto"/>
    </w:pPr>
    <w:rPr>
      <w:rFonts w:ascii="Times New Roman" w:eastAsia="Times New Roman" w:hAnsi="Times New Roman" w:cs="Times New Roman"/>
      <w:sz w:val="20"/>
      <w:szCs w:val="20"/>
      <w:lang w:eastAsia="en-AU"/>
    </w:rPr>
    <w:tblPr/>
  </w:style>
  <w:style w:type="paragraph" w:styleId="ListParagraph">
    <w:name w:val="List Paragraph"/>
    <w:basedOn w:val="Normal"/>
    <w:uiPriority w:val="34"/>
    <w:qFormat/>
    <w:rsid w:val="00CA35E6"/>
    <w:pPr>
      <w:spacing w:after="0" w:line="240" w:lineRule="auto"/>
      <w:ind w:left="720"/>
      <w:contextualSpacing/>
    </w:pPr>
    <w:rPr>
      <w:rFonts w:ascii="Arial" w:eastAsia="Times New Roman" w:hAnsi="Arial" w:cs="Times New Roman"/>
      <w:sz w:val="20"/>
      <w:szCs w:val="24"/>
    </w:rPr>
  </w:style>
  <w:style w:type="paragraph" w:styleId="TOC1">
    <w:name w:val="toc 1"/>
    <w:basedOn w:val="Normal"/>
    <w:next w:val="Normal"/>
    <w:autoRedefine/>
    <w:uiPriority w:val="39"/>
    <w:unhideWhenUsed/>
    <w:rsid w:val="009C1E66"/>
    <w:pPr>
      <w:spacing w:after="100"/>
    </w:pPr>
  </w:style>
  <w:style w:type="paragraph" w:styleId="TOC2">
    <w:name w:val="toc 2"/>
    <w:basedOn w:val="Normal"/>
    <w:next w:val="Normal"/>
    <w:autoRedefine/>
    <w:uiPriority w:val="39"/>
    <w:unhideWhenUsed/>
    <w:rsid w:val="009C1E66"/>
    <w:pPr>
      <w:spacing w:after="100"/>
      <w:ind w:left="220"/>
    </w:pPr>
  </w:style>
  <w:style w:type="character" w:styleId="Hyperlink">
    <w:name w:val="Hyperlink"/>
    <w:basedOn w:val="DefaultParagraphFont"/>
    <w:uiPriority w:val="99"/>
    <w:unhideWhenUsed/>
    <w:rsid w:val="009C1E66"/>
    <w:rPr>
      <w:color w:val="0563C1" w:themeColor="hyperlink"/>
      <w:u w:val="single"/>
    </w:rPr>
  </w:style>
  <w:style w:type="paragraph" w:styleId="BalloonText">
    <w:name w:val="Balloon Text"/>
    <w:basedOn w:val="Normal"/>
    <w:link w:val="BalloonTextChar"/>
    <w:uiPriority w:val="99"/>
    <w:semiHidden/>
    <w:unhideWhenUsed/>
    <w:rsid w:val="00873D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3D53"/>
    <w:rPr>
      <w:rFonts w:ascii="Segoe UI" w:hAnsi="Segoe UI" w:cs="Segoe UI"/>
      <w:sz w:val="18"/>
      <w:szCs w:val="18"/>
    </w:rPr>
  </w:style>
  <w:style w:type="paragraph" w:styleId="Header">
    <w:name w:val="header"/>
    <w:basedOn w:val="Normal"/>
    <w:link w:val="HeaderChar"/>
    <w:uiPriority w:val="99"/>
    <w:unhideWhenUsed/>
    <w:rsid w:val="00873D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3D53"/>
  </w:style>
  <w:style w:type="paragraph" w:styleId="Footer">
    <w:name w:val="footer"/>
    <w:basedOn w:val="Normal"/>
    <w:link w:val="FooterChar"/>
    <w:uiPriority w:val="99"/>
    <w:unhideWhenUsed/>
    <w:rsid w:val="00873D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3D53"/>
  </w:style>
  <w:style w:type="paragraph" w:customStyle="1" w:styleId="Legaltext">
    <w:name w:val="Legal text"/>
    <w:basedOn w:val="Normal"/>
    <w:uiPriority w:val="7"/>
    <w:semiHidden/>
    <w:qFormat/>
    <w:rsid w:val="008E0E32"/>
    <w:pPr>
      <w:spacing w:after="0" w:line="180" w:lineRule="atLeast"/>
    </w:pPr>
    <w:rPr>
      <w:rFonts w:ascii="Segoe UI Light" w:hAnsi="Segoe UI Light"/>
      <w:sz w:val="14"/>
      <w:szCs w:val="18"/>
    </w:rPr>
  </w:style>
  <w:style w:type="character" w:styleId="CommentReference">
    <w:name w:val="annotation reference"/>
    <w:basedOn w:val="DefaultParagraphFont"/>
    <w:uiPriority w:val="99"/>
    <w:semiHidden/>
    <w:unhideWhenUsed/>
    <w:rsid w:val="002C5910"/>
    <w:rPr>
      <w:sz w:val="16"/>
      <w:szCs w:val="16"/>
    </w:rPr>
  </w:style>
  <w:style w:type="paragraph" w:styleId="CommentText">
    <w:name w:val="annotation text"/>
    <w:basedOn w:val="Normal"/>
    <w:link w:val="CommentTextChar"/>
    <w:uiPriority w:val="99"/>
    <w:unhideWhenUsed/>
    <w:rsid w:val="002C5910"/>
    <w:pPr>
      <w:spacing w:line="240" w:lineRule="auto"/>
    </w:pPr>
    <w:rPr>
      <w:sz w:val="20"/>
      <w:szCs w:val="20"/>
    </w:rPr>
  </w:style>
  <w:style w:type="character" w:customStyle="1" w:styleId="CommentTextChar">
    <w:name w:val="Comment Text Char"/>
    <w:basedOn w:val="DefaultParagraphFont"/>
    <w:link w:val="CommentText"/>
    <w:uiPriority w:val="99"/>
    <w:rsid w:val="002C5910"/>
    <w:rPr>
      <w:sz w:val="20"/>
      <w:szCs w:val="20"/>
    </w:rPr>
  </w:style>
  <w:style w:type="paragraph" w:styleId="CommentSubject">
    <w:name w:val="annotation subject"/>
    <w:basedOn w:val="CommentText"/>
    <w:next w:val="CommentText"/>
    <w:link w:val="CommentSubjectChar"/>
    <w:uiPriority w:val="99"/>
    <w:semiHidden/>
    <w:unhideWhenUsed/>
    <w:rsid w:val="002C5910"/>
    <w:rPr>
      <w:b/>
      <w:bCs/>
    </w:rPr>
  </w:style>
  <w:style w:type="character" w:customStyle="1" w:styleId="CommentSubjectChar">
    <w:name w:val="Comment Subject Char"/>
    <w:basedOn w:val="CommentTextChar"/>
    <w:link w:val="CommentSubject"/>
    <w:uiPriority w:val="99"/>
    <w:semiHidden/>
    <w:rsid w:val="002C5910"/>
    <w:rPr>
      <w:b/>
      <w:bCs/>
      <w:sz w:val="20"/>
      <w:szCs w:val="20"/>
    </w:rPr>
  </w:style>
  <w:style w:type="paragraph" w:styleId="Subtitle">
    <w:name w:val="Subtitle"/>
    <w:basedOn w:val="Normal"/>
    <w:next w:val="Normal"/>
    <w:link w:val="SubtitleChar"/>
    <w:uiPriority w:val="11"/>
    <w:qFormat/>
    <w:rsid w:val="0086795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67955"/>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F122E4"/>
    <w:rPr>
      <w:color w:val="954F72" w:themeColor="followedHyperlink"/>
      <w:u w:val="single"/>
    </w:rPr>
  </w:style>
  <w:style w:type="character" w:styleId="IntenseEmphasis">
    <w:name w:val="Intense Emphasis"/>
    <w:basedOn w:val="DefaultParagraphFont"/>
    <w:uiPriority w:val="21"/>
    <w:qFormat/>
    <w:rsid w:val="00D57082"/>
    <w:rPr>
      <w:i/>
      <w:iCs/>
      <w:color w:val="5B9BD5" w:themeColor="accent1"/>
    </w:rPr>
  </w:style>
  <w:style w:type="paragraph" w:styleId="FootnoteText">
    <w:name w:val="footnote text"/>
    <w:basedOn w:val="Normal"/>
    <w:link w:val="FootnoteTextChar"/>
    <w:uiPriority w:val="99"/>
    <w:semiHidden/>
    <w:unhideWhenUsed/>
    <w:rsid w:val="0080420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420D"/>
    <w:rPr>
      <w:sz w:val="20"/>
      <w:szCs w:val="20"/>
    </w:rPr>
  </w:style>
  <w:style w:type="character" w:styleId="FootnoteReference">
    <w:name w:val="footnote reference"/>
    <w:basedOn w:val="DefaultParagraphFont"/>
    <w:uiPriority w:val="99"/>
    <w:semiHidden/>
    <w:unhideWhenUsed/>
    <w:rsid w:val="0080420D"/>
    <w:rPr>
      <w:vertAlign w:val="superscript"/>
    </w:rPr>
  </w:style>
  <w:style w:type="paragraph" w:customStyle="1" w:styleId="Addressdetails">
    <w:name w:val="Address details"/>
    <w:basedOn w:val="Normal"/>
    <w:link w:val="AddressdetailsChar"/>
    <w:rsid w:val="003D5D41"/>
    <w:pPr>
      <w:spacing w:before="85" w:after="0" w:line="180" w:lineRule="atLeast"/>
    </w:pPr>
    <w:rPr>
      <w:rFonts w:ascii="Arial" w:eastAsia="Times New Roman" w:hAnsi="Arial" w:cs="Times New Roman"/>
      <w:sz w:val="15"/>
      <w:szCs w:val="24"/>
    </w:rPr>
  </w:style>
  <w:style w:type="character" w:customStyle="1" w:styleId="AddressdetailsChar">
    <w:name w:val="Address details Char"/>
    <w:basedOn w:val="DefaultParagraphFont"/>
    <w:link w:val="Addressdetails"/>
    <w:rsid w:val="003D5D41"/>
    <w:rPr>
      <w:rFonts w:ascii="Arial" w:eastAsia="Times New Roman" w:hAnsi="Arial" w:cs="Times New Roman"/>
      <w:sz w:val="15"/>
      <w:szCs w:val="24"/>
    </w:rPr>
  </w:style>
  <w:style w:type="paragraph" w:customStyle="1" w:styleId="Legalstatement">
    <w:name w:val="Legal statement"/>
    <w:basedOn w:val="Footer"/>
    <w:rsid w:val="003D5D41"/>
    <w:pPr>
      <w:tabs>
        <w:tab w:val="clear" w:pos="4513"/>
        <w:tab w:val="clear" w:pos="9026"/>
        <w:tab w:val="right" w:pos="8222"/>
        <w:tab w:val="right" w:pos="9356"/>
      </w:tabs>
      <w:spacing w:before="120"/>
    </w:pPr>
    <w:rPr>
      <w:rFonts w:ascii="Arial" w:eastAsia="Times New Roman" w:hAnsi="Arial" w:cs="Arial"/>
      <w:color w:val="000000"/>
      <w:sz w:val="15"/>
      <w:szCs w:val="16"/>
    </w:rPr>
  </w:style>
  <w:style w:type="character" w:customStyle="1" w:styleId="Heading3Char">
    <w:name w:val="Heading 3 Char"/>
    <w:basedOn w:val="DefaultParagraphFont"/>
    <w:link w:val="Heading3"/>
    <w:uiPriority w:val="9"/>
    <w:semiHidden/>
    <w:rsid w:val="008D071E"/>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rsid w:val="0098511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54257">
      <w:bodyDiv w:val="1"/>
      <w:marLeft w:val="0"/>
      <w:marRight w:val="0"/>
      <w:marTop w:val="0"/>
      <w:marBottom w:val="0"/>
      <w:divBdr>
        <w:top w:val="none" w:sz="0" w:space="0" w:color="auto"/>
        <w:left w:val="none" w:sz="0" w:space="0" w:color="auto"/>
        <w:bottom w:val="none" w:sz="0" w:space="0" w:color="auto"/>
        <w:right w:val="none" w:sz="0" w:space="0" w:color="auto"/>
      </w:divBdr>
    </w:div>
    <w:div w:id="30569395">
      <w:bodyDiv w:val="1"/>
      <w:marLeft w:val="0"/>
      <w:marRight w:val="0"/>
      <w:marTop w:val="0"/>
      <w:marBottom w:val="0"/>
      <w:divBdr>
        <w:top w:val="none" w:sz="0" w:space="0" w:color="auto"/>
        <w:left w:val="none" w:sz="0" w:space="0" w:color="auto"/>
        <w:bottom w:val="none" w:sz="0" w:space="0" w:color="auto"/>
        <w:right w:val="none" w:sz="0" w:space="0" w:color="auto"/>
      </w:divBdr>
    </w:div>
    <w:div w:id="63840725">
      <w:bodyDiv w:val="1"/>
      <w:marLeft w:val="0"/>
      <w:marRight w:val="0"/>
      <w:marTop w:val="0"/>
      <w:marBottom w:val="0"/>
      <w:divBdr>
        <w:top w:val="none" w:sz="0" w:space="0" w:color="auto"/>
        <w:left w:val="none" w:sz="0" w:space="0" w:color="auto"/>
        <w:bottom w:val="none" w:sz="0" w:space="0" w:color="auto"/>
        <w:right w:val="none" w:sz="0" w:space="0" w:color="auto"/>
      </w:divBdr>
    </w:div>
    <w:div w:id="897937591">
      <w:bodyDiv w:val="1"/>
      <w:marLeft w:val="0"/>
      <w:marRight w:val="0"/>
      <w:marTop w:val="0"/>
      <w:marBottom w:val="0"/>
      <w:divBdr>
        <w:top w:val="none" w:sz="0" w:space="0" w:color="auto"/>
        <w:left w:val="none" w:sz="0" w:space="0" w:color="auto"/>
        <w:bottom w:val="none" w:sz="0" w:space="0" w:color="auto"/>
        <w:right w:val="none" w:sz="0" w:space="0" w:color="auto"/>
      </w:divBdr>
      <w:divsChild>
        <w:div w:id="300887285">
          <w:marLeft w:val="0"/>
          <w:marRight w:val="0"/>
          <w:marTop w:val="0"/>
          <w:marBottom w:val="0"/>
          <w:divBdr>
            <w:top w:val="none" w:sz="0" w:space="0" w:color="auto"/>
            <w:left w:val="none" w:sz="0" w:space="0" w:color="auto"/>
            <w:bottom w:val="none" w:sz="0" w:space="0" w:color="auto"/>
            <w:right w:val="none" w:sz="0" w:space="0" w:color="auto"/>
          </w:divBdr>
          <w:divsChild>
            <w:div w:id="1577007939">
              <w:marLeft w:val="0"/>
              <w:marRight w:val="0"/>
              <w:marTop w:val="0"/>
              <w:marBottom w:val="0"/>
              <w:divBdr>
                <w:top w:val="none" w:sz="0" w:space="0" w:color="auto"/>
                <w:left w:val="none" w:sz="0" w:space="0" w:color="auto"/>
                <w:bottom w:val="none" w:sz="0" w:space="0" w:color="auto"/>
                <w:right w:val="none" w:sz="0" w:space="0" w:color="auto"/>
              </w:divBdr>
              <w:divsChild>
                <w:div w:id="2001884385">
                  <w:marLeft w:val="0"/>
                  <w:marRight w:val="0"/>
                  <w:marTop w:val="0"/>
                  <w:marBottom w:val="0"/>
                  <w:divBdr>
                    <w:top w:val="none" w:sz="0" w:space="0" w:color="auto"/>
                    <w:left w:val="none" w:sz="0" w:space="0" w:color="auto"/>
                    <w:bottom w:val="none" w:sz="0" w:space="0" w:color="auto"/>
                    <w:right w:val="none" w:sz="0" w:space="0" w:color="auto"/>
                  </w:divBdr>
                  <w:divsChild>
                    <w:div w:id="1915970653">
                      <w:marLeft w:val="0"/>
                      <w:marRight w:val="0"/>
                      <w:marTop w:val="0"/>
                      <w:marBottom w:val="0"/>
                      <w:divBdr>
                        <w:top w:val="none" w:sz="0" w:space="0" w:color="auto"/>
                        <w:left w:val="none" w:sz="0" w:space="0" w:color="auto"/>
                        <w:bottom w:val="none" w:sz="0" w:space="0" w:color="auto"/>
                        <w:right w:val="none" w:sz="0" w:space="0" w:color="auto"/>
                      </w:divBdr>
                      <w:divsChild>
                        <w:div w:id="1822962137">
                          <w:marLeft w:val="0"/>
                          <w:marRight w:val="0"/>
                          <w:marTop w:val="0"/>
                          <w:marBottom w:val="0"/>
                          <w:divBdr>
                            <w:top w:val="none" w:sz="0" w:space="0" w:color="auto"/>
                            <w:left w:val="none" w:sz="0" w:space="0" w:color="auto"/>
                            <w:bottom w:val="none" w:sz="0" w:space="0" w:color="auto"/>
                            <w:right w:val="none" w:sz="0" w:space="0" w:color="auto"/>
                          </w:divBdr>
                          <w:divsChild>
                            <w:div w:id="436142243">
                              <w:marLeft w:val="0"/>
                              <w:marRight w:val="0"/>
                              <w:marTop w:val="0"/>
                              <w:marBottom w:val="0"/>
                              <w:divBdr>
                                <w:top w:val="none" w:sz="0" w:space="0" w:color="auto"/>
                                <w:left w:val="none" w:sz="0" w:space="0" w:color="auto"/>
                                <w:bottom w:val="none" w:sz="0" w:space="0" w:color="auto"/>
                                <w:right w:val="none" w:sz="0" w:space="0" w:color="auto"/>
                              </w:divBdr>
                              <w:divsChild>
                                <w:div w:id="40591290">
                                  <w:marLeft w:val="0"/>
                                  <w:marRight w:val="0"/>
                                  <w:marTop w:val="0"/>
                                  <w:marBottom w:val="0"/>
                                  <w:divBdr>
                                    <w:top w:val="none" w:sz="0" w:space="0" w:color="auto"/>
                                    <w:left w:val="none" w:sz="0" w:space="0" w:color="auto"/>
                                    <w:bottom w:val="none" w:sz="0" w:space="0" w:color="auto"/>
                                    <w:right w:val="none" w:sz="0" w:space="0" w:color="auto"/>
                                  </w:divBdr>
                                  <w:divsChild>
                                    <w:div w:id="780609072">
                                      <w:marLeft w:val="0"/>
                                      <w:marRight w:val="0"/>
                                      <w:marTop w:val="0"/>
                                      <w:marBottom w:val="0"/>
                                      <w:divBdr>
                                        <w:top w:val="none" w:sz="0" w:space="0" w:color="auto"/>
                                        <w:left w:val="none" w:sz="0" w:space="0" w:color="auto"/>
                                        <w:bottom w:val="none" w:sz="0" w:space="0" w:color="auto"/>
                                        <w:right w:val="none" w:sz="0" w:space="0" w:color="auto"/>
                                      </w:divBdr>
                                      <w:divsChild>
                                        <w:div w:id="80716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5358381">
      <w:bodyDiv w:val="1"/>
      <w:marLeft w:val="0"/>
      <w:marRight w:val="0"/>
      <w:marTop w:val="0"/>
      <w:marBottom w:val="0"/>
      <w:divBdr>
        <w:top w:val="none" w:sz="0" w:space="0" w:color="auto"/>
        <w:left w:val="none" w:sz="0" w:space="0" w:color="auto"/>
        <w:bottom w:val="none" w:sz="0" w:space="0" w:color="auto"/>
        <w:right w:val="none" w:sz="0" w:space="0" w:color="auto"/>
      </w:divBdr>
    </w:div>
    <w:div w:id="1117874125">
      <w:bodyDiv w:val="1"/>
      <w:marLeft w:val="0"/>
      <w:marRight w:val="0"/>
      <w:marTop w:val="0"/>
      <w:marBottom w:val="0"/>
      <w:divBdr>
        <w:top w:val="none" w:sz="0" w:space="0" w:color="auto"/>
        <w:left w:val="none" w:sz="0" w:space="0" w:color="auto"/>
        <w:bottom w:val="none" w:sz="0" w:space="0" w:color="auto"/>
        <w:right w:val="none" w:sz="0" w:space="0" w:color="auto"/>
      </w:divBdr>
    </w:div>
    <w:div w:id="1325861332">
      <w:bodyDiv w:val="1"/>
      <w:marLeft w:val="0"/>
      <w:marRight w:val="0"/>
      <w:marTop w:val="0"/>
      <w:marBottom w:val="0"/>
      <w:divBdr>
        <w:top w:val="none" w:sz="0" w:space="0" w:color="auto"/>
        <w:left w:val="none" w:sz="0" w:space="0" w:color="auto"/>
        <w:bottom w:val="none" w:sz="0" w:space="0" w:color="auto"/>
        <w:right w:val="none" w:sz="0" w:space="0" w:color="auto"/>
      </w:divBdr>
      <w:divsChild>
        <w:div w:id="658577562">
          <w:marLeft w:val="0"/>
          <w:marRight w:val="0"/>
          <w:marTop w:val="0"/>
          <w:marBottom w:val="0"/>
          <w:divBdr>
            <w:top w:val="none" w:sz="0" w:space="0" w:color="auto"/>
            <w:left w:val="none" w:sz="0" w:space="0" w:color="auto"/>
            <w:bottom w:val="none" w:sz="0" w:space="0" w:color="auto"/>
            <w:right w:val="none" w:sz="0" w:space="0" w:color="auto"/>
          </w:divBdr>
          <w:divsChild>
            <w:div w:id="154077282">
              <w:marLeft w:val="0"/>
              <w:marRight w:val="0"/>
              <w:marTop w:val="0"/>
              <w:marBottom w:val="0"/>
              <w:divBdr>
                <w:top w:val="none" w:sz="0" w:space="0" w:color="auto"/>
                <w:left w:val="none" w:sz="0" w:space="0" w:color="auto"/>
                <w:bottom w:val="none" w:sz="0" w:space="0" w:color="auto"/>
                <w:right w:val="none" w:sz="0" w:space="0" w:color="auto"/>
              </w:divBdr>
              <w:divsChild>
                <w:div w:id="1836262696">
                  <w:marLeft w:val="0"/>
                  <w:marRight w:val="0"/>
                  <w:marTop w:val="0"/>
                  <w:marBottom w:val="0"/>
                  <w:divBdr>
                    <w:top w:val="none" w:sz="0" w:space="0" w:color="auto"/>
                    <w:left w:val="none" w:sz="0" w:space="0" w:color="auto"/>
                    <w:bottom w:val="none" w:sz="0" w:space="0" w:color="auto"/>
                    <w:right w:val="none" w:sz="0" w:space="0" w:color="auto"/>
                  </w:divBdr>
                  <w:divsChild>
                    <w:div w:id="1761368300">
                      <w:marLeft w:val="0"/>
                      <w:marRight w:val="0"/>
                      <w:marTop w:val="0"/>
                      <w:marBottom w:val="0"/>
                      <w:divBdr>
                        <w:top w:val="none" w:sz="0" w:space="0" w:color="auto"/>
                        <w:left w:val="none" w:sz="0" w:space="0" w:color="auto"/>
                        <w:bottom w:val="none" w:sz="0" w:space="0" w:color="auto"/>
                        <w:right w:val="none" w:sz="0" w:space="0" w:color="auto"/>
                      </w:divBdr>
                      <w:divsChild>
                        <w:div w:id="182785445">
                          <w:marLeft w:val="0"/>
                          <w:marRight w:val="0"/>
                          <w:marTop w:val="0"/>
                          <w:marBottom w:val="0"/>
                          <w:divBdr>
                            <w:top w:val="none" w:sz="0" w:space="0" w:color="auto"/>
                            <w:left w:val="none" w:sz="0" w:space="0" w:color="auto"/>
                            <w:bottom w:val="none" w:sz="0" w:space="0" w:color="auto"/>
                            <w:right w:val="none" w:sz="0" w:space="0" w:color="auto"/>
                          </w:divBdr>
                          <w:divsChild>
                            <w:div w:id="968167599">
                              <w:marLeft w:val="0"/>
                              <w:marRight w:val="0"/>
                              <w:marTop w:val="0"/>
                              <w:marBottom w:val="0"/>
                              <w:divBdr>
                                <w:top w:val="none" w:sz="0" w:space="0" w:color="auto"/>
                                <w:left w:val="none" w:sz="0" w:space="0" w:color="auto"/>
                                <w:bottom w:val="none" w:sz="0" w:space="0" w:color="auto"/>
                                <w:right w:val="none" w:sz="0" w:space="0" w:color="auto"/>
                              </w:divBdr>
                              <w:divsChild>
                                <w:div w:id="1410228993">
                                  <w:marLeft w:val="0"/>
                                  <w:marRight w:val="0"/>
                                  <w:marTop w:val="0"/>
                                  <w:marBottom w:val="0"/>
                                  <w:divBdr>
                                    <w:top w:val="none" w:sz="0" w:space="0" w:color="auto"/>
                                    <w:left w:val="none" w:sz="0" w:space="0" w:color="auto"/>
                                    <w:bottom w:val="none" w:sz="0" w:space="0" w:color="auto"/>
                                    <w:right w:val="none" w:sz="0" w:space="0" w:color="auto"/>
                                  </w:divBdr>
                                  <w:divsChild>
                                    <w:div w:id="472794526">
                                      <w:marLeft w:val="0"/>
                                      <w:marRight w:val="0"/>
                                      <w:marTop w:val="0"/>
                                      <w:marBottom w:val="0"/>
                                      <w:divBdr>
                                        <w:top w:val="none" w:sz="0" w:space="0" w:color="auto"/>
                                        <w:left w:val="none" w:sz="0" w:space="0" w:color="auto"/>
                                        <w:bottom w:val="none" w:sz="0" w:space="0" w:color="auto"/>
                                        <w:right w:val="none" w:sz="0" w:space="0" w:color="auto"/>
                                      </w:divBdr>
                                      <w:divsChild>
                                        <w:div w:id="80624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7390463">
      <w:bodyDiv w:val="1"/>
      <w:marLeft w:val="0"/>
      <w:marRight w:val="0"/>
      <w:marTop w:val="0"/>
      <w:marBottom w:val="0"/>
      <w:divBdr>
        <w:top w:val="none" w:sz="0" w:space="0" w:color="auto"/>
        <w:left w:val="none" w:sz="0" w:space="0" w:color="auto"/>
        <w:bottom w:val="none" w:sz="0" w:space="0" w:color="auto"/>
        <w:right w:val="none" w:sz="0" w:space="0" w:color="auto"/>
      </w:divBdr>
      <w:divsChild>
        <w:div w:id="1933706980">
          <w:marLeft w:val="0"/>
          <w:marRight w:val="0"/>
          <w:marTop w:val="0"/>
          <w:marBottom w:val="0"/>
          <w:divBdr>
            <w:top w:val="none" w:sz="0" w:space="0" w:color="auto"/>
            <w:left w:val="none" w:sz="0" w:space="0" w:color="auto"/>
            <w:bottom w:val="none" w:sz="0" w:space="0" w:color="auto"/>
            <w:right w:val="none" w:sz="0" w:space="0" w:color="auto"/>
          </w:divBdr>
          <w:divsChild>
            <w:div w:id="1483277375">
              <w:marLeft w:val="0"/>
              <w:marRight w:val="0"/>
              <w:marTop w:val="0"/>
              <w:marBottom w:val="0"/>
              <w:divBdr>
                <w:top w:val="none" w:sz="0" w:space="0" w:color="auto"/>
                <w:left w:val="none" w:sz="0" w:space="0" w:color="auto"/>
                <w:bottom w:val="none" w:sz="0" w:space="0" w:color="auto"/>
                <w:right w:val="none" w:sz="0" w:space="0" w:color="auto"/>
              </w:divBdr>
              <w:divsChild>
                <w:div w:id="1398625411">
                  <w:marLeft w:val="0"/>
                  <w:marRight w:val="0"/>
                  <w:marTop w:val="0"/>
                  <w:marBottom w:val="0"/>
                  <w:divBdr>
                    <w:top w:val="none" w:sz="0" w:space="0" w:color="auto"/>
                    <w:left w:val="none" w:sz="0" w:space="0" w:color="auto"/>
                    <w:bottom w:val="none" w:sz="0" w:space="0" w:color="auto"/>
                    <w:right w:val="none" w:sz="0" w:space="0" w:color="auto"/>
                  </w:divBdr>
                  <w:divsChild>
                    <w:div w:id="613515095">
                      <w:marLeft w:val="0"/>
                      <w:marRight w:val="0"/>
                      <w:marTop w:val="0"/>
                      <w:marBottom w:val="0"/>
                      <w:divBdr>
                        <w:top w:val="none" w:sz="0" w:space="0" w:color="auto"/>
                        <w:left w:val="none" w:sz="0" w:space="0" w:color="auto"/>
                        <w:bottom w:val="none" w:sz="0" w:space="0" w:color="auto"/>
                        <w:right w:val="none" w:sz="0" w:space="0" w:color="auto"/>
                      </w:divBdr>
                      <w:divsChild>
                        <w:div w:id="233786958">
                          <w:marLeft w:val="0"/>
                          <w:marRight w:val="0"/>
                          <w:marTop w:val="0"/>
                          <w:marBottom w:val="0"/>
                          <w:divBdr>
                            <w:top w:val="none" w:sz="0" w:space="0" w:color="auto"/>
                            <w:left w:val="none" w:sz="0" w:space="0" w:color="auto"/>
                            <w:bottom w:val="none" w:sz="0" w:space="0" w:color="auto"/>
                            <w:right w:val="none" w:sz="0" w:space="0" w:color="auto"/>
                          </w:divBdr>
                          <w:divsChild>
                            <w:div w:id="697269274">
                              <w:marLeft w:val="0"/>
                              <w:marRight w:val="0"/>
                              <w:marTop w:val="0"/>
                              <w:marBottom w:val="0"/>
                              <w:divBdr>
                                <w:top w:val="none" w:sz="0" w:space="0" w:color="auto"/>
                                <w:left w:val="none" w:sz="0" w:space="0" w:color="auto"/>
                                <w:bottom w:val="none" w:sz="0" w:space="0" w:color="auto"/>
                                <w:right w:val="none" w:sz="0" w:space="0" w:color="auto"/>
                              </w:divBdr>
                              <w:divsChild>
                                <w:div w:id="2009669195">
                                  <w:marLeft w:val="0"/>
                                  <w:marRight w:val="0"/>
                                  <w:marTop w:val="0"/>
                                  <w:marBottom w:val="0"/>
                                  <w:divBdr>
                                    <w:top w:val="none" w:sz="0" w:space="0" w:color="auto"/>
                                    <w:left w:val="none" w:sz="0" w:space="0" w:color="auto"/>
                                    <w:bottom w:val="none" w:sz="0" w:space="0" w:color="auto"/>
                                    <w:right w:val="none" w:sz="0" w:space="0" w:color="auto"/>
                                  </w:divBdr>
                                  <w:divsChild>
                                    <w:div w:id="63381793">
                                      <w:marLeft w:val="0"/>
                                      <w:marRight w:val="0"/>
                                      <w:marTop w:val="0"/>
                                      <w:marBottom w:val="0"/>
                                      <w:divBdr>
                                        <w:top w:val="none" w:sz="0" w:space="0" w:color="auto"/>
                                        <w:left w:val="none" w:sz="0" w:space="0" w:color="auto"/>
                                        <w:bottom w:val="none" w:sz="0" w:space="0" w:color="auto"/>
                                        <w:right w:val="none" w:sz="0" w:space="0" w:color="auto"/>
                                      </w:divBdr>
                                      <w:divsChild>
                                        <w:div w:id="128693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812001">
      <w:bodyDiv w:val="1"/>
      <w:marLeft w:val="0"/>
      <w:marRight w:val="0"/>
      <w:marTop w:val="0"/>
      <w:marBottom w:val="0"/>
      <w:divBdr>
        <w:top w:val="none" w:sz="0" w:space="0" w:color="auto"/>
        <w:left w:val="none" w:sz="0" w:space="0" w:color="auto"/>
        <w:bottom w:val="none" w:sz="0" w:space="0" w:color="auto"/>
        <w:right w:val="none" w:sz="0" w:space="0" w:color="auto"/>
      </w:divBdr>
    </w:div>
    <w:div w:id="1745905746">
      <w:bodyDiv w:val="1"/>
      <w:marLeft w:val="0"/>
      <w:marRight w:val="0"/>
      <w:marTop w:val="0"/>
      <w:marBottom w:val="0"/>
      <w:divBdr>
        <w:top w:val="none" w:sz="0" w:space="0" w:color="auto"/>
        <w:left w:val="none" w:sz="0" w:space="0" w:color="auto"/>
        <w:bottom w:val="none" w:sz="0" w:space="0" w:color="auto"/>
        <w:right w:val="none" w:sz="0" w:space="0" w:color="auto"/>
      </w:divBdr>
    </w:div>
    <w:div w:id="200758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header" Target="header6.xml"/><Relationship Id="rId26" Type="http://schemas.openxmlformats.org/officeDocument/2006/relationships/hyperlink" Target="http://www.deloitte.com.au" TargetMode="Externa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5.xm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11.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header" Target="header10.xml"/><Relationship Id="rId27" Type="http://schemas.openxmlformats.org/officeDocument/2006/relationships/fontTable" Target="fontTable.xml"/><Relationship Id="rId30"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A217076F0871349BCBE5A6EC7EEC4B3" ma:contentTypeVersion="43" ma:contentTypeDescription="Create a new document." ma:contentTypeScope="" ma:versionID="2ad65dcd2287509892a5262dc0626b5d">
  <xsd:schema xmlns:xsd="http://www.w3.org/2001/XMLSchema" xmlns:xs="http://www.w3.org/2001/XMLSchema" xmlns:p="http://schemas.microsoft.com/office/2006/metadata/properties" xmlns:ns2="dcf7b372-aaaa-46d8-9da6-ade9aab953df" xmlns:ns3="236487dd-ec90-4f99-8970-1318e5f29791" targetNamespace="http://schemas.microsoft.com/office/2006/metadata/properties" ma:root="true" ma:fieldsID="68b8e78cdb2e0c6e71dafa509c2a0510" ns2:_="" ns3:_="">
    <xsd:import namespace="dcf7b372-aaaa-46d8-9da6-ade9aab953df"/>
    <xsd:import namespace="236487dd-ec90-4f99-8970-1318e5f29791"/>
    <xsd:element name="properties">
      <xsd:complexType>
        <xsd:sequence>
          <xsd:element name="documentManagement">
            <xsd:complexType>
              <xsd:all>
                <xsd:element ref="ns2:_Flow_SignoffStatus" minOccurs="0"/>
                <xsd:element ref="ns2:Reviewer" minOccurs="0"/>
                <xsd:element ref="ns2:Status" minOccurs="0"/>
                <xsd:element ref="ns2:Subtypes" minOccurs="0"/>
                <xsd:element ref="ns2:URLpatter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3:TaxCatchAll" minOccurs="0"/>
                <xsd:element ref="ns2:lcf76f155ced4ddcb4097134ff3c332f" minOccurs="0"/>
                <xsd:element ref="ns2:Peerreviewed_x003f_"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f7b372-aaaa-46d8-9da6-ade9aab953df"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ma:readOnly="false">
      <xsd:simpleType>
        <xsd:restriction base="dms:Text"/>
      </xsd:simpleType>
    </xsd:element>
    <xsd:element name="Reviewer" ma:index="3" nillable="true" ma:displayName="Use case" ma:description="Who is reviewing the content to ensure it is current, accurate and relevant?" ma:format="Dropdown" ma:internalName="Reviewer" ma:readOnly="false">
      <xsd:simpleType>
        <xsd:restriction base="dms:Text">
          <xsd:maxLength value="255"/>
        </xsd:restriction>
      </xsd:simpleType>
    </xsd:element>
    <xsd:element name="Status" ma:index="4" nillable="true" ma:displayName="Status" ma:format="Dropdown" ma:internalName="Status" ma:readOnly="false">
      <xsd:simpleType>
        <xsd:restriction base="dms:Choice">
          <xsd:enumeration value="Not started"/>
          <xsd:enumeration value="Drafting"/>
          <xsd:enumeration value="Ready for review"/>
          <xsd:enumeration value="Reviewed"/>
          <xsd:enumeration value="Ready for approval"/>
          <xsd:enumeration value="Blocked"/>
          <xsd:enumeration value="Published"/>
          <xsd:enumeration value="Archived"/>
        </xsd:restriction>
      </xsd:simpleType>
    </xsd:element>
    <xsd:element name="Subtypes" ma:index="5" nillable="true" ma:displayName="Subtypes" ma:description="Subtypes available to the template&#10;" ma:format="Dropdown" ma:internalName="Subtypes" ma:readOnly="false">
      <xsd:simpleType>
        <xsd:restriction base="dms:Note">
          <xsd:maxLength value="255"/>
        </xsd:restriction>
      </xsd:simpleType>
    </xsd:element>
    <xsd:element name="URLpattern" ma:index="6" nillable="true" ma:displayName="URL pattern" ma:description="The URL pattern to be followed for all objects of this type" ma:format="Dropdown" ma:internalName="URLpattern"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Peerreviewed_x003f_" ma:index="28" nillable="true" ma:displayName="SME reviewed?" ma:default="0" ma:format="Dropdown" ma:internalName="Peerreviewed_x003f_">
      <xsd:simpleType>
        <xsd:restriction base="dms:Boolean"/>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6487dd-ec90-4f99-8970-1318e5f29791"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5" nillable="true" ma:displayName="Taxonomy Catch All Column" ma:hidden="true" ma:list="{ac229c01-420d-4fb4-94f6-2b9ca1e2fb91}" ma:internalName="TaxCatchAll" ma:readOnly="false" ma:showField="CatchAllData" ma:web="236487dd-ec90-4f99-8970-1318e5f297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36487dd-ec90-4f99-8970-1318e5f29791" xsi:nil="true"/>
    <Status xmlns="dcf7b372-aaaa-46d8-9da6-ade9aab953df" xsi:nil="true"/>
    <lcf76f155ced4ddcb4097134ff3c332f xmlns="dcf7b372-aaaa-46d8-9da6-ade9aab953df">
      <Terms xmlns="http://schemas.microsoft.com/office/infopath/2007/PartnerControls"/>
    </lcf76f155ced4ddcb4097134ff3c332f>
    <URLpattern xmlns="dcf7b372-aaaa-46d8-9da6-ade9aab953df" xsi:nil="true"/>
    <Reviewer xmlns="dcf7b372-aaaa-46d8-9da6-ade9aab953df" xsi:nil="true"/>
    <_Flow_SignoffStatus xmlns="dcf7b372-aaaa-46d8-9da6-ade9aab953df" xsi:nil="true"/>
    <Subtypes xmlns="dcf7b372-aaaa-46d8-9da6-ade9aab953df" xsi:nil="true"/>
    <Peerreviewed_x003f_ xmlns="dcf7b372-aaaa-46d8-9da6-ade9aab953df">false</Peerreviewed_x003f_>
  </documentManagement>
</p:properties>
</file>

<file path=customXml/itemProps1.xml><?xml version="1.0" encoding="utf-8"?>
<ds:datastoreItem xmlns:ds="http://schemas.openxmlformats.org/officeDocument/2006/customXml" ds:itemID="{C43B226B-FE53-4956-8044-045B5868898E}">
  <ds:schemaRefs>
    <ds:schemaRef ds:uri="http://schemas.openxmlformats.org/officeDocument/2006/bibliography"/>
  </ds:schemaRefs>
</ds:datastoreItem>
</file>

<file path=customXml/itemProps2.xml><?xml version="1.0" encoding="utf-8"?>
<ds:datastoreItem xmlns:ds="http://schemas.openxmlformats.org/officeDocument/2006/customXml" ds:itemID="{2EE45CE4-0A0C-431D-95ED-B1C6584C0E95}"/>
</file>

<file path=customXml/itemProps3.xml><?xml version="1.0" encoding="utf-8"?>
<ds:datastoreItem xmlns:ds="http://schemas.openxmlformats.org/officeDocument/2006/customXml" ds:itemID="{3F29C79E-B71B-4A23-ABB0-12CF773DFB78}"/>
</file>

<file path=customXml/itemProps4.xml><?xml version="1.0" encoding="utf-8"?>
<ds:datastoreItem xmlns:ds="http://schemas.openxmlformats.org/officeDocument/2006/customXml" ds:itemID="{6D19F986-6AB6-47DC-A05A-FFFAE3004831}"/>
</file>

<file path=docProps/app.xml><?xml version="1.0" encoding="utf-8"?>
<Properties xmlns="http://schemas.openxmlformats.org/officeDocument/2006/extended-properties" xmlns:vt="http://schemas.openxmlformats.org/officeDocument/2006/docPropsVTypes">
  <Template>Normal.dotm</Template>
  <TotalTime>51</TotalTime>
  <Pages>15</Pages>
  <Words>4440</Words>
  <Characters>25314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Sports Supplements Roundtable: Report on discussions and next steps</vt:lpstr>
    </vt:vector>
  </TitlesOfParts>
  <Company/>
  <LinksUpToDate>false</LinksUpToDate>
  <CharactersWithSpaces>29695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Sports Supplements Roundtable: Report on discussions and next steps</dc:title>
  <dc:subject>Food safety</dc:subject>
  <dc:creator>Deloitte</dc:creator>
  <cp:keywords>pre-workout; high protein diet</cp:keywords>
  <cp:lastModifiedBy>MORRISON, Lisa</cp:lastModifiedBy>
  <cp:revision>7</cp:revision>
  <cp:lastPrinted>2018-08-20T04:48:00Z</cp:lastPrinted>
  <dcterms:created xsi:type="dcterms:W3CDTF">2023-03-14T23:06:00Z</dcterms:created>
  <dcterms:modified xsi:type="dcterms:W3CDTF">2023-03-20T04:31:00Z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0x010100BA217076F0871349BCBE5A6EC7EEC4B3</vt:lpwstr>
  </property>
</Properties>
</file>