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61CE0" w14:textId="2837FEDA" w:rsidR="00F075AD" w:rsidRPr="00534542" w:rsidRDefault="00F075AD" w:rsidP="00534542">
      <w:pPr>
        <w:spacing w:before="1440"/>
        <w:rPr>
          <w:color w:val="FFFFFF" w:themeColor="background1"/>
          <w:sz w:val="56"/>
          <w:szCs w:val="56"/>
          <w:lang w:eastAsia="ja-JP"/>
        </w:rPr>
        <w:sectPr w:rsidR="00F075AD" w:rsidRPr="00534542" w:rsidSect="004F22BF">
          <w:headerReference w:type="default" r:id="rId11"/>
          <w:footerReference w:type="even" r:id="rId12"/>
          <w:pgSz w:w="11900" w:h="16840"/>
          <w:pgMar w:top="0" w:right="1440" w:bottom="1440" w:left="1440" w:header="708" w:footer="708" w:gutter="0"/>
          <w:cols w:space="708"/>
          <w:docGrid w:linePitch="360"/>
        </w:sectPr>
      </w:pPr>
      <w:bookmarkStart w:id="0" w:name="_Hlk62047129"/>
      <w:bookmarkEnd w:id="0"/>
      <w:r w:rsidRPr="00267F53">
        <w:rPr>
          <w:noProof/>
          <w:color w:val="FFFFFF" w:themeColor="background1"/>
          <w:sz w:val="56"/>
          <w:szCs w:val="56"/>
          <w:lang w:eastAsia="en-AU"/>
        </w:rPr>
        <mc:AlternateContent>
          <mc:Choice Requires="wps">
            <w:drawing>
              <wp:anchor distT="0" distB="0" distL="114300" distR="114300" simplePos="0" relativeHeight="251673600" behindDoc="1" locked="0" layoutInCell="1" allowOverlap="1" wp14:anchorId="14D2659E" wp14:editId="66911DB6">
                <wp:simplePos x="0" y="0"/>
                <wp:positionH relativeFrom="margin">
                  <wp:align>center</wp:align>
                </wp:positionH>
                <wp:positionV relativeFrom="margin">
                  <wp:align>center</wp:align>
                </wp:positionV>
                <wp:extent cx="6782435" cy="9946640"/>
                <wp:effectExtent l="0" t="0" r="0" b="0"/>
                <wp:wrapNone/>
                <wp:docPr id="1" name="Rounded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2435" cy="9946640"/>
                        </a:xfrm>
                        <a:prstGeom prst="roundRect">
                          <a:avLst>
                            <a:gd name="adj" fmla="val 4981"/>
                          </a:avLst>
                        </a:prstGeom>
                        <a:solidFill>
                          <a:srgbClr val="516A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19B35" w14:textId="77777777" w:rsidR="006128A4" w:rsidRDefault="006128A4" w:rsidP="006128A4">
                            <w:pPr>
                              <w:pStyle w:val="Title"/>
                              <w:ind w:left="426"/>
                            </w:pPr>
                          </w:p>
                          <w:p w14:paraId="305C34FE" w14:textId="77777777" w:rsidR="006128A4" w:rsidRDefault="006128A4" w:rsidP="006128A4">
                            <w:pPr>
                              <w:pStyle w:val="Title"/>
                              <w:ind w:left="426"/>
                            </w:pPr>
                          </w:p>
                          <w:p w14:paraId="7E28F6DC" w14:textId="3E4CAEC7" w:rsidR="006128A4" w:rsidRPr="00267F53" w:rsidRDefault="006128A4" w:rsidP="00534542">
                            <w:pPr>
                              <w:pStyle w:val="Title"/>
                              <w:spacing w:before="960"/>
                              <w:ind w:left="425"/>
                            </w:pPr>
                            <w:r w:rsidRPr="00267F53">
                              <w:t xml:space="preserve">Key areas of inconsistency </w:t>
                            </w:r>
                            <w:r w:rsidRPr="00267F53">
                              <w:br/>
                              <w:t xml:space="preserve">in food regulation </w:t>
                            </w:r>
                          </w:p>
                          <w:p w14:paraId="049349C4" w14:textId="77777777" w:rsidR="006128A4" w:rsidRPr="00267F53" w:rsidRDefault="006128A4" w:rsidP="006128A4">
                            <w:pPr>
                              <w:pStyle w:val="Title"/>
                              <w:ind w:left="426"/>
                            </w:pPr>
                            <w:r w:rsidRPr="00267F53">
                              <w:t>Report</w:t>
                            </w:r>
                          </w:p>
                          <w:p w14:paraId="218190CA" w14:textId="77777777" w:rsidR="006128A4" w:rsidRPr="00267F53" w:rsidRDefault="006128A4" w:rsidP="006128A4">
                            <w:pPr>
                              <w:pStyle w:val="Subtitle"/>
                              <w:ind w:left="426"/>
                            </w:pPr>
                            <w:r w:rsidRPr="00267F53">
                              <w:br/>
                            </w:r>
                            <w:r>
                              <w:t>26</w:t>
                            </w:r>
                            <w:r w:rsidRPr="00267F53">
                              <w:t xml:space="preserve"> February 2021</w:t>
                            </w:r>
                          </w:p>
                          <w:p w14:paraId="029C4BC9" w14:textId="77777777" w:rsidR="006128A4" w:rsidRDefault="000E3EF7" w:rsidP="000E3EF7">
                            <w:pPr>
                              <w:ind w:left="426"/>
                            </w:pPr>
                            <w:r w:rsidRPr="00267F53">
                              <w:rPr>
                                <w:noProof/>
                                <w:lang w:eastAsia="en-AU"/>
                              </w:rPr>
                              <w:drawing>
                                <wp:inline distT="0" distB="0" distL="0" distR="0" wp14:anchorId="5A1AD6CE" wp14:editId="52AF95FF">
                                  <wp:extent cx="2223135" cy="389652"/>
                                  <wp:effectExtent l="0" t="0" r="0" b="0"/>
                                  <wp:docPr id="5" name="Picture 5" descr="mpconsulting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pc-logo-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3135" cy="38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2659E" id="Rounded Rectangle 1" o:spid="_x0000_s1026" alt="&quot;&quot;" style="position:absolute;margin-left:0;margin-top:0;width:534.05pt;height:783.2pt;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arcsize="3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" fillcolor="#516a8e" stroked="f" strokeweight="1pt">
                <v:stroke joinstyle="miter"/>
                <v:textbox>
                  <w:txbxContent>
                    <w:p w14:paraId="5B719B35" w14:textId="77777777" w:rsidR="006128A4" w:rsidRDefault="006128A4" w:rsidP="006128A4">
                      <w:pPr>
                        <w:pStyle w:val="Title"/>
                        <w:ind w:left="426"/>
                      </w:pPr>
                    </w:p>
                    <w:p w14:paraId="305C34FE" w14:textId="77777777" w:rsidR="006128A4" w:rsidRDefault="006128A4" w:rsidP="006128A4">
                      <w:pPr>
                        <w:pStyle w:val="Title"/>
                        <w:ind w:left="426"/>
                      </w:pPr>
                    </w:p>
                    <w:p w14:paraId="7E28F6DC" w14:textId="3E4CAEC7" w:rsidR="006128A4" w:rsidRPr="00267F53" w:rsidRDefault="006128A4" w:rsidP="00534542">
                      <w:pPr>
                        <w:pStyle w:val="Title"/>
                        <w:spacing w:before="960"/>
                        <w:ind w:left="425"/>
                      </w:pPr>
                      <w:r w:rsidRPr="00267F53">
                        <w:t xml:space="preserve">Key areas of inconsistency </w:t>
                      </w:r>
                      <w:r w:rsidRPr="00267F53">
                        <w:br/>
                        <w:t xml:space="preserve">in food regulation </w:t>
                      </w:r>
                    </w:p>
                    <w:p w14:paraId="049349C4" w14:textId="77777777" w:rsidR="006128A4" w:rsidRPr="00267F53" w:rsidRDefault="006128A4" w:rsidP="006128A4">
                      <w:pPr>
                        <w:pStyle w:val="Title"/>
                        <w:ind w:left="426"/>
                      </w:pPr>
                      <w:r w:rsidRPr="00267F53">
                        <w:t>Report</w:t>
                      </w:r>
                    </w:p>
                    <w:p w14:paraId="218190CA" w14:textId="77777777" w:rsidR="006128A4" w:rsidRPr="00267F53" w:rsidRDefault="006128A4" w:rsidP="006128A4">
                      <w:pPr>
                        <w:pStyle w:val="Subtitle"/>
                        <w:ind w:left="426"/>
                      </w:pPr>
                      <w:r w:rsidRPr="00267F53">
                        <w:br/>
                      </w:r>
                      <w:r>
                        <w:t>26</w:t>
                      </w:r>
                      <w:r w:rsidRPr="00267F53">
                        <w:t xml:space="preserve"> February 2021</w:t>
                      </w:r>
                    </w:p>
                    <w:p w14:paraId="029C4BC9" w14:textId="77777777" w:rsidR="006128A4" w:rsidRDefault="000E3EF7" w:rsidP="000E3EF7">
                      <w:pPr>
                        <w:ind w:left="426"/>
                      </w:pPr>
                      <w:r w:rsidRPr="00267F53">
                        <w:rPr>
                          <w:noProof/>
                          <w:lang w:eastAsia="en-AU"/>
                        </w:rPr>
                        <w:drawing>
                          <wp:inline distT="0" distB="0" distL="0" distR="0" wp14:anchorId="5A1AD6CE" wp14:editId="52AF95FF">
                            <wp:extent cx="2223135" cy="389652"/>
                            <wp:effectExtent l="0" t="0" r="0" b="0"/>
                            <wp:docPr id="5" name="Picture 5" descr="mpconsulting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pc-logo-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3135" cy="389652"/>
                                    </a:xfrm>
                                    <a:prstGeom prst="rect">
                                      <a:avLst/>
                                    </a:prstGeom>
                                  </pic:spPr>
                                </pic:pic>
                              </a:graphicData>
                            </a:graphic>
                          </wp:inline>
                        </w:drawing>
                      </w:r>
                    </w:p>
                  </w:txbxContent>
                </v:textbox>
                <w10:wrap anchorx="margin" anchory="margin"/>
              </v:roundrect>
            </w:pict>
          </mc:Fallback>
        </mc:AlternateContent>
      </w:r>
      <w:bookmarkStart w:id="1" w:name="_Toc25654660"/>
    </w:p>
    <w:bookmarkStart w:id="2" w:name="__Food_system_reform" w:displacedByCustomXml="next"/>
    <w:bookmarkEnd w:id="2" w:displacedByCustomXml="next"/>
    <w:bookmarkStart w:id="3" w:name="_Toc65059132" w:displacedByCustomXml="next"/>
    <w:bookmarkStart w:id="4" w:name="_Toc63437675" w:displacedByCustomXml="next"/>
    <w:bookmarkStart w:id="5" w:name="_Toc62481962" w:displacedByCustomXml="next"/>
    <w:bookmarkStart w:id="6" w:name="_Toc62481881" w:displacedByCustomXml="next"/>
    <w:bookmarkStart w:id="7" w:name="_Toc62457546" w:displacedByCustomXml="next"/>
    <w:bookmarkStart w:id="8" w:name="_Toc62401938" w:displacedByCustomXml="next"/>
    <w:bookmarkStart w:id="9" w:name="_Toc62124539" w:displacedByCustomXml="next"/>
    <w:bookmarkStart w:id="10" w:name="_Toc62122978" w:displacedByCustomXml="next"/>
    <w:bookmarkStart w:id="11" w:name="_Toc62053985" w:displacedByCustomXml="next"/>
    <w:bookmarkStart w:id="12" w:name="_Toc62219398" w:displacedByCustomXml="next"/>
    <w:bookmarkStart w:id="13" w:name="_Toc62221300" w:displacedByCustomXml="next"/>
    <w:bookmarkStart w:id="14" w:name="_Toc62221558" w:displacedByCustomXml="next"/>
    <w:bookmarkStart w:id="15" w:name="_Toc62227278" w:displacedByCustomXml="next"/>
    <w:bookmarkStart w:id="16" w:name="_Toc62464059" w:displacedByCustomXml="next"/>
    <w:bookmarkStart w:id="17" w:name="_Toc63247904" w:displacedByCustomXml="next"/>
    <w:bookmarkStart w:id="18" w:name="_Toc63248020" w:displacedByCustomXml="next"/>
    <w:bookmarkStart w:id="19" w:name="_Toc63248196" w:displacedByCustomXml="next"/>
    <w:bookmarkStart w:id="20" w:name="_Toc63429275" w:displacedByCustomXml="next"/>
    <w:bookmarkStart w:id="21" w:name="_Toc63429309" w:displacedByCustomXml="next"/>
    <w:bookmarkStart w:id="22" w:name="_Toc63709323" w:displacedByCustomXml="next"/>
    <w:bookmarkStart w:id="23" w:name="_Toc65048489" w:displacedByCustomXml="next"/>
    <w:bookmarkStart w:id="24" w:name="_Toc65049134" w:displacedByCustomXml="next"/>
    <w:sdt>
      <w:sdtPr>
        <w:rPr>
          <w:rFonts w:cs="Times New Roman"/>
          <w:b w:val="0"/>
          <w:sz w:val="24"/>
          <w:szCs w:val="24"/>
          <w:lang w:eastAsia="en-GB"/>
        </w:rPr>
        <w:id w:val="-1799905959"/>
        <w:docPartObj>
          <w:docPartGallery w:val="Table of Contents"/>
          <w:docPartUnique/>
        </w:docPartObj>
      </w:sdtPr>
      <w:sdtEndPr>
        <w:rPr>
          <w:bCs/>
        </w:rPr>
      </w:sdtEndPr>
      <w:sdtContent>
        <w:p w14:paraId="78EE9EC7" w14:textId="77777777" w:rsidR="00775181" w:rsidRPr="00267F53" w:rsidRDefault="00775181" w:rsidP="00775181">
          <w:pPr>
            <w:pStyle w:val="TOCHeading"/>
            <w:spacing w:before="60"/>
          </w:pPr>
          <w:r w:rsidRPr="00267F53">
            <w:t>Table of Contents</w:t>
          </w:r>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p>
        <w:p w14:paraId="754E3D96" w14:textId="77777777" w:rsidR="00C573F4" w:rsidRDefault="00775181">
          <w:pPr>
            <w:pStyle w:val="TOC1"/>
            <w:rPr>
              <w:rFonts w:eastAsiaTheme="minorEastAsia" w:cstheme="minorBidi"/>
              <w:b w:val="0"/>
              <w:bCs w:val="0"/>
            </w:rPr>
          </w:pPr>
          <w:r w:rsidRPr="00267F53">
            <w:rPr>
              <w:noProof w:val="0"/>
            </w:rPr>
            <w:fldChar w:fldCharType="begin"/>
          </w:r>
          <w:r w:rsidRPr="00267F53">
            <w:rPr>
              <w:noProof w:val="0"/>
            </w:rPr>
            <w:instrText xml:space="preserve"> TOC \o "1-3" \h \z \u </w:instrText>
          </w:r>
          <w:r w:rsidRPr="00267F53">
            <w:rPr>
              <w:noProof w:val="0"/>
            </w:rPr>
            <w:fldChar w:fldCharType="separate"/>
          </w:r>
          <w:hyperlink w:anchor="_Toc65059133" w:history="1">
            <w:r w:rsidR="00C573F4" w:rsidRPr="006B33E4">
              <w:rPr>
                <w:rStyle w:val="Hyperlink"/>
              </w:rPr>
              <w:t>Chapter 1: Introduction</w:t>
            </w:r>
            <w:r w:rsidR="00C573F4">
              <w:rPr>
                <w:webHidden/>
              </w:rPr>
              <w:tab/>
            </w:r>
            <w:r w:rsidR="00C573F4">
              <w:rPr>
                <w:webHidden/>
              </w:rPr>
              <w:fldChar w:fldCharType="begin"/>
            </w:r>
            <w:r w:rsidR="00C573F4">
              <w:rPr>
                <w:webHidden/>
              </w:rPr>
              <w:instrText xml:space="preserve"> PAGEREF _Toc65059133 \h </w:instrText>
            </w:r>
            <w:r w:rsidR="00C573F4">
              <w:rPr>
                <w:webHidden/>
              </w:rPr>
            </w:r>
            <w:r w:rsidR="00C573F4">
              <w:rPr>
                <w:webHidden/>
              </w:rPr>
              <w:fldChar w:fldCharType="separate"/>
            </w:r>
            <w:r w:rsidR="00B84B4B">
              <w:rPr>
                <w:webHidden/>
              </w:rPr>
              <w:t>3</w:t>
            </w:r>
            <w:r w:rsidR="00C573F4">
              <w:rPr>
                <w:webHidden/>
              </w:rPr>
              <w:fldChar w:fldCharType="end"/>
            </w:r>
          </w:hyperlink>
        </w:p>
        <w:p w14:paraId="559DA917" w14:textId="77777777" w:rsidR="00C573F4" w:rsidRDefault="00000000">
          <w:pPr>
            <w:pStyle w:val="TOC2"/>
            <w:tabs>
              <w:tab w:val="right" w:leader="dot" w:pos="9736"/>
            </w:tabs>
            <w:rPr>
              <w:rFonts w:eastAsiaTheme="minorEastAsia" w:cstheme="minorBidi"/>
              <w:bCs w:val="0"/>
              <w:noProof/>
              <w:sz w:val="24"/>
              <w:szCs w:val="24"/>
            </w:rPr>
          </w:pPr>
          <w:hyperlink w:anchor="_Toc65059134" w:history="1">
            <w:r w:rsidR="00C573F4" w:rsidRPr="006B33E4">
              <w:rPr>
                <w:rStyle w:val="Hyperlink"/>
                <w:noProof/>
              </w:rPr>
              <w:t>Background</w:t>
            </w:r>
            <w:r w:rsidR="00C573F4">
              <w:rPr>
                <w:noProof/>
                <w:webHidden/>
              </w:rPr>
              <w:tab/>
            </w:r>
            <w:r w:rsidR="00C573F4">
              <w:rPr>
                <w:noProof/>
                <w:webHidden/>
              </w:rPr>
              <w:fldChar w:fldCharType="begin"/>
            </w:r>
            <w:r w:rsidR="00C573F4">
              <w:rPr>
                <w:noProof/>
                <w:webHidden/>
              </w:rPr>
              <w:instrText xml:space="preserve"> PAGEREF _Toc65059134 \h </w:instrText>
            </w:r>
            <w:r w:rsidR="00C573F4">
              <w:rPr>
                <w:noProof/>
                <w:webHidden/>
              </w:rPr>
            </w:r>
            <w:r w:rsidR="00C573F4">
              <w:rPr>
                <w:noProof/>
                <w:webHidden/>
              </w:rPr>
              <w:fldChar w:fldCharType="separate"/>
            </w:r>
            <w:r w:rsidR="00B84B4B">
              <w:rPr>
                <w:noProof/>
                <w:webHidden/>
              </w:rPr>
              <w:t>3</w:t>
            </w:r>
            <w:r w:rsidR="00C573F4">
              <w:rPr>
                <w:noProof/>
                <w:webHidden/>
              </w:rPr>
              <w:fldChar w:fldCharType="end"/>
            </w:r>
          </w:hyperlink>
        </w:p>
        <w:p w14:paraId="1C6CAC1A" w14:textId="77777777" w:rsidR="00C573F4" w:rsidRDefault="00000000">
          <w:pPr>
            <w:pStyle w:val="TOC2"/>
            <w:tabs>
              <w:tab w:val="right" w:leader="dot" w:pos="9736"/>
            </w:tabs>
            <w:rPr>
              <w:rFonts w:eastAsiaTheme="minorEastAsia" w:cstheme="minorBidi"/>
              <w:bCs w:val="0"/>
              <w:noProof/>
              <w:sz w:val="24"/>
              <w:szCs w:val="24"/>
            </w:rPr>
          </w:pPr>
          <w:hyperlink w:anchor="_Toc65059135" w:history="1">
            <w:r w:rsidR="00C573F4" w:rsidRPr="006B33E4">
              <w:rPr>
                <w:rStyle w:val="Hyperlink"/>
                <w:noProof/>
              </w:rPr>
              <w:t>Process</w:t>
            </w:r>
            <w:r w:rsidR="00C573F4">
              <w:rPr>
                <w:noProof/>
                <w:webHidden/>
              </w:rPr>
              <w:tab/>
            </w:r>
            <w:r w:rsidR="00C573F4">
              <w:rPr>
                <w:noProof/>
                <w:webHidden/>
              </w:rPr>
              <w:fldChar w:fldCharType="begin"/>
            </w:r>
            <w:r w:rsidR="00C573F4">
              <w:rPr>
                <w:noProof/>
                <w:webHidden/>
              </w:rPr>
              <w:instrText xml:space="preserve"> PAGEREF _Toc65059135 \h </w:instrText>
            </w:r>
            <w:r w:rsidR="00C573F4">
              <w:rPr>
                <w:noProof/>
                <w:webHidden/>
              </w:rPr>
            </w:r>
            <w:r w:rsidR="00C573F4">
              <w:rPr>
                <w:noProof/>
                <w:webHidden/>
              </w:rPr>
              <w:fldChar w:fldCharType="separate"/>
            </w:r>
            <w:r w:rsidR="00B84B4B">
              <w:rPr>
                <w:noProof/>
                <w:webHidden/>
              </w:rPr>
              <w:t>3</w:t>
            </w:r>
            <w:r w:rsidR="00C573F4">
              <w:rPr>
                <w:noProof/>
                <w:webHidden/>
              </w:rPr>
              <w:fldChar w:fldCharType="end"/>
            </w:r>
          </w:hyperlink>
        </w:p>
        <w:p w14:paraId="101325A2" w14:textId="77777777" w:rsidR="00C573F4" w:rsidRDefault="00000000">
          <w:pPr>
            <w:pStyle w:val="TOC2"/>
            <w:tabs>
              <w:tab w:val="right" w:leader="dot" w:pos="9736"/>
            </w:tabs>
            <w:rPr>
              <w:rFonts w:eastAsiaTheme="minorEastAsia" w:cstheme="minorBidi"/>
              <w:bCs w:val="0"/>
              <w:noProof/>
              <w:sz w:val="24"/>
              <w:szCs w:val="24"/>
            </w:rPr>
          </w:pPr>
          <w:hyperlink w:anchor="_Toc65059136" w:history="1">
            <w:r w:rsidR="00C573F4" w:rsidRPr="006B33E4">
              <w:rPr>
                <w:rStyle w:val="Hyperlink"/>
                <w:noProof/>
              </w:rPr>
              <w:t>Stakeholder feedback</w:t>
            </w:r>
            <w:r w:rsidR="00C573F4">
              <w:rPr>
                <w:noProof/>
                <w:webHidden/>
              </w:rPr>
              <w:tab/>
            </w:r>
            <w:r w:rsidR="00C573F4">
              <w:rPr>
                <w:noProof/>
                <w:webHidden/>
              </w:rPr>
              <w:fldChar w:fldCharType="begin"/>
            </w:r>
            <w:r w:rsidR="00C573F4">
              <w:rPr>
                <w:noProof/>
                <w:webHidden/>
              </w:rPr>
              <w:instrText xml:space="preserve"> PAGEREF _Toc65059136 \h </w:instrText>
            </w:r>
            <w:r w:rsidR="00C573F4">
              <w:rPr>
                <w:noProof/>
                <w:webHidden/>
              </w:rPr>
            </w:r>
            <w:r w:rsidR="00C573F4">
              <w:rPr>
                <w:noProof/>
                <w:webHidden/>
              </w:rPr>
              <w:fldChar w:fldCharType="separate"/>
            </w:r>
            <w:r w:rsidR="00B84B4B">
              <w:rPr>
                <w:noProof/>
                <w:webHidden/>
              </w:rPr>
              <w:t>4</w:t>
            </w:r>
            <w:r w:rsidR="00C573F4">
              <w:rPr>
                <w:noProof/>
                <w:webHidden/>
              </w:rPr>
              <w:fldChar w:fldCharType="end"/>
            </w:r>
          </w:hyperlink>
        </w:p>
        <w:p w14:paraId="49977691" w14:textId="77777777" w:rsidR="00C573F4" w:rsidRDefault="00000000">
          <w:pPr>
            <w:pStyle w:val="TOC1"/>
            <w:rPr>
              <w:rFonts w:eastAsiaTheme="minorEastAsia" w:cstheme="minorBidi"/>
              <w:b w:val="0"/>
              <w:bCs w:val="0"/>
            </w:rPr>
          </w:pPr>
          <w:hyperlink w:anchor="_Toc65059137" w:history="1">
            <w:r w:rsidR="00C573F4" w:rsidRPr="006B33E4">
              <w:rPr>
                <w:rStyle w:val="Hyperlink"/>
              </w:rPr>
              <w:t>Chapter 2: A</w:t>
            </w:r>
            <w:r w:rsidR="00C573F4" w:rsidRPr="006B33E4">
              <w:rPr>
                <w:rStyle w:val="Hyperlink"/>
                <w:lang w:bidi="th-TH"/>
              </w:rPr>
              <w:t>reas of inconsistency identified by stakeholders</w:t>
            </w:r>
            <w:r w:rsidR="00C573F4">
              <w:rPr>
                <w:webHidden/>
              </w:rPr>
              <w:tab/>
            </w:r>
            <w:r w:rsidR="00C573F4">
              <w:rPr>
                <w:webHidden/>
              </w:rPr>
              <w:fldChar w:fldCharType="begin"/>
            </w:r>
            <w:r w:rsidR="00C573F4">
              <w:rPr>
                <w:webHidden/>
              </w:rPr>
              <w:instrText xml:space="preserve"> PAGEREF _Toc65059137 \h </w:instrText>
            </w:r>
            <w:r w:rsidR="00C573F4">
              <w:rPr>
                <w:webHidden/>
              </w:rPr>
            </w:r>
            <w:r w:rsidR="00C573F4">
              <w:rPr>
                <w:webHidden/>
              </w:rPr>
              <w:fldChar w:fldCharType="separate"/>
            </w:r>
            <w:r w:rsidR="00B84B4B">
              <w:rPr>
                <w:webHidden/>
              </w:rPr>
              <w:t>7</w:t>
            </w:r>
            <w:r w:rsidR="00C573F4">
              <w:rPr>
                <w:webHidden/>
              </w:rPr>
              <w:fldChar w:fldCharType="end"/>
            </w:r>
          </w:hyperlink>
        </w:p>
        <w:p w14:paraId="52AC73CA" w14:textId="77777777" w:rsidR="00C573F4" w:rsidRDefault="00000000">
          <w:pPr>
            <w:pStyle w:val="TOC2"/>
            <w:tabs>
              <w:tab w:val="right" w:leader="dot" w:pos="9736"/>
            </w:tabs>
            <w:rPr>
              <w:rFonts w:eastAsiaTheme="minorEastAsia" w:cstheme="minorBidi"/>
              <w:bCs w:val="0"/>
              <w:noProof/>
              <w:sz w:val="24"/>
              <w:szCs w:val="24"/>
            </w:rPr>
          </w:pPr>
          <w:hyperlink w:anchor="_Toc65059138" w:history="1">
            <w:r w:rsidR="00C573F4" w:rsidRPr="006B33E4">
              <w:rPr>
                <w:rStyle w:val="Hyperlink"/>
                <w:noProof/>
                <w:lang w:bidi="th-TH"/>
              </w:rPr>
              <w:t>Overview</w:t>
            </w:r>
            <w:r w:rsidR="00C573F4">
              <w:rPr>
                <w:noProof/>
                <w:webHidden/>
              </w:rPr>
              <w:tab/>
            </w:r>
            <w:r w:rsidR="00C573F4">
              <w:rPr>
                <w:noProof/>
                <w:webHidden/>
              </w:rPr>
              <w:fldChar w:fldCharType="begin"/>
            </w:r>
            <w:r w:rsidR="00C573F4">
              <w:rPr>
                <w:noProof/>
                <w:webHidden/>
              </w:rPr>
              <w:instrText xml:space="preserve"> PAGEREF _Toc65059138 \h </w:instrText>
            </w:r>
            <w:r w:rsidR="00C573F4">
              <w:rPr>
                <w:noProof/>
                <w:webHidden/>
              </w:rPr>
            </w:r>
            <w:r w:rsidR="00C573F4">
              <w:rPr>
                <w:noProof/>
                <w:webHidden/>
              </w:rPr>
              <w:fldChar w:fldCharType="separate"/>
            </w:r>
            <w:r w:rsidR="00B84B4B">
              <w:rPr>
                <w:noProof/>
                <w:webHidden/>
              </w:rPr>
              <w:t>7</w:t>
            </w:r>
            <w:r w:rsidR="00C573F4">
              <w:rPr>
                <w:noProof/>
                <w:webHidden/>
              </w:rPr>
              <w:fldChar w:fldCharType="end"/>
            </w:r>
          </w:hyperlink>
        </w:p>
        <w:p w14:paraId="3CE2E16D" w14:textId="77777777" w:rsidR="00C573F4" w:rsidRDefault="00000000">
          <w:pPr>
            <w:pStyle w:val="TOC2"/>
            <w:tabs>
              <w:tab w:val="right" w:leader="dot" w:pos="9736"/>
            </w:tabs>
            <w:rPr>
              <w:rFonts w:eastAsiaTheme="minorEastAsia" w:cstheme="minorBidi"/>
              <w:bCs w:val="0"/>
              <w:noProof/>
              <w:sz w:val="24"/>
              <w:szCs w:val="24"/>
            </w:rPr>
          </w:pPr>
          <w:hyperlink w:anchor="_Toc65059139" w:history="1">
            <w:r w:rsidR="00C573F4" w:rsidRPr="006B33E4">
              <w:rPr>
                <w:rStyle w:val="Hyperlink"/>
                <w:noProof/>
                <w:lang w:bidi="th-TH"/>
              </w:rPr>
              <w:t>Inconsistencies arising from the food regulatory system structure</w:t>
            </w:r>
            <w:r w:rsidR="00C573F4">
              <w:rPr>
                <w:noProof/>
                <w:webHidden/>
              </w:rPr>
              <w:tab/>
            </w:r>
            <w:r w:rsidR="00C573F4">
              <w:rPr>
                <w:noProof/>
                <w:webHidden/>
              </w:rPr>
              <w:fldChar w:fldCharType="begin"/>
            </w:r>
            <w:r w:rsidR="00C573F4">
              <w:rPr>
                <w:noProof/>
                <w:webHidden/>
              </w:rPr>
              <w:instrText xml:space="preserve"> PAGEREF _Toc65059139 \h </w:instrText>
            </w:r>
            <w:r w:rsidR="00C573F4">
              <w:rPr>
                <w:noProof/>
                <w:webHidden/>
              </w:rPr>
            </w:r>
            <w:r w:rsidR="00C573F4">
              <w:rPr>
                <w:noProof/>
                <w:webHidden/>
              </w:rPr>
              <w:fldChar w:fldCharType="separate"/>
            </w:r>
            <w:r w:rsidR="00B84B4B">
              <w:rPr>
                <w:noProof/>
                <w:webHidden/>
              </w:rPr>
              <w:t>7</w:t>
            </w:r>
            <w:r w:rsidR="00C573F4">
              <w:rPr>
                <w:noProof/>
                <w:webHidden/>
              </w:rPr>
              <w:fldChar w:fldCharType="end"/>
            </w:r>
          </w:hyperlink>
        </w:p>
        <w:p w14:paraId="66EEF2A7" w14:textId="77777777" w:rsidR="00C573F4" w:rsidRDefault="00000000">
          <w:pPr>
            <w:pStyle w:val="TOC2"/>
            <w:tabs>
              <w:tab w:val="right" w:leader="dot" w:pos="9736"/>
            </w:tabs>
            <w:rPr>
              <w:rFonts w:eastAsiaTheme="minorEastAsia" w:cstheme="minorBidi"/>
              <w:bCs w:val="0"/>
              <w:noProof/>
              <w:sz w:val="24"/>
              <w:szCs w:val="24"/>
            </w:rPr>
          </w:pPr>
          <w:hyperlink w:anchor="_Toc65059140" w:history="1">
            <w:r w:rsidR="00C573F4" w:rsidRPr="006B33E4">
              <w:rPr>
                <w:rStyle w:val="Hyperlink"/>
                <w:noProof/>
                <w:lang w:bidi="th-TH"/>
              </w:rPr>
              <w:t>Inconsistencies relating to labelling and claims</w:t>
            </w:r>
            <w:r w:rsidR="00C573F4">
              <w:rPr>
                <w:noProof/>
                <w:webHidden/>
              </w:rPr>
              <w:tab/>
            </w:r>
            <w:r w:rsidR="00C573F4">
              <w:rPr>
                <w:noProof/>
                <w:webHidden/>
              </w:rPr>
              <w:fldChar w:fldCharType="begin"/>
            </w:r>
            <w:r w:rsidR="00C573F4">
              <w:rPr>
                <w:noProof/>
                <w:webHidden/>
              </w:rPr>
              <w:instrText xml:space="preserve"> PAGEREF _Toc65059140 \h </w:instrText>
            </w:r>
            <w:r w:rsidR="00C573F4">
              <w:rPr>
                <w:noProof/>
                <w:webHidden/>
              </w:rPr>
            </w:r>
            <w:r w:rsidR="00C573F4">
              <w:rPr>
                <w:noProof/>
                <w:webHidden/>
              </w:rPr>
              <w:fldChar w:fldCharType="separate"/>
            </w:r>
            <w:r w:rsidR="00B84B4B">
              <w:rPr>
                <w:noProof/>
                <w:webHidden/>
              </w:rPr>
              <w:t>10</w:t>
            </w:r>
            <w:r w:rsidR="00C573F4">
              <w:rPr>
                <w:noProof/>
                <w:webHidden/>
              </w:rPr>
              <w:fldChar w:fldCharType="end"/>
            </w:r>
          </w:hyperlink>
        </w:p>
        <w:p w14:paraId="77DFEB9F" w14:textId="77777777" w:rsidR="00C573F4" w:rsidRDefault="00000000">
          <w:pPr>
            <w:pStyle w:val="TOC2"/>
            <w:tabs>
              <w:tab w:val="right" w:leader="dot" w:pos="9736"/>
            </w:tabs>
            <w:rPr>
              <w:rFonts w:eastAsiaTheme="minorEastAsia" w:cstheme="minorBidi"/>
              <w:bCs w:val="0"/>
              <w:noProof/>
              <w:sz w:val="24"/>
              <w:szCs w:val="24"/>
            </w:rPr>
          </w:pPr>
          <w:hyperlink w:anchor="_Toc65059141" w:history="1">
            <w:r w:rsidR="00C573F4" w:rsidRPr="006B33E4">
              <w:rPr>
                <w:rStyle w:val="Hyperlink"/>
                <w:noProof/>
              </w:rPr>
              <w:t>Inconsistent interpretations of standards</w:t>
            </w:r>
            <w:r w:rsidR="00C573F4">
              <w:rPr>
                <w:noProof/>
                <w:webHidden/>
              </w:rPr>
              <w:tab/>
            </w:r>
            <w:r w:rsidR="00C573F4">
              <w:rPr>
                <w:noProof/>
                <w:webHidden/>
              </w:rPr>
              <w:fldChar w:fldCharType="begin"/>
            </w:r>
            <w:r w:rsidR="00C573F4">
              <w:rPr>
                <w:noProof/>
                <w:webHidden/>
              </w:rPr>
              <w:instrText xml:space="preserve"> PAGEREF _Toc65059141 \h </w:instrText>
            </w:r>
            <w:r w:rsidR="00C573F4">
              <w:rPr>
                <w:noProof/>
                <w:webHidden/>
              </w:rPr>
            </w:r>
            <w:r w:rsidR="00C573F4">
              <w:rPr>
                <w:noProof/>
                <w:webHidden/>
              </w:rPr>
              <w:fldChar w:fldCharType="separate"/>
            </w:r>
            <w:r w:rsidR="00B84B4B">
              <w:rPr>
                <w:noProof/>
                <w:webHidden/>
              </w:rPr>
              <w:t>16</w:t>
            </w:r>
            <w:r w:rsidR="00C573F4">
              <w:rPr>
                <w:noProof/>
                <w:webHidden/>
              </w:rPr>
              <w:fldChar w:fldCharType="end"/>
            </w:r>
          </w:hyperlink>
        </w:p>
        <w:p w14:paraId="645F35BC" w14:textId="77777777" w:rsidR="00C573F4" w:rsidRDefault="00000000">
          <w:pPr>
            <w:pStyle w:val="TOC2"/>
            <w:tabs>
              <w:tab w:val="right" w:leader="dot" w:pos="9736"/>
            </w:tabs>
            <w:rPr>
              <w:rFonts w:eastAsiaTheme="minorEastAsia" w:cstheme="minorBidi"/>
              <w:bCs w:val="0"/>
              <w:noProof/>
              <w:sz w:val="24"/>
              <w:szCs w:val="24"/>
            </w:rPr>
          </w:pPr>
          <w:hyperlink w:anchor="_Toc65059142" w:history="1">
            <w:r w:rsidR="00C573F4" w:rsidRPr="006B33E4">
              <w:rPr>
                <w:rStyle w:val="Hyperlink"/>
                <w:noProof/>
              </w:rPr>
              <w:t>Inconsistencies with international approaches</w:t>
            </w:r>
            <w:r w:rsidR="00C573F4">
              <w:rPr>
                <w:noProof/>
                <w:webHidden/>
              </w:rPr>
              <w:tab/>
            </w:r>
            <w:r w:rsidR="00C573F4">
              <w:rPr>
                <w:noProof/>
                <w:webHidden/>
              </w:rPr>
              <w:fldChar w:fldCharType="begin"/>
            </w:r>
            <w:r w:rsidR="00C573F4">
              <w:rPr>
                <w:noProof/>
                <w:webHidden/>
              </w:rPr>
              <w:instrText xml:space="preserve"> PAGEREF _Toc65059142 \h </w:instrText>
            </w:r>
            <w:r w:rsidR="00C573F4">
              <w:rPr>
                <w:noProof/>
                <w:webHidden/>
              </w:rPr>
            </w:r>
            <w:r w:rsidR="00C573F4">
              <w:rPr>
                <w:noProof/>
                <w:webHidden/>
              </w:rPr>
              <w:fldChar w:fldCharType="separate"/>
            </w:r>
            <w:r w:rsidR="00B84B4B">
              <w:rPr>
                <w:noProof/>
                <w:webHidden/>
              </w:rPr>
              <w:t>19</w:t>
            </w:r>
            <w:r w:rsidR="00C573F4">
              <w:rPr>
                <w:noProof/>
                <w:webHidden/>
              </w:rPr>
              <w:fldChar w:fldCharType="end"/>
            </w:r>
          </w:hyperlink>
        </w:p>
        <w:p w14:paraId="339D5A9E" w14:textId="77777777" w:rsidR="00C573F4" w:rsidRDefault="00000000">
          <w:pPr>
            <w:pStyle w:val="TOC2"/>
            <w:tabs>
              <w:tab w:val="right" w:leader="dot" w:pos="9736"/>
            </w:tabs>
            <w:rPr>
              <w:rFonts w:eastAsiaTheme="minorEastAsia" w:cstheme="minorBidi"/>
              <w:bCs w:val="0"/>
              <w:noProof/>
              <w:sz w:val="24"/>
              <w:szCs w:val="24"/>
            </w:rPr>
          </w:pPr>
          <w:hyperlink w:anchor="_Toc65059143" w:history="1">
            <w:r w:rsidR="00C573F4" w:rsidRPr="006B33E4">
              <w:rPr>
                <w:rStyle w:val="Hyperlink"/>
                <w:noProof/>
              </w:rPr>
              <w:t>Inconsistent approaches to the regulation of food businesses across Australian jurisdictions</w:t>
            </w:r>
            <w:r w:rsidR="00C573F4">
              <w:rPr>
                <w:noProof/>
                <w:webHidden/>
              </w:rPr>
              <w:tab/>
            </w:r>
            <w:r w:rsidR="00C573F4">
              <w:rPr>
                <w:noProof/>
                <w:webHidden/>
              </w:rPr>
              <w:fldChar w:fldCharType="begin"/>
            </w:r>
            <w:r w:rsidR="00C573F4">
              <w:rPr>
                <w:noProof/>
                <w:webHidden/>
              </w:rPr>
              <w:instrText xml:space="preserve"> PAGEREF _Toc65059143 \h </w:instrText>
            </w:r>
            <w:r w:rsidR="00C573F4">
              <w:rPr>
                <w:noProof/>
                <w:webHidden/>
              </w:rPr>
            </w:r>
            <w:r w:rsidR="00C573F4">
              <w:rPr>
                <w:noProof/>
                <w:webHidden/>
              </w:rPr>
              <w:fldChar w:fldCharType="separate"/>
            </w:r>
            <w:r w:rsidR="00B84B4B">
              <w:rPr>
                <w:noProof/>
                <w:webHidden/>
              </w:rPr>
              <w:t>21</w:t>
            </w:r>
            <w:r w:rsidR="00C573F4">
              <w:rPr>
                <w:noProof/>
                <w:webHidden/>
              </w:rPr>
              <w:fldChar w:fldCharType="end"/>
            </w:r>
          </w:hyperlink>
        </w:p>
        <w:p w14:paraId="36AA39C3" w14:textId="77777777" w:rsidR="00C573F4" w:rsidRDefault="00000000">
          <w:pPr>
            <w:pStyle w:val="TOC2"/>
            <w:tabs>
              <w:tab w:val="right" w:leader="dot" w:pos="9736"/>
            </w:tabs>
            <w:rPr>
              <w:rFonts w:eastAsiaTheme="minorEastAsia" w:cstheme="minorBidi"/>
              <w:bCs w:val="0"/>
              <w:noProof/>
              <w:sz w:val="24"/>
              <w:szCs w:val="24"/>
            </w:rPr>
          </w:pPr>
          <w:hyperlink w:anchor="_Toc65059144" w:history="1">
            <w:r w:rsidR="00C573F4" w:rsidRPr="006B33E4">
              <w:rPr>
                <w:rStyle w:val="Hyperlink"/>
                <w:noProof/>
              </w:rPr>
              <w:t>Inconsistencies arising from the interfaces between different regulators within Australia</w:t>
            </w:r>
            <w:r w:rsidR="00C573F4">
              <w:rPr>
                <w:noProof/>
                <w:webHidden/>
              </w:rPr>
              <w:tab/>
            </w:r>
            <w:r w:rsidR="00C573F4">
              <w:rPr>
                <w:noProof/>
                <w:webHidden/>
              </w:rPr>
              <w:fldChar w:fldCharType="begin"/>
            </w:r>
            <w:r w:rsidR="00C573F4">
              <w:rPr>
                <w:noProof/>
                <w:webHidden/>
              </w:rPr>
              <w:instrText xml:space="preserve"> PAGEREF _Toc65059144 \h </w:instrText>
            </w:r>
            <w:r w:rsidR="00C573F4">
              <w:rPr>
                <w:noProof/>
                <w:webHidden/>
              </w:rPr>
            </w:r>
            <w:r w:rsidR="00C573F4">
              <w:rPr>
                <w:noProof/>
                <w:webHidden/>
              </w:rPr>
              <w:fldChar w:fldCharType="separate"/>
            </w:r>
            <w:r w:rsidR="00B84B4B">
              <w:rPr>
                <w:noProof/>
                <w:webHidden/>
              </w:rPr>
              <w:t>28</w:t>
            </w:r>
            <w:r w:rsidR="00C573F4">
              <w:rPr>
                <w:noProof/>
                <w:webHidden/>
              </w:rPr>
              <w:fldChar w:fldCharType="end"/>
            </w:r>
          </w:hyperlink>
        </w:p>
        <w:p w14:paraId="3B76C9ED" w14:textId="77777777" w:rsidR="00C573F4" w:rsidRDefault="00000000">
          <w:pPr>
            <w:pStyle w:val="TOC2"/>
            <w:tabs>
              <w:tab w:val="right" w:leader="dot" w:pos="9736"/>
            </w:tabs>
            <w:rPr>
              <w:rFonts w:eastAsiaTheme="minorEastAsia" w:cstheme="minorBidi"/>
              <w:bCs w:val="0"/>
              <w:noProof/>
              <w:sz w:val="24"/>
              <w:szCs w:val="24"/>
            </w:rPr>
          </w:pPr>
          <w:hyperlink w:anchor="_Toc65059145" w:history="1">
            <w:r w:rsidR="00C573F4" w:rsidRPr="006B33E4">
              <w:rPr>
                <w:rStyle w:val="Hyperlink"/>
                <w:noProof/>
              </w:rPr>
              <w:t>Key areas of inconsistency and where these arise</w:t>
            </w:r>
            <w:r w:rsidR="00C573F4">
              <w:rPr>
                <w:noProof/>
                <w:webHidden/>
              </w:rPr>
              <w:tab/>
            </w:r>
            <w:r w:rsidR="00C573F4">
              <w:rPr>
                <w:noProof/>
                <w:webHidden/>
              </w:rPr>
              <w:fldChar w:fldCharType="begin"/>
            </w:r>
            <w:r w:rsidR="00C573F4">
              <w:rPr>
                <w:noProof/>
                <w:webHidden/>
              </w:rPr>
              <w:instrText xml:space="preserve"> PAGEREF _Toc65059145 \h </w:instrText>
            </w:r>
            <w:r w:rsidR="00C573F4">
              <w:rPr>
                <w:noProof/>
                <w:webHidden/>
              </w:rPr>
            </w:r>
            <w:r w:rsidR="00C573F4">
              <w:rPr>
                <w:noProof/>
                <w:webHidden/>
              </w:rPr>
              <w:fldChar w:fldCharType="separate"/>
            </w:r>
            <w:r w:rsidR="00B84B4B">
              <w:rPr>
                <w:noProof/>
                <w:webHidden/>
              </w:rPr>
              <w:t>33</w:t>
            </w:r>
            <w:r w:rsidR="00C573F4">
              <w:rPr>
                <w:noProof/>
                <w:webHidden/>
              </w:rPr>
              <w:fldChar w:fldCharType="end"/>
            </w:r>
          </w:hyperlink>
        </w:p>
        <w:p w14:paraId="572D6C00" w14:textId="77777777" w:rsidR="00C573F4" w:rsidRDefault="00000000">
          <w:pPr>
            <w:pStyle w:val="TOC1"/>
            <w:rPr>
              <w:rFonts w:eastAsiaTheme="minorEastAsia" w:cstheme="minorBidi"/>
              <w:b w:val="0"/>
              <w:bCs w:val="0"/>
            </w:rPr>
          </w:pPr>
          <w:hyperlink w:anchor="_Toc65059146" w:history="1">
            <w:r w:rsidR="00C573F4" w:rsidRPr="006B33E4">
              <w:rPr>
                <w:rStyle w:val="Hyperlink"/>
              </w:rPr>
              <w:t>Chapter 3: Analysis and identification of areas for future focus</w:t>
            </w:r>
            <w:r w:rsidR="00C573F4">
              <w:rPr>
                <w:webHidden/>
              </w:rPr>
              <w:tab/>
            </w:r>
            <w:r w:rsidR="00C573F4">
              <w:rPr>
                <w:webHidden/>
              </w:rPr>
              <w:fldChar w:fldCharType="begin"/>
            </w:r>
            <w:r w:rsidR="00C573F4">
              <w:rPr>
                <w:webHidden/>
              </w:rPr>
              <w:instrText xml:space="preserve"> PAGEREF _Toc65059146 \h </w:instrText>
            </w:r>
            <w:r w:rsidR="00C573F4">
              <w:rPr>
                <w:webHidden/>
              </w:rPr>
            </w:r>
            <w:r w:rsidR="00C573F4">
              <w:rPr>
                <w:webHidden/>
              </w:rPr>
              <w:fldChar w:fldCharType="separate"/>
            </w:r>
            <w:r w:rsidR="00B84B4B">
              <w:rPr>
                <w:webHidden/>
              </w:rPr>
              <w:t>35</w:t>
            </w:r>
            <w:r w:rsidR="00C573F4">
              <w:rPr>
                <w:webHidden/>
              </w:rPr>
              <w:fldChar w:fldCharType="end"/>
            </w:r>
          </w:hyperlink>
        </w:p>
        <w:p w14:paraId="04953337" w14:textId="77777777" w:rsidR="00C573F4" w:rsidRDefault="00000000">
          <w:pPr>
            <w:pStyle w:val="TOC2"/>
            <w:tabs>
              <w:tab w:val="right" w:leader="dot" w:pos="9736"/>
            </w:tabs>
            <w:rPr>
              <w:rFonts w:eastAsiaTheme="minorEastAsia" w:cstheme="minorBidi"/>
              <w:bCs w:val="0"/>
              <w:noProof/>
              <w:sz w:val="24"/>
              <w:szCs w:val="24"/>
            </w:rPr>
          </w:pPr>
          <w:hyperlink w:anchor="_Toc65059147" w:history="1">
            <w:r w:rsidR="00C573F4" w:rsidRPr="006B33E4">
              <w:rPr>
                <w:rStyle w:val="Hyperlink"/>
                <w:noProof/>
              </w:rPr>
              <w:t>Analysis of stakeholder feedback</w:t>
            </w:r>
            <w:r w:rsidR="00C573F4">
              <w:rPr>
                <w:noProof/>
                <w:webHidden/>
              </w:rPr>
              <w:tab/>
            </w:r>
            <w:r w:rsidR="00C573F4">
              <w:rPr>
                <w:noProof/>
                <w:webHidden/>
              </w:rPr>
              <w:fldChar w:fldCharType="begin"/>
            </w:r>
            <w:r w:rsidR="00C573F4">
              <w:rPr>
                <w:noProof/>
                <w:webHidden/>
              </w:rPr>
              <w:instrText xml:space="preserve"> PAGEREF _Toc65059147 \h </w:instrText>
            </w:r>
            <w:r w:rsidR="00C573F4">
              <w:rPr>
                <w:noProof/>
                <w:webHidden/>
              </w:rPr>
            </w:r>
            <w:r w:rsidR="00C573F4">
              <w:rPr>
                <w:noProof/>
                <w:webHidden/>
              </w:rPr>
              <w:fldChar w:fldCharType="separate"/>
            </w:r>
            <w:r w:rsidR="00B84B4B">
              <w:rPr>
                <w:noProof/>
                <w:webHidden/>
              </w:rPr>
              <w:t>35</w:t>
            </w:r>
            <w:r w:rsidR="00C573F4">
              <w:rPr>
                <w:noProof/>
                <w:webHidden/>
              </w:rPr>
              <w:fldChar w:fldCharType="end"/>
            </w:r>
          </w:hyperlink>
        </w:p>
        <w:p w14:paraId="6ADA7814" w14:textId="77777777" w:rsidR="00C573F4" w:rsidRDefault="00000000">
          <w:pPr>
            <w:pStyle w:val="TOC2"/>
            <w:tabs>
              <w:tab w:val="right" w:leader="dot" w:pos="9736"/>
            </w:tabs>
            <w:rPr>
              <w:rFonts w:eastAsiaTheme="minorEastAsia" w:cstheme="minorBidi"/>
              <w:bCs w:val="0"/>
              <w:noProof/>
              <w:sz w:val="24"/>
              <w:szCs w:val="24"/>
            </w:rPr>
          </w:pPr>
          <w:hyperlink w:anchor="_Toc65059148" w:history="1">
            <w:r w:rsidR="00C573F4" w:rsidRPr="006B33E4">
              <w:rPr>
                <w:rStyle w:val="Hyperlink"/>
                <w:noProof/>
              </w:rPr>
              <w:t>Key areas for possible future focus</w:t>
            </w:r>
            <w:r w:rsidR="00C573F4">
              <w:rPr>
                <w:noProof/>
                <w:webHidden/>
              </w:rPr>
              <w:tab/>
            </w:r>
            <w:r w:rsidR="00C573F4">
              <w:rPr>
                <w:noProof/>
                <w:webHidden/>
              </w:rPr>
              <w:fldChar w:fldCharType="begin"/>
            </w:r>
            <w:r w:rsidR="00C573F4">
              <w:rPr>
                <w:noProof/>
                <w:webHidden/>
              </w:rPr>
              <w:instrText xml:space="preserve"> PAGEREF _Toc65059148 \h </w:instrText>
            </w:r>
            <w:r w:rsidR="00C573F4">
              <w:rPr>
                <w:noProof/>
                <w:webHidden/>
              </w:rPr>
            </w:r>
            <w:r w:rsidR="00C573F4">
              <w:rPr>
                <w:noProof/>
                <w:webHidden/>
              </w:rPr>
              <w:fldChar w:fldCharType="separate"/>
            </w:r>
            <w:r w:rsidR="00B84B4B">
              <w:rPr>
                <w:noProof/>
                <w:webHidden/>
              </w:rPr>
              <w:t>35</w:t>
            </w:r>
            <w:r w:rsidR="00C573F4">
              <w:rPr>
                <w:noProof/>
                <w:webHidden/>
              </w:rPr>
              <w:fldChar w:fldCharType="end"/>
            </w:r>
          </w:hyperlink>
        </w:p>
        <w:p w14:paraId="5A3D92D2" w14:textId="77777777" w:rsidR="00C573F4" w:rsidRDefault="00000000">
          <w:pPr>
            <w:pStyle w:val="TOC1"/>
            <w:rPr>
              <w:rFonts w:eastAsiaTheme="minorEastAsia" w:cstheme="minorBidi"/>
              <w:b w:val="0"/>
              <w:bCs w:val="0"/>
            </w:rPr>
          </w:pPr>
          <w:hyperlink w:anchor="_Toc65059149" w:history="1">
            <w:r w:rsidR="00C573F4" w:rsidRPr="006B33E4">
              <w:rPr>
                <w:rStyle w:val="Hyperlink"/>
              </w:rPr>
              <w:t>Chapter 4: Next steps</w:t>
            </w:r>
            <w:r w:rsidR="00C573F4">
              <w:rPr>
                <w:webHidden/>
              </w:rPr>
              <w:tab/>
            </w:r>
            <w:r w:rsidR="00C573F4">
              <w:rPr>
                <w:webHidden/>
              </w:rPr>
              <w:fldChar w:fldCharType="begin"/>
            </w:r>
            <w:r w:rsidR="00C573F4">
              <w:rPr>
                <w:webHidden/>
              </w:rPr>
              <w:instrText xml:space="preserve"> PAGEREF _Toc65059149 \h </w:instrText>
            </w:r>
            <w:r w:rsidR="00C573F4">
              <w:rPr>
                <w:webHidden/>
              </w:rPr>
            </w:r>
            <w:r w:rsidR="00C573F4">
              <w:rPr>
                <w:webHidden/>
              </w:rPr>
              <w:fldChar w:fldCharType="separate"/>
            </w:r>
            <w:r w:rsidR="00B84B4B">
              <w:rPr>
                <w:webHidden/>
              </w:rPr>
              <w:t>41</w:t>
            </w:r>
            <w:r w:rsidR="00C573F4">
              <w:rPr>
                <w:webHidden/>
              </w:rPr>
              <w:fldChar w:fldCharType="end"/>
            </w:r>
          </w:hyperlink>
        </w:p>
        <w:p w14:paraId="0736705D" w14:textId="77777777" w:rsidR="00C573F4" w:rsidRDefault="00000000">
          <w:pPr>
            <w:pStyle w:val="TOC1"/>
            <w:rPr>
              <w:rFonts w:eastAsiaTheme="minorEastAsia" w:cstheme="minorBidi"/>
              <w:b w:val="0"/>
              <w:bCs w:val="0"/>
            </w:rPr>
          </w:pPr>
          <w:hyperlink w:anchor="_Toc65059150" w:history="1">
            <w:r w:rsidR="00C573F4" w:rsidRPr="006B33E4">
              <w:rPr>
                <w:rStyle w:val="Hyperlink"/>
              </w:rPr>
              <w:t>Attachment A: Existing mechanisms to promote consistency in food regulation</w:t>
            </w:r>
            <w:r w:rsidR="00C573F4">
              <w:rPr>
                <w:webHidden/>
              </w:rPr>
              <w:tab/>
            </w:r>
            <w:r w:rsidR="00C573F4">
              <w:rPr>
                <w:webHidden/>
              </w:rPr>
              <w:fldChar w:fldCharType="begin"/>
            </w:r>
            <w:r w:rsidR="00C573F4">
              <w:rPr>
                <w:webHidden/>
              </w:rPr>
              <w:instrText xml:space="preserve"> PAGEREF _Toc65059150 \h </w:instrText>
            </w:r>
            <w:r w:rsidR="00C573F4">
              <w:rPr>
                <w:webHidden/>
              </w:rPr>
            </w:r>
            <w:r w:rsidR="00C573F4">
              <w:rPr>
                <w:webHidden/>
              </w:rPr>
              <w:fldChar w:fldCharType="separate"/>
            </w:r>
            <w:r w:rsidR="00B84B4B">
              <w:rPr>
                <w:webHidden/>
              </w:rPr>
              <w:t>42</w:t>
            </w:r>
            <w:r w:rsidR="00C573F4">
              <w:rPr>
                <w:webHidden/>
              </w:rPr>
              <w:fldChar w:fldCharType="end"/>
            </w:r>
          </w:hyperlink>
        </w:p>
        <w:p w14:paraId="4E814CBE" w14:textId="77777777" w:rsidR="00C573F4" w:rsidRDefault="00000000">
          <w:pPr>
            <w:pStyle w:val="TOC1"/>
            <w:rPr>
              <w:rFonts w:eastAsiaTheme="minorEastAsia" w:cstheme="minorBidi"/>
              <w:b w:val="0"/>
              <w:bCs w:val="0"/>
            </w:rPr>
          </w:pPr>
          <w:hyperlink w:anchor="_Toc65059151" w:history="1">
            <w:r w:rsidR="00C573F4" w:rsidRPr="006B33E4">
              <w:rPr>
                <w:rStyle w:val="Hyperlink"/>
              </w:rPr>
              <w:t>Attachment B: Stakeholder survey questions</w:t>
            </w:r>
            <w:r w:rsidR="00C573F4">
              <w:rPr>
                <w:webHidden/>
              </w:rPr>
              <w:tab/>
            </w:r>
            <w:r w:rsidR="00C573F4">
              <w:rPr>
                <w:webHidden/>
              </w:rPr>
              <w:fldChar w:fldCharType="begin"/>
            </w:r>
            <w:r w:rsidR="00C573F4">
              <w:rPr>
                <w:webHidden/>
              </w:rPr>
              <w:instrText xml:space="preserve"> PAGEREF _Toc65059151 \h </w:instrText>
            </w:r>
            <w:r w:rsidR="00C573F4">
              <w:rPr>
                <w:webHidden/>
              </w:rPr>
            </w:r>
            <w:r w:rsidR="00C573F4">
              <w:rPr>
                <w:webHidden/>
              </w:rPr>
              <w:fldChar w:fldCharType="separate"/>
            </w:r>
            <w:r w:rsidR="00B84B4B">
              <w:rPr>
                <w:webHidden/>
              </w:rPr>
              <w:t>43</w:t>
            </w:r>
            <w:r w:rsidR="00C573F4">
              <w:rPr>
                <w:webHidden/>
              </w:rPr>
              <w:fldChar w:fldCharType="end"/>
            </w:r>
          </w:hyperlink>
        </w:p>
        <w:p w14:paraId="5169EE43" w14:textId="77777777" w:rsidR="00775181" w:rsidRPr="00267F53" w:rsidRDefault="00775181" w:rsidP="00775181">
          <w:pPr>
            <w:spacing w:before="60"/>
          </w:pPr>
          <w:r w:rsidRPr="00267F53">
            <w:rPr>
              <w:b/>
              <w:bCs/>
            </w:rPr>
            <w:fldChar w:fldCharType="end"/>
          </w:r>
        </w:p>
      </w:sdtContent>
    </w:sdt>
    <w:p w14:paraId="67E666FD" w14:textId="77777777" w:rsidR="008F5CE9" w:rsidRPr="00267F53" w:rsidRDefault="00775181" w:rsidP="008874FB">
      <w:pPr>
        <w:pStyle w:val="Heading1"/>
      </w:pPr>
      <w:bookmarkStart w:id="25" w:name="_Chapter_3:_Analysis"/>
      <w:bookmarkStart w:id="26" w:name="_Chapter_2:_Key"/>
      <w:bookmarkEnd w:id="25"/>
      <w:bookmarkEnd w:id="26"/>
      <w:r w:rsidRPr="00267F53">
        <w:br w:type="column"/>
      </w:r>
      <w:bookmarkStart w:id="27" w:name="_Toc65059133"/>
      <w:r w:rsidR="00B21C93" w:rsidRPr="00267F53">
        <w:lastRenderedPageBreak/>
        <w:t>Chapter 1</w:t>
      </w:r>
      <w:r w:rsidR="00631592" w:rsidRPr="00267F53">
        <w:t>:</w:t>
      </w:r>
      <w:r w:rsidR="00B21C93" w:rsidRPr="00267F53">
        <w:t xml:space="preserve"> </w:t>
      </w:r>
      <w:r w:rsidR="003B1577" w:rsidRPr="00267F53">
        <w:t>Introduction</w:t>
      </w:r>
      <w:bookmarkEnd w:id="27"/>
    </w:p>
    <w:p w14:paraId="0D09F246" w14:textId="77777777" w:rsidR="00334EEB" w:rsidRPr="00267F53" w:rsidRDefault="00334EEB" w:rsidP="00E82A70">
      <w:pPr>
        <w:rPr>
          <w:rFonts w:ascii="Calibri" w:hAnsi="Calibri" w:cs="Calibri"/>
        </w:rPr>
      </w:pPr>
    </w:p>
    <w:p w14:paraId="51A00C4B" w14:textId="77777777" w:rsidR="003C3A3B" w:rsidRPr="00267F53" w:rsidRDefault="003C3A3B" w:rsidP="00171075">
      <w:pPr>
        <w:pStyle w:val="Heading2"/>
        <w:shd w:val="clear" w:color="auto" w:fill="368A72"/>
      </w:pPr>
      <w:bookmarkStart w:id="28" w:name="_Toc65059134"/>
      <w:r w:rsidRPr="00267F53">
        <w:t>Background</w:t>
      </w:r>
      <w:bookmarkEnd w:id="28"/>
    </w:p>
    <w:p w14:paraId="0404812D" w14:textId="77777777" w:rsidR="003C3A3B" w:rsidRPr="00267F53" w:rsidRDefault="003C3A3B" w:rsidP="003C3A3B">
      <w:pPr>
        <w:pStyle w:val="TableofAuthorities"/>
      </w:pPr>
    </w:p>
    <w:p w14:paraId="3BDC4C5A" w14:textId="77777777" w:rsidR="003D54D9" w:rsidRPr="00267F53" w:rsidRDefault="003C3A3B" w:rsidP="003D54D9">
      <w:pPr>
        <w:rPr>
          <w:lang w:bidi="th-TH"/>
        </w:rPr>
      </w:pPr>
      <w:r w:rsidRPr="00267F53">
        <w:t xml:space="preserve">Consistency in the regulation of food across Australia and New Zealand is important to reduce the regulatory burden on food businesses and government enforcement agencies, facilitate efficient trade and manage food safety risks. </w:t>
      </w:r>
      <w:r w:rsidR="00E236F5" w:rsidRPr="00267F53">
        <w:t xml:space="preserve">The current framework for food regulation in Australia and New Zealand supports consistency while providing each jurisdiction with the flexibility to implement, monitor and enforce certain regulations in the context of the local environment. </w:t>
      </w:r>
      <w:r w:rsidR="003D54D9" w:rsidRPr="00267F53">
        <w:rPr>
          <w:lang w:bidi="th-TH"/>
        </w:rPr>
        <w:t xml:space="preserve">There are a range of mechanisms aimed at supporting consistency in food regulation (see </w:t>
      </w:r>
      <w:hyperlink w:anchor="_Attachment_A:_Existing" w:history="1">
        <w:r w:rsidR="003D54D9" w:rsidRPr="00267F53">
          <w:rPr>
            <w:rStyle w:val="Hyperlink"/>
            <w:lang w:bidi="th-TH"/>
          </w:rPr>
          <w:t>Attachment A</w:t>
        </w:r>
      </w:hyperlink>
      <w:r w:rsidR="003D54D9" w:rsidRPr="00267F53">
        <w:rPr>
          <w:lang w:bidi="th-TH"/>
        </w:rPr>
        <w:t>).</w:t>
      </w:r>
    </w:p>
    <w:p w14:paraId="0D69EA98" w14:textId="77777777" w:rsidR="00E236F5" w:rsidRPr="00267F53" w:rsidRDefault="00E236F5" w:rsidP="00E236F5">
      <w:pPr>
        <w:pStyle w:val="TableofAuthorities"/>
      </w:pPr>
    </w:p>
    <w:p w14:paraId="33599127" w14:textId="77777777" w:rsidR="00751114" w:rsidRPr="00267F53" w:rsidRDefault="00E236F5" w:rsidP="00E236F5">
      <w:r w:rsidRPr="00267F53">
        <w:t xml:space="preserve">Recognising the </w:t>
      </w:r>
      <w:r w:rsidR="00751114" w:rsidRPr="00267F53">
        <w:t>various roles that each level of Australian and New Zealand government</w:t>
      </w:r>
      <w:r w:rsidR="00144BBD" w:rsidRPr="00267F53">
        <w:t>s</w:t>
      </w:r>
      <w:r w:rsidR="00751114" w:rsidRPr="00267F53">
        <w:t xml:space="preserve"> play in food regulation</w:t>
      </w:r>
      <w:r w:rsidR="00EE3FD7" w:rsidRPr="00267F53">
        <w:t>,</w:t>
      </w:r>
      <w:r w:rsidR="00751114" w:rsidRPr="00267F53">
        <w:t xml:space="preserve"> and the </w:t>
      </w:r>
      <w:r w:rsidRPr="00267F53">
        <w:t xml:space="preserve">sovereignty of </w:t>
      </w:r>
      <w:r w:rsidR="00144BBD" w:rsidRPr="00267F53">
        <w:t xml:space="preserve">New Zealand and </w:t>
      </w:r>
      <w:r w:rsidRPr="00267F53">
        <w:t>each</w:t>
      </w:r>
      <w:r w:rsidR="00144BBD" w:rsidRPr="00267F53">
        <w:t xml:space="preserve"> Australian</w:t>
      </w:r>
      <w:r w:rsidRPr="00267F53">
        <w:t xml:space="preserve"> jurisdiction, </w:t>
      </w:r>
      <w:r w:rsidR="00144BBD" w:rsidRPr="00267F53">
        <w:t>bi-</w:t>
      </w:r>
      <w:r w:rsidR="002B4938" w:rsidRPr="00267F53">
        <w:t xml:space="preserve">national uniformity </w:t>
      </w:r>
      <w:r w:rsidRPr="00267F53">
        <w:t xml:space="preserve">is not </w:t>
      </w:r>
      <w:r w:rsidR="00751114" w:rsidRPr="00267F53">
        <w:t>practical</w:t>
      </w:r>
      <w:r w:rsidRPr="00267F53">
        <w:t xml:space="preserve"> nor desirable.</w:t>
      </w:r>
      <w:r w:rsidR="00751114" w:rsidRPr="00267F53">
        <w:t xml:space="preserve"> The current framework </w:t>
      </w:r>
      <w:r w:rsidR="00144BBD" w:rsidRPr="00267F53">
        <w:t xml:space="preserve">provides </w:t>
      </w:r>
      <w:r w:rsidR="00651C11" w:rsidRPr="00267F53">
        <w:t xml:space="preserve">a level of </w:t>
      </w:r>
      <w:r w:rsidR="00144BBD" w:rsidRPr="00267F53">
        <w:t xml:space="preserve">bi-national consistency while </w:t>
      </w:r>
      <w:r w:rsidR="00651C11" w:rsidRPr="00267F53">
        <w:t xml:space="preserve">acknowledging the sovereignty and distinct context of each country. It also supports national consistency within Australia while </w:t>
      </w:r>
      <w:r w:rsidR="00751114" w:rsidRPr="00267F53">
        <w:t>enabl</w:t>
      </w:r>
      <w:r w:rsidR="00651C11" w:rsidRPr="00267F53">
        <w:t>ing</w:t>
      </w:r>
      <w:r w:rsidR="00751114" w:rsidRPr="00267F53">
        <w:t xml:space="preserve"> each</w:t>
      </w:r>
      <w:r w:rsidR="00651C11" w:rsidRPr="00267F53">
        <w:t xml:space="preserve"> </w:t>
      </w:r>
      <w:r w:rsidR="00751114" w:rsidRPr="00267F53">
        <w:t xml:space="preserve">jurisdiction to regulate based on local issues or priorities, governance structures, resourcing and capacity. It also enables </w:t>
      </w:r>
      <w:r w:rsidR="00651C11" w:rsidRPr="00267F53">
        <w:t xml:space="preserve">each country and </w:t>
      </w:r>
      <w:r w:rsidR="00C573F4" w:rsidRPr="00267F53">
        <w:t>jurisdiction</w:t>
      </w:r>
      <w:r w:rsidR="00751114" w:rsidRPr="00267F53">
        <w:t xml:space="preserve"> to develop new and innovative approaches to regulatory practice</w:t>
      </w:r>
      <w:r w:rsidR="006003D8" w:rsidRPr="00267F53">
        <w:t>, specifically for implementing, monitoring and enforcing regulatory requirements.</w:t>
      </w:r>
    </w:p>
    <w:p w14:paraId="0E224709" w14:textId="77777777" w:rsidR="00751114" w:rsidRPr="00267F53" w:rsidRDefault="00751114" w:rsidP="00751114">
      <w:pPr>
        <w:pStyle w:val="TableofAuthorities"/>
      </w:pPr>
    </w:p>
    <w:p w14:paraId="540BCAC8" w14:textId="77777777" w:rsidR="00751114" w:rsidRPr="00267F53" w:rsidRDefault="00751114" w:rsidP="00751114">
      <w:r w:rsidRPr="00267F53">
        <w:t xml:space="preserve">However, there are some areas where inconsistency can inadvertently and unnecessarily </w:t>
      </w:r>
      <w:r w:rsidR="000B2301" w:rsidRPr="00267F53">
        <w:t xml:space="preserve">impact outcomes, </w:t>
      </w:r>
      <w:r w:rsidRPr="00267F53">
        <w:t>create challenges for</w:t>
      </w:r>
      <w:r w:rsidR="000B2301" w:rsidRPr="00267F53">
        <w:t xml:space="preserve"> </w:t>
      </w:r>
      <w:r w:rsidRPr="00267F53">
        <w:t xml:space="preserve">industry </w:t>
      </w:r>
      <w:r w:rsidR="00A52EBC" w:rsidRPr="00267F53">
        <w:t xml:space="preserve">(for example, in terms of cost, compliance burden, market disadvantage, lost opportunity, uneven playing field, duplication of effort, etc.) </w:t>
      </w:r>
      <w:r w:rsidRPr="00267F53">
        <w:t xml:space="preserve">and </w:t>
      </w:r>
      <w:r w:rsidR="000B2301" w:rsidRPr="00267F53">
        <w:t xml:space="preserve">also for </w:t>
      </w:r>
      <w:r w:rsidRPr="00267F53">
        <w:t>government</w:t>
      </w:r>
      <w:r w:rsidR="00A52EBC" w:rsidRPr="00267F53">
        <w:t xml:space="preserve"> (for example, undermining food safety objectives, causing reputational damage to the food regulatory system, challenges enforcing compliance, creating confusion for consumers, etc.)</w:t>
      </w:r>
      <w:r w:rsidRPr="00267F53">
        <w:t>.</w:t>
      </w:r>
    </w:p>
    <w:p w14:paraId="636F426E" w14:textId="77777777" w:rsidR="00A52EBC" w:rsidRPr="00267F53" w:rsidRDefault="00A52EBC" w:rsidP="00A52EBC"/>
    <w:p w14:paraId="3E5465C1" w14:textId="77777777" w:rsidR="00A52EBC" w:rsidRPr="00267F53" w:rsidRDefault="00A52EBC" w:rsidP="001E4D1D">
      <w:pPr>
        <w:pStyle w:val="Heading2"/>
        <w:shd w:val="clear" w:color="auto" w:fill="368A72"/>
      </w:pPr>
      <w:bookmarkStart w:id="29" w:name="_Toc65059135"/>
      <w:r w:rsidRPr="00267F53">
        <w:t>Process</w:t>
      </w:r>
      <w:bookmarkEnd w:id="29"/>
    </w:p>
    <w:p w14:paraId="46D07740" w14:textId="77777777" w:rsidR="00A52EBC" w:rsidRPr="00267F53" w:rsidRDefault="00A52EBC" w:rsidP="00A52EBC"/>
    <w:p w14:paraId="467BBFCC" w14:textId="77777777" w:rsidR="00E144FB" w:rsidRPr="00267F53" w:rsidRDefault="00A52EBC" w:rsidP="00E144FB">
      <w:proofErr w:type="spellStart"/>
      <w:r w:rsidRPr="00267F53">
        <w:rPr>
          <w:rFonts w:ascii="Calibri" w:hAnsi="Calibri" w:cs="Calibri"/>
        </w:rPr>
        <w:t>mpconsulting</w:t>
      </w:r>
      <w:proofErr w:type="spellEnd"/>
      <w:r w:rsidRPr="00267F53">
        <w:rPr>
          <w:rFonts w:ascii="Calibri" w:hAnsi="Calibri" w:cs="Calibri"/>
        </w:rPr>
        <w:t xml:space="preserve"> was engaged </w:t>
      </w:r>
      <w:r w:rsidR="00356778" w:rsidRPr="00267F53">
        <w:rPr>
          <w:rFonts w:ascii="Calibri" w:hAnsi="Calibri" w:cs="Calibri"/>
        </w:rPr>
        <w:t xml:space="preserve">by the Food Regulation Standing Committee (the FRSC) </w:t>
      </w:r>
      <w:r w:rsidRPr="00267F53">
        <w:rPr>
          <w:rFonts w:ascii="Calibri" w:hAnsi="Calibri" w:cs="Calibri"/>
        </w:rPr>
        <w:t>to identify key areas of inconsistency in food regulatory approaches based on the impacts of these inconsistencies on industry and government.</w:t>
      </w:r>
      <w:r w:rsidR="00EE67B5" w:rsidRPr="00267F53">
        <w:rPr>
          <w:rFonts w:ascii="Calibri" w:hAnsi="Calibri" w:cs="Calibri"/>
        </w:rPr>
        <w:t xml:space="preserve"> This </w:t>
      </w:r>
      <w:r w:rsidR="002B4938" w:rsidRPr="00267F53">
        <w:rPr>
          <w:rFonts w:ascii="Calibri" w:hAnsi="Calibri" w:cs="Calibri"/>
        </w:rPr>
        <w:t xml:space="preserve">is intended to support </w:t>
      </w:r>
      <w:r w:rsidR="00EE67B5" w:rsidRPr="00267F53">
        <w:rPr>
          <w:rFonts w:ascii="Calibri" w:hAnsi="Calibri" w:cs="Calibri"/>
        </w:rPr>
        <w:t>governments to identify priority areas for reform and make evidence-based decisions</w:t>
      </w:r>
      <w:r w:rsidR="00EE67B5" w:rsidRPr="00267F53">
        <w:t xml:space="preserve"> </w:t>
      </w:r>
      <w:r w:rsidR="00E144FB" w:rsidRPr="00267F53">
        <w:t>regarding the future of the food regulatory system.</w:t>
      </w:r>
    </w:p>
    <w:p w14:paraId="1479BE05" w14:textId="77777777" w:rsidR="00A52EBC" w:rsidRPr="00267F53" w:rsidRDefault="00A52EBC" w:rsidP="00A52EBC">
      <w:pPr>
        <w:pStyle w:val="TableofAuthorities"/>
      </w:pPr>
    </w:p>
    <w:p w14:paraId="1D7B6F2E" w14:textId="77777777" w:rsidR="00A52EBC" w:rsidRPr="00267F53" w:rsidRDefault="00A52EBC" w:rsidP="00A52EBC">
      <w:r w:rsidRPr="00267F53">
        <w:t xml:space="preserve">As part of this process, </w:t>
      </w:r>
      <w:proofErr w:type="spellStart"/>
      <w:r w:rsidRPr="00267F53">
        <w:t>mpconsulting</w:t>
      </w:r>
      <w:proofErr w:type="spellEnd"/>
      <w:r w:rsidRPr="00267F53">
        <w:t>:</w:t>
      </w:r>
    </w:p>
    <w:p w14:paraId="2364F561" w14:textId="77777777" w:rsidR="00A52EBC" w:rsidRPr="00267F53" w:rsidRDefault="00A52EBC" w:rsidP="00A52EBC">
      <w:pPr>
        <w:pStyle w:val="TableofAuthorities"/>
      </w:pPr>
    </w:p>
    <w:p w14:paraId="73265085" w14:textId="77777777" w:rsidR="00A52EBC" w:rsidRPr="00267F53" w:rsidRDefault="00A52EBC" w:rsidP="00A52EBC">
      <w:pPr>
        <w:pStyle w:val="Bullet1"/>
      </w:pPr>
      <w:r w:rsidRPr="00267F53">
        <w:t>reviewed a range of materials including previous reviews</w:t>
      </w:r>
      <w:r w:rsidR="00917C8E" w:rsidRPr="00267F53">
        <w:t xml:space="preserve"> commissioned by government</w:t>
      </w:r>
      <w:r w:rsidR="002B4938" w:rsidRPr="00267F53">
        <w:t xml:space="preserve"> and </w:t>
      </w:r>
      <w:r w:rsidR="00917C8E" w:rsidRPr="00267F53">
        <w:t xml:space="preserve">research undertaken by industry peak bodies </w:t>
      </w:r>
    </w:p>
    <w:p w14:paraId="1FEBE6B2" w14:textId="77777777" w:rsidR="00A52EBC" w:rsidRPr="00267F53" w:rsidRDefault="00A52EBC" w:rsidP="00A52EBC">
      <w:pPr>
        <w:pStyle w:val="Bullet1"/>
      </w:pPr>
      <w:r w:rsidRPr="00267F53">
        <w:t xml:space="preserve">sought public feedback on a </w:t>
      </w:r>
      <w:hyperlink r:id="rId14" w:history="1">
        <w:r w:rsidRPr="00267F53">
          <w:rPr>
            <w:rStyle w:val="Hyperlink"/>
          </w:rPr>
          <w:t>Consultation Paper</w:t>
        </w:r>
      </w:hyperlink>
      <w:r w:rsidR="00917C8E" w:rsidRPr="00267F53">
        <w:t xml:space="preserve"> </w:t>
      </w:r>
    </w:p>
    <w:p w14:paraId="37FDEF31" w14:textId="77777777" w:rsidR="00463028" w:rsidRPr="00267F53" w:rsidRDefault="00A52EBC" w:rsidP="00A52EBC">
      <w:pPr>
        <w:pStyle w:val="Bullet1"/>
      </w:pPr>
      <w:r w:rsidRPr="00267F53">
        <w:t>undertook targeted consultations with government regulators, food businesses</w:t>
      </w:r>
      <w:r w:rsidR="00261EDC" w:rsidRPr="00267F53">
        <w:t xml:space="preserve"> and</w:t>
      </w:r>
      <w:r w:rsidRPr="00267F53">
        <w:t xml:space="preserve"> peak bodies</w:t>
      </w:r>
    </w:p>
    <w:p w14:paraId="23CDEAF1" w14:textId="77777777" w:rsidR="00A52EBC" w:rsidRPr="00267F53" w:rsidRDefault="00463028" w:rsidP="00A52EBC">
      <w:pPr>
        <w:pStyle w:val="Bullet1"/>
      </w:pPr>
      <w:r w:rsidRPr="00267F53">
        <w:t xml:space="preserve">reviewed relevant legislation </w:t>
      </w:r>
      <w:r w:rsidR="00694CE9" w:rsidRPr="00267F53">
        <w:t>(</w:t>
      </w:r>
      <w:r w:rsidRPr="00267F53">
        <w:t xml:space="preserve">including the </w:t>
      </w:r>
      <w:r w:rsidR="00694CE9" w:rsidRPr="00267F53">
        <w:rPr>
          <w:i/>
          <w:iCs w:val="0"/>
        </w:rPr>
        <w:t>Food Standards Australia New Zealand Act 1991</w:t>
      </w:r>
      <w:r w:rsidR="00694CE9" w:rsidRPr="00267F53">
        <w:t xml:space="preserve"> (the </w:t>
      </w:r>
      <w:r w:rsidRPr="00267F53">
        <w:t>FSANZ Act</w:t>
      </w:r>
      <w:r w:rsidR="00694CE9" w:rsidRPr="00267F53">
        <w:t>)</w:t>
      </w:r>
      <w:r w:rsidRPr="00267F53">
        <w:t>, the Food Standards Code</w:t>
      </w:r>
      <w:r w:rsidR="00E144FB" w:rsidRPr="00267F53">
        <w:t xml:space="preserve"> (the Code)</w:t>
      </w:r>
      <w:r w:rsidRPr="00267F53">
        <w:t xml:space="preserve">, State and Territory food and primary industries </w:t>
      </w:r>
      <w:r w:rsidR="00694CE9" w:rsidRPr="00267F53">
        <w:t>regulation</w:t>
      </w:r>
      <w:r w:rsidRPr="00267F53">
        <w:t>, the New Zealand Food Act</w:t>
      </w:r>
      <w:r w:rsidR="00694CE9" w:rsidRPr="00267F53">
        <w:t>) and guidance developed by Food Standards Australia New Zealand (FSANZ), regulatory agencies and industry bodies</w:t>
      </w:r>
      <w:r w:rsidR="00261EDC" w:rsidRPr="00267F53">
        <w:t>.</w:t>
      </w:r>
    </w:p>
    <w:p w14:paraId="2DBAE59C" w14:textId="77777777" w:rsidR="00261EDC" w:rsidRPr="00267F53" w:rsidRDefault="00261EDC" w:rsidP="00261EDC">
      <w:pPr>
        <w:pStyle w:val="Bullet1"/>
        <w:numPr>
          <w:ilvl w:val="0"/>
          <w:numId w:val="0"/>
        </w:numPr>
        <w:ind w:left="360" w:hanging="360"/>
      </w:pPr>
    </w:p>
    <w:p w14:paraId="76076524" w14:textId="77777777" w:rsidR="00261EDC" w:rsidRPr="00267F53" w:rsidRDefault="00261EDC" w:rsidP="0057231F">
      <w:pPr>
        <w:pStyle w:val="Bullet1"/>
        <w:keepNext/>
        <w:numPr>
          <w:ilvl w:val="0"/>
          <w:numId w:val="0"/>
        </w:numPr>
        <w:ind w:left="357" w:hanging="357"/>
      </w:pPr>
      <w:proofErr w:type="spellStart"/>
      <w:r w:rsidRPr="00267F53">
        <w:lastRenderedPageBreak/>
        <w:t>mpconsulting</w:t>
      </w:r>
      <w:proofErr w:type="spellEnd"/>
      <w:r w:rsidRPr="00267F53">
        <w:t xml:space="preserve"> received 47 submissions from stakeholders, including:</w:t>
      </w:r>
    </w:p>
    <w:p w14:paraId="14BFFD42" w14:textId="77777777" w:rsidR="00261EDC" w:rsidRPr="00267F53" w:rsidRDefault="00261EDC" w:rsidP="0057231F">
      <w:pPr>
        <w:pStyle w:val="Bullet1"/>
        <w:keepNext/>
        <w:numPr>
          <w:ilvl w:val="0"/>
          <w:numId w:val="0"/>
        </w:numPr>
        <w:ind w:left="357" w:hanging="357"/>
      </w:pPr>
    </w:p>
    <w:p w14:paraId="2463851A" w14:textId="77777777" w:rsidR="00261EDC" w:rsidRPr="00267F53" w:rsidRDefault="00261EDC" w:rsidP="0057231F">
      <w:pPr>
        <w:pStyle w:val="Bullet1"/>
        <w:keepNext/>
        <w:ind w:left="357" w:hanging="357"/>
      </w:pPr>
      <w:r w:rsidRPr="00267F53">
        <w:t>24 food businesses, comprising associations, primary producers, manufacturers/processors, transporters/distributors, suppliers, retailers, importers, exporters, hospitality venues, health and community caterer</w:t>
      </w:r>
    </w:p>
    <w:p w14:paraId="18F5EBCC" w14:textId="77777777" w:rsidR="0057231F" w:rsidRPr="00267F53" w:rsidRDefault="0057231F" w:rsidP="0057231F">
      <w:pPr>
        <w:pStyle w:val="mpcbullets2"/>
      </w:pPr>
      <w:r w:rsidRPr="00267F53">
        <w:t>Sectors represented included independent grocery stores, primary producers of chicken meat, eggs, dairy and seafood, alcohol</w:t>
      </w:r>
      <w:r w:rsidRPr="00267F53">
        <w:noBreakHyphen/>
        <w:t>based businesses, some food service businesses and some large, multinational manufacturers of packaged foods.</w:t>
      </w:r>
    </w:p>
    <w:p w14:paraId="2D63B12D" w14:textId="77777777" w:rsidR="00261EDC" w:rsidRPr="00267F53" w:rsidRDefault="00261EDC" w:rsidP="00261EDC">
      <w:pPr>
        <w:pStyle w:val="Bullet1"/>
      </w:pPr>
      <w:r w:rsidRPr="00267F53">
        <w:t>9 government agencies, comprising local, state and federal government</w:t>
      </w:r>
      <w:r w:rsidR="00651C11" w:rsidRPr="00267F53">
        <w:t>s</w:t>
      </w:r>
    </w:p>
    <w:p w14:paraId="6490CA6F" w14:textId="77777777" w:rsidR="00261EDC" w:rsidRPr="00267F53" w:rsidRDefault="00261EDC" w:rsidP="00261EDC">
      <w:pPr>
        <w:pStyle w:val="Bullet1"/>
      </w:pPr>
      <w:r w:rsidRPr="00267F53">
        <w:t>14 others, including public health organisations and consumer advocates.</w:t>
      </w:r>
    </w:p>
    <w:p w14:paraId="21B30248" w14:textId="77777777" w:rsidR="00144BBD" w:rsidRPr="00267F53" w:rsidRDefault="00144BBD" w:rsidP="00144BBD">
      <w:pPr>
        <w:pStyle w:val="Bullet1"/>
        <w:numPr>
          <w:ilvl w:val="0"/>
          <w:numId w:val="0"/>
        </w:numPr>
        <w:ind w:left="360" w:hanging="360"/>
      </w:pPr>
    </w:p>
    <w:p w14:paraId="6B6B4498" w14:textId="77777777" w:rsidR="0094288E" w:rsidRPr="00267F53" w:rsidRDefault="0094288E" w:rsidP="0094288E">
      <w:pPr>
        <w:rPr>
          <w:lang w:bidi="th-TH"/>
        </w:rPr>
      </w:pPr>
      <w:r w:rsidRPr="00267F53">
        <w:rPr>
          <w:lang w:bidi="th-TH"/>
        </w:rPr>
        <w:t>It is noted that the time period over which consultation was undertaken (during late 2020) likely impacted the number of stakeholders able to make submissions and the level of detail included in submissions. While stakeholders were invited to provide cost estimates of the impact of any identified inconsistencies, none of the stakeholders who made submissions chose to do this.</w:t>
      </w:r>
    </w:p>
    <w:p w14:paraId="0D335D27" w14:textId="77777777" w:rsidR="0094288E" w:rsidRPr="00267F53" w:rsidRDefault="0094288E" w:rsidP="00144BBD">
      <w:pPr>
        <w:pStyle w:val="Bullet1"/>
        <w:numPr>
          <w:ilvl w:val="0"/>
          <w:numId w:val="0"/>
        </w:numPr>
        <w:ind w:left="360" w:hanging="360"/>
      </w:pPr>
    </w:p>
    <w:p w14:paraId="0689643C" w14:textId="77777777" w:rsidR="00144BBD" w:rsidRPr="00267F53" w:rsidRDefault="00144BBD" w:rsidP="0094288E">
      <w:r w:rsidRPr="00267F53">
        <w:t>The majority of respondents were responding from Australia, with only four New Zealand-based respondents and six Trans-Tasman organisations.</w:t>
      </w:r>
      <w:r w:rsidR="00651C11" w:rsidRPr="00267F53">
        <w:t xml:space="preserve"> </w:t>
      </w:r>
    </w:p>
    <w:p w14:paraId="5FD6F4B6" w14:textId="77777777" w:rsidR="0094288E" w:rsidRPr="00267F53" w:rsidRDefault="0094288E" w:rsidP="0094288E"/>
    <w:p w14:paraId="5476DCAE" w14:textId="77777777" w:rsidR="0094288E" w:rsidRPr="00267F53" w:rsidRDefault="0094288E" w:rsidP="0094288E">
      <w:r w:rsidRPr="00267F53">
        <w:t xml:space="preserve">Given the small sample size, no sectors were strongly represented and some of the issues raised were sector specific and only raised by one or two respondents. </w:t>
      </w:r>
    </w:p>
    <w:p w14:paraId="6EFCF4FF" w14:textId="77777777" w:rsidR="00E144FB" w:rsidRPr="00267F53" w:rsidRDefault="00E144FB" w:rsidP="00E144FB">
      <w:pPr>
        <w:pStyle w:val="Bullet1"/>
        <w:numPr>
          <w:ilvl w:val="0"/>
          <w:numId w:val="0"/>
        </w:numPr>
        <w:ind w:left="360" w:hanging="360"/>
      </w:pPr>
    </w:p>
    <w:p w14:paraId="794FC927" w14:textId="77777777" w:rsidR="00EE67B5" w:rsidRPr="00267F53" w:rsidRDefault="00EE67B5" w:rsidP="00171075">
      <w:pPr>
        <w:pStyle w:val="Heading2"/>
        <w:shd w:val="clear" w:color="auto" w:fill="368A72"/>
      </w:pPr>
      <w:bookmarkStart w:id="30" w:name="_Toc65059136"/>
      <w:r w:rsidRPr="00267F53">
        <w:t>Stakeholder feedback</w:t>
      </w:r>
      <w:bookmarkEnd w:id="30"/>
    </w:p>
    <w:p w14:paraId="04E4DA61" w14:textId="77777777" w:rsidR="00EE67B5" w:rsidRPr="00267F53" w:rsidRDefault="00EE67B5" w:rsidP="00E144FB">
      <w:pPr>
        <w:pStyle w:val="Bullet1"/>
        <w:numPr>
          <w:ilvl w:val="0"/>
          <w:numId w:val="0"/>
        </w:numPr>
        <w:ind w:left="360" w:hanging="360"/>
      </w:pPr>
    </w:p>
    <w:p w14:paraId="5A9A5C6E" w14:textId="77777777" w:rsidR="009F58C6" w:rsidRPr="00267F53" w:rsidRDefault="00EE67B5" w:rsidP="00E82F7A">
      <w:pPr>
        <w:pStyle w:val="mpcbullets1"/>
        <w:numPr>
          <w:ilvl w:val="0"/>
          <w:numId w:val="0"/>
        </w:numPr>
      </w:pPr>
      <w:r w:rsidRPr="00267F53">
        <w:t xml:space="preserve">Stakeholders </w:t>
      </w:r>
      <w:r w:rsidR="009F58C6" w:rsidRPr="00267F53">
        <w:t xml:space="preserve">were asked </w:t>
      </w:r>
      <w:r w:rsidR="00631592" w:rsidRPr="00267F53">
        <w:t>a number</w:t>
      </w:r>
      <w:r w:rsidR="009F58C6" w:rsidRPr="00267F53">
        <w:t xml:space="preserve"> questions relating to </w:t>
      </w:r>
      <w:r w:rsidR="00631592" w:rsidRPr="00267F53">
        <w:t>the consistency of food regulatory approaches</w:t>
      </w:r>
      <w:r w:rsidR="009F58C6" w:rsidRPr="00267F53">
        <w:t xml:space="preserve"> (see </w:t>
      </w:r>
      <w:hyperlink w:anchor="_Attachment_B:_Stakeholder" w:history="1">
        <w:r w:rsidR="009F58C6" w:rsidRPr="00267F53">
          <w:rPr>
            <w:rStyle w:val="Hyperlink"/>
          </w:rPr>
          <w:t xml:space="preserve">Attachment </w:t>
        </w:r>
        <w:r w:rsidR="00631592" w:rsidRPr="00267F53">
          <w:rPr>
            <w:rStyle w:val="Hyperlink"/>
          </w:rPr>
          <w:t>B</w:t>
        </w:r>
        <w:r w:rsidR="009F58C6" w:rsidRPr="00267F53">
          <w:t>).</w:t>
        </w:r>
      </w:hyperlink>
    </w:p>
    <w:p w14:paraId="6ED8D3B5" w14:textId="77777777" w:rsidR="009F58C6" w:rsidRPr="00267F53" w:rsidRDefault="009F58C6" w:rsidP="00E82F7A">
      <w:pPr>
        <w:pStyle w:val="mpcbullets1"/>
        <w:numPr>
          <w:ilvl w:val="0"/>
          <w:numId w:val="0"/>
        </w:numPr>
      </w:pPr>
    </w:p>
    <w:p w14:paraId="0F3EA83D" w14:textId="77777777" w:rsidR="009F58C6" w:rsidRPr="00267F53" w:rsidRDefault="009F58C6" w:rsidP="00E82F7A">
      <w:pPr>
        <w:pStyle w:val="mpcbullets1"/>
        <w:numPr>
          <w:ilvl w:val="0"/>
          <w:numId w:val="0"/>
        </w:numPr>
      </w:pPr>
      <w:r w:rsidRPr="00267F53">
        <w:t>As anticipated</w:t>
      </w:r>
      <w:r w:rsidR="00631592" w:rsidRPr="00267F53">
        <w:t>,</w:t>
      </w:r>
      <w:r w:rsidRPr="00267F53">
        <w:t xml:space="preserve"> a range of issues were raised – some minor and very specific to </w:t>
      </w:r>
      <w:r w:rsidR="00631592" w:rsidRPr="00267F53">
        <w:t xml:space="preserve">a </w:t>
      </w:r>
      <w:r w:rsidRPr="00267F53">
        <w:t xml:space="preserve">particular industry </w:t>
      </w:r>
      <w:r w:rsidR="00631592" w:rsidRPr="00267F53">
        <w:t xml:space="preserve">or business </w:t>
      </w:r>
      <w:r w:rsidRPr="00267F53">
        <w:t xml:space="preserve">and some </w:t>
      </w:r>
      <w:r w:rsidR="00631592" w:rsidRPr="00267F53">
        <w:t xml:space="preserve">more </w:t>
      </w:r>
      <w:r w:rsidRPr="00267F53">
        <w:t>significant.</w:t>
      </w:r>
    </w:p>
    <w:p w14:paraId="71C8EBC6" w14:textId="77777777" w:rsidR="009F58C6" w:rsidRPr="00267F53" w:rsidRDefault="009F58C6" w:rsidP="00E82F7A">
      <w:pPr>
        <w:pStyle w:val="mpcbullets1"/>
        <w:numPr>
          <w:ilvl w:val="0"/>
          <w:numId w:val="0"/>
        </w:numPr>
      </w:pPr>
    </w:p>
    <w:p w14:paraId="4409ECF0" w14:textId="77777777" w:rsidR="009F58C6" w:rsidRPr="00267F53" w:rsidRDefault="009F58C6" w:rsidP="009F58C6">
      <w:r w:rsidRPr="00267F53">
        <w:t>Overall, stakeholders:</w:t>
      </w:r>
    </w:p>
    <w:p w14:paraId="4BD37D24" w14:textId="77777777" w:rsidR="00631592" w:rsidRPr="00267F53" w:rsidRDefault="00631592" w:rsidP="009F58C6"/>
    <w:p w14:paraId="0B74B2A3" w14:textId="77777777" w:rsidR="009F58C6" w:rsidRPr="00267F53" w:rsidRDefault="009F58C6" w:rsidP="009F58C6">
      <w:pPr>
        <w:pStyle w:val="Bullet1"/>
      </w:pPr>
      <w:r w:rsidRPr="00267F53">
        <w:t xml:space="preserve">felt that </w:t>
      </w:r>
      <w:r w:rsidRPr="00267F53">
        <w:rPr>
          <w:lang w:bidi="th-TH"/>
        </w:rPr>
        <w:t>regulatory requirements are mostly consistent nationally within Australia and (to an extent) bi-nationally with New Zealand</w:t>
      </w:r>
    </w:p>
    <w:p w14:paraId="16F5C18D" w14:textId="77777777" w:rsidR="009F58C6" w:rsidRPr="00267F53" w:rsidRDefault="009F58C6" w:rsidP="00667C32">
      <w:pPr>
        <w:pStyle w:val="Bullets2"/>
      </w:pPr>
      <w:r w:rsidRPr="00267F53">
        <w:rPr>
          <w:lang w:bidi="th-TH"/>
        </w:rPr>
        <w:t xml:space="preserve">Many stakeholders felt that there was strong consistency with regards to food safety matters (‘where alignment is most important’). </w:t>
      </w:r>
      <w:r w:rsidRPr="00267F53">
        <w:t>From an incident management perspective, strong consistency exists across jurisdictions in responding to food recalls, investigations of foodborne illness and decision making for these purposes.</w:t>
      </w:r>
    </w:p>
    <w:p w14:paraId="6D0F09BF" w14:textId="77777777" w:rsidR="009F58C6" w:rsidRPr="00267F53" w:rsidRDefault="009F58C6" w:rsidP="00667C32">
      <w:pPr>
        <w:pStyle w:val="Bullets2"/>
      </w:pPr>
      <w:r w:rsidRPr="00267F53">
        <w:t xml:space="preserve">Despite this, the vast majority of stakeholders considered inconsistency in food regulation to be a major or significant issue. </w:t>
      </w:r>
    </w:p>
    <w:p w14:paraId="74F5E82F" w14:textId="77777777" w:rsidR="00FD6FF5" w:rsidRPr="00267F53" w:rsidRDefault="00FD6FF5" w:rsidP="00667C32">
      <w:pPr>
        <w:pStyle w:val="Bullets2"/>
        <w:numPr>
          <w:ilvl w:val="0"/>
          <w:numId w:val="0"/>
        </w:numPr>
        <w:ind w:left="851"/>
      </w:pPr>
    </w:p>
    <w:p w14:paraId="18D94066" w14:textId="77777777" w:rsidR="009F58C6" w:rsidRPr="00267F53" w:rsidRDefault="0057231F" w:rsidP="00667C32">
      <w:pPr>
        <w:pStyle w:val="Bullets2"/>
        <w:numPr>
          <w:ilvl w:val="0"/>
          <w:numId w:val="0"/>
        </w:numPr>
        <w:ind w:left="2160"/>
      </w:pPr>
      <w:r w:rsidRPr="00267F53">
        <w:rPr>
          <w:noProof/>
          <w:lang w:eastAsia="en-AU"/>
        </w:rPr>
        <w:lastRenderedPageBreak/>
        <w:drawing>
          <wp:inline distT="0" distB="0" distL="0" distR="0" wp14:anchorId="682DBB9C" wp14:editId="3D835079">
            <wp:extent cx="4119824" cy="2532185"/>
            <wp:effectExtent l="0" t="0" r="8255" b="8255"/>
            <wp:docPr id="6" name="Chart 6" descr="This pie chart showing the breakdown of stakeholder responses to a consultation question about whether inconsistency in food regulation is an issue.">
              <a:extLst xmlns:a="http://schemas.openxmlformats.org/drawingml/2006/main">
                <a:ext uri="{FF2B5EF4-FFF2-40B4-BE49-F238E27FC236}">
                  <a16:creationId xmlns:a16="http://schemas.microsoft.com/office/drawing/2014/main" id="{52898303-5F3A-D641-8A05-CE6046D7F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883D21" w14:textId="77777777" w:rsidR="009F58C6" w:rsidRPr="00267F53" w:rsidRDefault="009F58C6" w:rsidP="00667C32">
      <w:pPr>
        <w:pStyle w:val="Bullets2"/>
        <w:numPr>
          <w:ilvl w:val="0"/>
          <w:numId w:val="0"/>
        </w:numPr>
        <w:ind w:left="1080"/>
      </w:pPr>
    </w:p>
    <w:p w14:paraId="429DFE0B" w14:textId="77777777" w:rsidR="009F58C6" w:rsidRPr="00267F53" w:rsidRDefault="009F58C6" w:rsidP="009F58C6">
      <w:pPr>
        <w:pStyle w:val="Bullet1"/>
        <w:rPr>
          <w:lang w:bidi="th-TH"/>
        </w:rPr>
      </w:pPr>
      <w:r w:rsidRPr="00267F53">
        <w:rPr>
          <w:lang w:bidi="th-TH"/>
        </w:rPr>
        <w:t>highlighted that inconsistency has a more notable impact in some aspects of food regulation than others</w:t>
      </w:r>
    </w:p>
    <w:p w14:paraId="4227CAC8" w14:textId="77777777" w:rsidR="009F58C6" w:rsidRPr="00267F53" w:rsidRDefault="009F58C6" w:rsidP="00667C32">
      <w:pPr>
        <w:pStyle w:val="Bullets2"/>
        <w:rPr>
          <w:lang w:bidi="th-TH"/>
        </w:rPr>
      </w:pPr>
      <w:r w:rsidRPr="00267F53">
        <w:rPr>
          <w:lang w:bidi="th-TH"/>
        </w:rPr>
        <w:t>For example, while there are some inconsistencies in the way certain requirements under the food safety standards and primary production standards are implemented across jurisdictions in Australia, the outcomes in relation to food safety are broadly consistent. Whereas inconsistencies in the application and enforcement of food composition and food labelling standards can result in notable differences between like products and create confusion for consumers.</w:t>
      </w:r>
    </w:p>
    <w:p w14:paraId="0B9B2BE2" w14:textId="77777777" w:rsidR="009F58C6" w:rsidRPr="00267F53" w:rsidRDefault="009F58C6" w:rsidP="00667C32">
      <w:pPr>
        <w:pStyle w:val="Bullets2"/>
      </w:pPr>
      <w:r w:rsidRPr="00267F53">
        <w:t>Stakeholders were asked whether they had been impacted by inconsistent regulatory approaches (or inconsistent interpretation or enforcement of regulation) in any of the following areas and responded as below</w:t>
      </w:r>
      <w:r w:rsidR="00FD6FF5" w:rsidRPr="00267F53">
        <w:t>.</w:t>
      </w:r>
    </w:p>
    <w:p w14:paraId="5AEF2CAE" w14:textId="77777777" w:rsidR="009F58C6" w:rsidRPr="00267F53" w:rsidRDefault="009F58C6" w:rsidP="00667C32">
      <w:pPr>
        <w:pStyle w:val="Bullets2"/>
        <w:numPr>
          <w:ilvl w:val="0"/>
          <w:numId w:val="0"/>
        </w:numPr>
        <w:ind w:left="1080"/>
        <w:rPr>
          <w:lang w:bidi="th-TH"/>
        </w:rPr>
      </w:pPr>
    </w:p>
    <w:p w14:paraId="2491F62A" w14:textId="77777777" w:rsidR="009F58C6" w:rsidRPr="00267F53" w:rsidRDefault="00D82D52" w:rsidP="00D82D52">
      <w:pPr>
        <w:pStyle w:val="Bullets2"/>
        <w:numPr>
          <w:ilvl w:val="0"/>
          <w:numId w:val="0"/>
        </w:numPr>
        <w:rPr>
          <w:lang w:bidi="th-TH"/>
        </w:rPr>
      </w:pPr>
      <w:r w:rsidRPr="00267F53">
        <w:rPr>
          <w:noProof/>
          <w:lang w:eastAsia="en-AU"/>
        </w:rPr>
        <w:drawing>
          <wp:inline distT="0" distB="0" distL="0" distR="0" wp14:anchorId="71B31502" wp14:editId="7E39F2DF">
            <wp:extent cx="6188710" cy="2788285"/>
            <wp:effectExtent l="0" t="0" r="8890" b="18415"/>
            <wp:docPr id="3" name="Chart 3" descr="This bar chart shows the breakdown of stakeholder responses to a consultation question about whether they had been impacted by inconsistent regulatory approaches in different areas of food regulation e.g. food labelling, food safety standards etc.">
              <a:extLst xmlns:a="http://schemas.openxmlformats.org/drawingml/2006/main">
                <a:ext uri="{FF2B5EF4-FFF2-40B4-BE49-F238E27FC236}">
                  <a16:creationId xmlns:a16="http://schemas.microsoft.com/office/drawing/2014/main" id="{5407BE31-5B47-E240-9BE8-A1ACBEF0A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9D72C4" w14:textId="77777777" w:rsidR="00FD6FF5" w:rsidRPr="00267F53" w:rsidRDefault="00FD6FF5" w:rsidP="00FD6FF5">
      <w:pPr>
        <w:pStyle w:val="Bullet1"/>
        <w:numPr>
          <w:ilvl w:val="0"/>
          <w:numId w:val="0"/>
        </w:numPr>
        <w:ind w:left="360" w:hanging="360"/>
        <w:rPr>
          <w:lang w:bidi="th-TH"/>
        </w:rPr>
      </w:pPr>
    </w:p>
    <w:p w14:paraId="494883F2" w14:textId="77777777" w:rsidR="009F58C6" w:rsidRPr="00267F53" w:rsidRDefault="009F58C6" w:rsidP="009F58C6">
      <w:pPr>
        <w:pStyle w:val="Bullet1"/>
        <w:rPr>
          <w:lang w:bidi="th-TH"/>
        </w:rPr>
      </w:pPr>
      <w:r w:rsidRPr="00267F53">
        <w:rPr>
          <w:lang w:bidi="th-TH"/>
        </w:rPr>
        <w:t xml:space="preserve">described the different impacts of inconsistency, particularly on businesses that operate across jurisdictions. </w:t>
      </w:r>
    </w:p>
    <w:p w14:paraId="7DFAC456" w14:textId="77777777" w:rsidR="009F58C6" w:rsidRPr="00267F53" w:rsidRDefault="009F58C6" w:rsidP="00667C32">
      <w:pPr>
        <w:pStyle w:val="Bullets2"/>
        <w:rPr>
          <w:lang w:bidi="th-TH"/>
        </w:rPr>
      </w:pPr>
      <w:r w:rsidRPr="00267F53">
        <w:rPr>
          <w:lang w:bidi="th-TH"/>
        </w:rPr>
        <w:t xml:space="preserve">Impacts on businesses included the increased costs/resourcing required to meet regulations across jurisdictions, market disadvantage for businesses based in certain </w:t>
      </w:r>
      <w:r w:rsidRPr="00267F53">
        <w:rPr>
          <w:lang w:bidi="th-TH"/>
        </w:rPr>
        <w:lastRenderedPageBreak/>
        <w:t>locations and limitations on capacity and incentives for innovation (including to improve food safety). Impacts on regulators included inefficient and duplicative monitoring and assessment of food businesses, challenges enforcing compliance, and more broadly, reputational damage to the food regulatory system.</w:t>
      </w:r>
    </w:p>
    <w:p w14:paraId="184B06E3" w14:textId="77777777" w:rsidR="00FD6FF5" w:rsidRPr="00267F53" w:rsidRDefault="00FD6FF5" w:rsidP="00667C32">
      <w:pPr>
        <w:pStyle w:val="Bullets2"/>
        <w:rPr>
          <w:lang w:bidi="th-TH"/>
        </w:rPr>
      </w:pPr>
      <w:r w:rsidRPr="00267F53">
        <w:rPr>
          <w:lang w:bidi="th-TH"/>
        </w:rPr>
        <w:t xml:space="preserve">While quantitative information regarding the cost impact of any inconsistencies </w:t>
      </w:r>
      <w:r w:rsidR="00AD012A" w:rsidRPr="00267F53">
        <w:rPr>
          <w:lang w:bidi="th-TH"/>
        </w:rPr>
        <w:t xml:space="preserve">(particularly on food businesses) </w:t>
      </w:r>
      <w:r w:rsidRPr="00267F53">
        <w:rPr>
          <w:lang w:bidi="th-TH"/>
        </w:rPr>
        <w:t xml:space="preserve">was sought from stakeholders, </w:t>
      </w:r>
      <w:r w:rsidR="00AD012A" w:rsidRPr="00267F53">
        <w:rPr>
          <w:lang w:bidi="th-TH"/>
        </w:rPr>
        <w:t xml:space="preserve">this was limited. Only one stakeholder provided an estimated </w:t>
      </w:r>
      <w:r w:rsidR="0074091B" w:rsidRPr="00267F53">
        <w:rPr>
          <w:lang w:bidi="th-TH"/>
        </w:rPr>
        <w:t xml:space="preserve">(confidential) </w:t>
      </w:r>
      <w:r w:rsidR="00AD012A" w:rsidRPr="00267F53">
        <w:rPr>
          <w:lang w:bidi="th-TH"/>
        </w:rPr>
        <w:t>cost relating to the cost of relabelling products in response to changes to labelling regulations.</w:t>
      </w:r>
    </w:p>
    <w:p w14:paraId="1153FED2" w14:textId="77777777" w:rsidR="006003D8" w:rsidRPr="00267F53" w:rsidRDefault="006003D8" w:rsidP="00667C32">
      <w:pPr>
        <w:pStyle w:val="Bullets2"/>
        <w:numPr>
          <w:ilvl w:val="0"/>
          <w:numId w:val="0"/>
        </w:numPr>
        <w:rPr>
          <w:lang w:bidi="th-TH"/>
        </w:rPr>
      </w:pPr>
    </w:p>
    <w:p w14:paraId="289757CC" w14:textId="39533DAE" w:rsidR="000B2301" w:rsidRPr="00267F53" w:rsidRDefault="00E43631" w:rsidP="00110E37">
      <w:pPr>
        <w:rPr>
          <w:lang w:bidi="th-TH"/>
        </w:rPr>
      </w:pPr>
      <w:r w:rsidRPr="00267F53">
        <w:rPr>
          <w:lang w:bidi="th-TH"/>
        </w:rPr>
        <w:t xml:space="preserve">The </w:t>
      </w:r>
      <w:r w:rsidR="00571E00" w:rsidRPr="00267F53">
        <w:rPr>
          <w:lang w:bidi="th-TH"/>
        </w:rPr>
        <w:t>subsequent</w:t>
      </w:r>
      <w:r w:rsidRPr="00267F53">
        <w:rPr>
          <w:lang w:bidi="th-TH"/>
        </w:rPr>
        <w:t xml:space="preserve"> </w:t>
      </w:r>
      <w:r w:rsidR="003E4E49" w:rsidRPr="00267F53">
        <w:rPr>
          <w:lang w:bidi="th-TH"/>
        </w:rPr>
        <w:t>c</w:t>
      </w:r>
      <w:r w:rsidRPr="00267F53">
        <w:rPr>
          <w:lang w:bidi="th-TH"/>
        </w:rPr>
        <w:t xml:space="preserve">hapter describes </w:t>
      </w:r>
      <w:r w:rsidR="006457D9" w:rsidRPr="00267F53">
        <w:rPr>
          <w:lang w:bidi="th-TH"/>
        </w:rPr>
        <w:t>the range of</w:t>
      </w:r>
      <w:r w:rsidR="00E042F7" w:rsidRPr="00267F53">
        <w:rPr>
          <w:lang w:bidi="th-TH"/>
        </w:rPr>
        <w:t xml:space="preserve"> </w:t>
      </w:r>
      <w:hyperlink w:anchor="_Chapter_2:_Key" w:history="1">
        <w:r w:rsidR="003E4E49" w:rsidRPr="00267F53">
          <w:rPr>
            <w:rStyle w:val="Hyperlink"/>
            <w:lang w:bidi="th-TH"/>
          </w:rPr>
          <w:t>areas of inconsistency identified by stakeholders</w:t>
        </w:r>
      </w:hyperlink>
      <w:r w:rsidR="00E042F7" w:rsidRPr="00267F53">
        <w:rPr>
          <w:lang w:bidi="th-TH"/>
        </w:rPr>
        <w:t>.</w:t>
      </w:r>
      <w:r w:rsidR="00571E00" w:rsidRPr="00267F53">
        <w:rPr>
          <w:lang w:bidi="th-TH"/>
        </w:rPr>
        <w:t xml:space="preserve"> Following this, </w:t>
      </w:r>
      <w:proofErr w:type="spellStart"/>
      <w:r w:rsidR="00571E00" w:rsidRPr="00267F53">
        <w:rPr>
          <w:lang w:bidi="th-TH"/>
        </w:rPr>
        <w:t>mpconsulting</w:t>
      </w:r>
      <w:proofErr w:type="spellEnd"/>
      <w:r w:rsidR="00571E00" w:rsidRPr="00267F53">
        <w:rPr>
          <w:lang w:bidi="th-TH"/>
        </w:rPr>
        <w:t xml:space="preserve"> has identified </w:t>
      </w:r>
      <w:proofErr w:type="gramStart"/>
      <w:r w:rsidR="00571E00" w:rsidRPr="00267F53">
        <w:rPr>
          <w:lang w:bidi="th-TH"/>
        </w:rPr>
        <w:t>a number of</w:t>
      </w:r>
      <w:proofErr w:type="gramEnd"/>
      <w:r w:rsidR="00571E00" w:rsidRPr="00267F53">
        <w:rPr>
          <w:lang w:bidi="th-TH"/>
        </w:rPr>
        <w:t xml:space="preserve"> </w:t>
      </w:r>
      <w:hyperlink w:anchor="_Chapter_3:_Analysis" w:history="1">
        <w:r w:rsidR="003E4E49" w:rsidRPr="00267F53">
          <w:rPr>
            <w:rStyle w:val="Hyperlink"/>
            <w:lang w:bidi="th-TH"/>
          </w:rPr>
          <w:t>analysis and identification of possible areas for reform</w:t>
        </w:r>
      </w:hyperlink>
      <w:r w:rsidR="00571E00" w:rsidRPr="00267F53">
        <w:rPr>
          <w:lang w:bidi="th-TH"/>
        </w:rPr>
        <w:t>.</w:t>
      </w:r>
    </w:p>
    <w:bookmarkEnd w:id="1"/>
    <w:p w14:paraId="511004A0" w14:textId="77777777" w:rsidR="008170CE" w:rsidRPr="00267F53" w:rsidRDefault="00571E00" w:rsidP="008D18B7">
      <w:pPr>
        <w:pStyle w:val="Heading1"/>
      </w:pPr>
      <w:r w:rsidRPr="00267F53">
        <w:br w:type="column"/>
      </w:r>
      <w:bookmarkStart w:id="31" w:name="_Toc65059137"/>
      <w:r w:rsidR="00B21C93" w:rsidRPr="00267F53">
        <w:lastRenderedPageBreak/>
        <w:t>Chapter 2</w:t>
      </w:r>
      <w:r w:rsidR="00AD012A" w:rsidRPr="00267F53">
        <w:t>:</w:t>
      </w:r>
      <w:r w:rsidR="00B21C93" w:rsidRPr="00267F53">
        <w:t xml:space="preserve"> </w:t>
      </w:r>
      <w:r w:rsidR="006457D9" w:rsidRPr="00267F53">
        <w:t>A</w:t>
      </w:r>
      <w:r w:rsidR="00D21A3A" w:rsidRPr="00267F53">
        <w:rPr>
          <w:lang w:bidi="th-TH"/>
        </w:rPr>
        <w:t>reas of inconsistency i</w:t>
      </w:r>
      <w:r w:rsidR="00B21C93" w:rsidRPr="00267F53">
        <w:rPr>
          <w:lang w:bidi="th-TH"/>
        </w:rPr>
        <w:t xml:space="preserve">dentified by </w:t>
      </w:r>
      <w:proofErr w:type="gramStart"/>
      <w:r w:rsidR="00B21C93" w:rsidRPr="00267F53">
        <w:rPr>
          <w:lang w:bidi="th-TH"/>
        </w:rPr>
        <w:t>stakeholders</w:t>
      </w:r>
      <w:bookmarkEnd w:id="31"/>
      <w:proofErr w:type="gramEnd"/>
    </w:p>
    <w:p w14:paraId="6E8E4DF5" w14:textId="77777777" w:rsidR="00B21C93" w:rsidRPr="00267F53" w:rsidRDefault="00B21C93" w:rsidP="00E974D6">
      <w:pPr>
        <w:pStyle w:val="Bullet1"/>
        <w:numPr>
          <w:ilvl w:val="0"/>
          <w:numId w:val="0"/>
        </w:numPr>
      </w:pPr>
    </w:p>
    <w:p w14:paraId="6451960E" w14:textId="77777777" w:rsidR="00B21C93" w:rsidRPr="00267F53" w:rsidRDefault="00B21C93" w:rsidP="00171075">
      <w:pPr>
        <w:pStyle w:val="Heading2"/>
        <w:shd w:val="clear" w:color="auto" w:fill="368A72"/>
        <w:rPr>
          <w:lang w:bidi="th-TH"/>
        </w:rPr>
      </w:pPr>
      <w:bookmarkStart w:id="32" w:name="_Toc65059138"/>
      <w:r w:rsidRPr="00267F53">
        <w:rPr>
          <w:lang w:bidi="th-TH"/>
        </w:rPr>
        <w:t>Overview</w:t>
      </w:r>
      <w:bookmarkEnd w:id="32"/>
      <w:r w:rsidRPr="00267F53">
        <w:rPr>
          <w:lang w:bidi="th-TH"/>
        </w:rPr>
        <w:t xml:space="preserve"> </w:t>
      </w:r>
    </w:p>
    <w:p w14:paraId="28F68036" w14:textId="77777777" w:rsidR="00B16DA8" w:rsidRPr="00267F53" w:rsidRDefault="00B16DA8" w:rsidP="00002C6D">
      <w:pPr>
        <w:rPr>
          <w:lang w:eastAsia="en-US" w:bidi="th-TH"/>
        </w:rPr>
      </w:pPr>
    </w:p>
    <w:p w14:paraId="13A16B64" w14:textId="77777777" w:rsidR="00B21C93" w:rsidRPr="00267F53" w:rsidRDefault="00B21C93" w:rsidP="00E974D6">
      <w:pPr>
        <w:pStyle w:val="Bullet1"/>
        <w:numPr>
          <w:ilvl w:val="0"/>
          <w:numId w:val="0"/>
        </w:numPr>
        <w:ind w:left="360" w:hanging="360"/>
      </w:pPr>
      <w:r w:rsidRPr="00267F53">
        <w:t xml:space="preserve">Issues raised by stakeholders can broadly be grouped into </w:t>
      </w:r>
      <w:r w:rsidR="00AD012A" w:rsidRPr="00267F53">
        <w:t>the following</w:t>
      </w:r>
      <w:r w:rsidRPr="00267F53">
        <w:t xml:space="preserve"> areas:</w:t>
      </w:r>
    </w:p>
    <w:p w14:paraId="32A191A7" w14:textId="77777777" w:rsidR="00AD012A" w:rsidRPr="00267F53" w:rsidRDefault="00AD012A" w:rsidP="00E974D6">
      <w:pPr>
        <w:pStyle w:val="Bullet1"/>
        <w:numPr>
          <w:ilvl w:val="0"/>
          <w:numId w:val="0"/>
        </w:numPr>
        <w:ind w:left="360" w:hanging="360"/>
      </w:pPr>
    </w:p>
    <w:p w14:paraId="7B5D8197" w14:textId="77777777" w:rsidR="00A61EBB" w:rsidRPr="00267F53" w:rsidRDefault="00A61EBB" w:rsidP="00B21C93">
      <w:pPr>
        <w:pStyle w:val="Bullet1"/>
        <w:rPr>
          <w:lang w:bidi="th-TH"/>
        </w:rPr>
      </w:pPr>
      <w:r w:rsidRPr="00267F53">
        <w:rPr>
          <w:lang w:bidi="th-TH"/>
        </w:rPr>
        <w:t>inconsistenc</w:t>
      </w:r>
      <w:r w:rsidR="00AD012A" w:rsidRPr="00267F53">
        <w:rPr>
          <w:lang w:bidi="th-TH"/>
        </w:rPr>
        <w:t>ies</w:t>
      </w:r>
      <w:r w:rsidRPr="00267F53">
        <w:rPr>
          <w:lang w:bidi="th-TH"/>
        </w:rPr>
        <w:t xml:space="preserve"> arising from the food regulatory system</w:t>
      </w:r>
      <w:r w:rsidR="00AD012A" w:rsidRPr="00267F53">
        <w:rPr>
          <w:lang w:bidi="th-TH"/>
        </w:rPr>
        <w:t xml:space="preserve"> structure</w:t>
      </w:r>
    </w:p>
    <w:p w14:paraId="4D417A76" w14:textId="77777777" w:rsidR="00277345" w:rsidRPr="00267F53" w:rsidRDefault="00B21C93" w:rsidP="00B21C93">
      <w:pPr>
        <w:pStyle w:val="Bullet1"/>
        <w:rPr>
          <w:lang w:bidi="th-TH"/>
        </w:rPr>
      </w:pPr>
      <w:r w:rsidRPr="00267F53">
        <w:rPr>
          <w:lang w:bidi="th-TH"/>
        </w:rPr>
        <w:t>i</w:t>
      </w:r>
      <w:r w:rsidR="00D04D43" w:rsidRPr="00267F53">
        <w:rPr>
          <w:lang w:bidi="th-TH"/>
        </w:rPr>
        <w:t>nconsistenc</w:t>
      </w:r>
      <w:r w:rsidR="00AD012A" w:rsidRPr="00267F53">
        <w:rPr>
          <w:lang w:bidi="th-TH"/>
        </w:rPr>
        <w:t>ies</w:t>
      </w:r>
      <w:r w:rsidR="00D04D43" w:rsidRPr="00267F53">
        <w:rPr>
          <w:lang w:bidi="th-TH"/>
        </w:rPr>
        <w:t xml:space="preserve"> relati</w:t>
      </w:r>
      <w:r w:rsidR="00AD012A" w:rsidRPr="00267F53">
        <w:rPr>
          <w:lang w:bidi="th-TH"/>
        </w:rPr>
        <w:t>ng</w:t>
      </w:r>
      <w:r w:rsidR="00D04D43" w:rsidRPr="00267F53">
        <w:rPr>
          <w:lang w:bidi="th-TH"/>
        </w:rPr>
        <w:t xml:space="preserve"> to labellin</w:t>
      </w:r>
      <w:r w:rsidRPr="00267F53">
        <w:rPr>
          <w:lang w:bidi="th-TH"/>
        </w:rPr>
        <w:t>g</w:t>
      </w:r>
      <w:r w:rsidR="00730E34" w:rsidRPr="00267F53">
        <w:rPr>
          <w:lang w:bidi="th-TH"/>
        </w:rPr>
        <w:t xml:space="preserve"> and claims</w:t>
      </w:r>
    </w:p>
    <w:p w14:paraId="6403DD67" w14:textId="77777777" w:rsidR="00EA2E39" w:rsidRPr="00267F53" w:rsidRDefault="00B21C93" w:rsidP="00B21C93">
      <w:pPr>
        <w:pStyle w:val="Bullet1"/>
      </w:pPr>
      <w:r w:rsidRPr="00267F53">
        <w:t>inconsisten</w:t>
      </w:r>
      <w:r w:rsidR="00EF6FA2" w:rsidRPr="00267F53">
        <w:t>t interpretations of standards</w:t>
      </w:r>
      <w:r w:rsidR="00EA2E39" w:rsidRPr="00267F53">
        <w:t xml:space="preserve"> </w:t>
      </w:r>
    </w:p>
    <w:p w14:paraId="03519EC6" w14:textId="77777777" w:rsidR="00EF6FA2" w:rsidRPr="00267F53" w:rsidRDefault="00EF6FA2" w:rsidP="00B21C93">
      <w:pPr>
        <w:pStyle w:val="Bullet1"/>
      </w:pPr>
      <w:r w:rsidRPr="00267F53">
        <w:t>inconsistencies with international approaches</w:t>
      </w:r>
    </w:p>
    <w:p w14:paraId="6D44CA0C" w14:textId="77777777" w:rsidR="00B21C93" w:rsidRPr="00267F53" w:rsidRDefault="00B21C93" w:rsidP="00B21C93">
      <w:pPr>
        <w:pStyle w:val="Bullet1"/>
      </w:pPr>
      <w:r w:rsidRPr="00267F53">
        <w:t xml:space="preserve">inconsistent approaches to the regulation of </w:t>
      </w:r>
      <w:r w:rsidR="00930EBB" w:rsidRPr="00267F53">
        <w:t xml:space="preserve">food premises across Australian jurisdictions </w:t>
      </w:r>
    </w:p>
    <w:p w14:paraId="03083071" w14:textId="77777777" w:rsidR="00930EBB" w:rsidRPr="00267F53" w:rsidRDefault="00930EBB" w:rsidP="00930EBB">
      <w:pPr>
        <w:pStyle w:val="Bullet1"/>
      </w:pPr>
      <w:r w:rsidRPr="00267F53">
        <w:t>inconsistencies arising from the interfaces between different regulators</w:t>
      </w:r>
      <w:r w:rsidR="00F61B55" w:rsidRPr="00267F53">
        <w:t xml:space="preserve"> within Australia</w:t>
      </w:r>
    </w:p>
    <w:p w14:paraId="6C370FD4" w14:textId="77777777" w:rsidR="00930EBB" w:rsidRPr="00267F53" w:rsidRDefault="00930EBB" w:rsidP="00E974D6">
      <w:pPr>
        <w:pStyle w:val="Bullet1"/>
        <w:numPr>
          <w:ilvl w:val="0"/>
          <w:numId w:val="0"/>
        </w:numPr>
        <w:ind w:left="360" w:hanging="360"/>
      </w:pPr>
    </w:p>
    <w:p w14:paraId="17671B60" w14:textId="77777777" w:rsidR="00B21C93" w:rsidRPr="00267F53" w:rsidRDefault="00B21C93" w:rsidP="00D04D43">
      <w:pPr>
        <w:pStyle w:val="Bullet1"/>
        <w:numPr>
          <w:ilvl w:val="0"/>
          <w:numId w:val="0"/>
        </w:numPr>
        <w:ind w:left="360" w:hanging="360"/>
      </w:pPr>
      <w:r w:rsidRPr="00267F53">
        <w:t>This Chapter summarises stakeholder feedback in each of these areas.</w:t>
      </w:r>
    </w:p>
    <w:p w14:paraId="6991F6E2" w14:textId="77777777" w:rsidR="00B21C93" w:rsidRPr="00267F53" w:rsidRDefault="00B21C93" w:rsidP="00D04D43">
      <w:pPr>
        <w:pStyle w:val="Bullet1"/>
        <w:numPr>
          <w:ilvl w:val="0"/>
          <w:numId w:val="0"/>
        </w:numPr>
        <w:ind w:left="360" w:hanging="360"/>
      </w:pPr>
    </w:p>
    <w:p w14:paraId="1FB9211B" w14:textId="77777777" w:rsidR="00AA21BC" w:rsidRPr="00267F53" w:rsidRDefault="00AD012A" w:rsidP="00171075">
      <w:pPr>
        <w:pStyle w:val="Heading2"/>
        <w:shd w:val="clear" w:color="auto" w:fill="368A72"/>
        <w:rPr>
          <w:lang w:bidi="th-TH"/>
        </w:rPr>
      </w:pPr>
      <w:bookmarkStart w:id="33" w:name="_Toc65059139"/>
      <w:r w:rsidRPr="00267F53">
        <w:rPr>
          <w:lang w:bidi="th-TH"/>
        </w:rPr>
        <w:t>Inconsistencies arising from the food regulatory system structure</w:t>
      </w:r>
      <w:bookmarkEnd w:id="33"/>
      <w:r w:rsidR="00AA21BC" w:rsidRPr="00267F53">
        <w:rPr>
          <w:lang w:bidi="th-TH"/>
        </w:rPr>
        <w:t xml:space="preserve"> </w:t>
      </w:r>
    </w:p>
    <w:p w14:paraId="1C37DCF5" w14:textId="77777777" w:rsidR="00AA21BC" w:rsidRPr="00267F53" w:rsidRDefault="00AA21BC" w:rsidP="00AA21BC">
      <w:pPr>
        <w:pStyle w:val="Bullet1"/>
        <w:numPr>
          <w:ilvl w:val="0"/>
          <w:numId w:val="0"/>
        </w:numPr>
      </w:pPr>
    </w:p>
    <w:p w14:paraId="262455CF" w14:textId="77777777" w:rsidR="00AA21BC" w:rsidRPr="00267F53" w:rsidRDefault="00B26797" w:rsidP="00AA21BC">
      <w:pPr>
        <w:rPr>
          <w:lang w:eastAsia="en-US"/>
        </w:rPr>
      </w:pPr>
      <w:r w:rsidRPr="00267F53">
        <w:rPr>
          <w:lang w:eastAsia="en-US"/>
        </w:rPr>
        <w:t xml:space="preserve">While stakeholders were invited to provide </w:t>
      </w:r>
      <w:r w:rsidRPr="00267F53">
        <w:t>advice on areas of inconsistency in food regulation and the impacts of this on businesses and regulatory outcomes, a number of stakeholders commented more broadly on some of the systemic or structural issues that they consider give rise to inconsistency, or more broad</w:t>
      </w:r>
      <w:r w:rsidR="00AD012A" w:rsidRPr="00267F53">
        <w:t>ly</w:t>
      </w:r>
      <w:r w:rsidRPr="00267F53">
        <w:t xml:space="preserve">, create </w:t>
      </w:r>
      <w:r w:rsidRPr="00267F53">
        <w:rPr>
          <w:lang w:eastAsia="en-US"/>
        </w:rPr>
        <w:t>complexity and unnecessary regulatory burden.</w:t>
      </w:r>
    </w:p>
    <w:p w14:paraId="5AFC9F85" w14:textId="77777777" w:rsidR="00AA21BC" w:rsidRPr="00267F53" w:rsidRDefault="00AA21BC" w:rsidP="00AA21BC">
      <w:pPr>
        <w:rPr>
          <w:rFonts w:cstheme="minorHAnsi"/>
        </w:rPr>
      </w:pPr>
    </w:p>
    <w:p w14:paraId="2880896F" w14:textId="77777777" w:rsidR="00AA21BC" w:rsidRPr="00267F53" w:rsidRDefault="00AA21BC" w:rsidP="00AA21BC">
      <w:pPr>
        <w:pBdr>
          <w:top w:val="single" w:sz="4" w:space="1" w:color="auto"/>
          <w:left w:val="single" w:sz="4" w:space="4" w:color="auto"/>
          <w:bottom w:val="single" w:sz="4" w:space="0" w:color="auto"/>
          <w:right w:val="single" w:sz="4" w:space="4" w:color="auto"/>
        </w:pBdr>
        <w:rPr>
          <w:rFonts w:cstheme="minorHAnsi"/>
          <w:b/>
          <w:bCs/>
        </w:rPr>
      </w:pPr>
      <w:r w:rsidRPr="00267F53">
        <w:rPr>
          <w:rFonts w:cstheme="minorHAnsi"/>
          <w:b/>
          <w:bCs/>
        </w:rPr>
        <w:t>Navigating the regulatory framework</w:t>
      </w:r>
    </w:p>
    <w:p w14:paraId="6625322D" w14:textId="77777777" w:rsidR="00AA21BC" w:rsidRPr="00267F53" w:rsidRDefault="00AA21BC" w:rsidP="00AA21BC">
      <w:pPr>
        <w:rPr>
          <w:rFonts w:cstheme="minorHAnsi"/>
        </w:rPr>
      </w:pPr>
    </w:p>
    <w:p w14:paraId="3C02D3CC" w14:textId="77777777" w:rsidR="00AA21BC" w:rsidRPr="00267F53" w:rsidRDefault="00D82D52" w:rsidP="00AA21BC">
      <w:pPr>
        <w:rPr>
          <w:rFonts w:cstheme="minorHAnsi"/>
        </w:rPr>
      </w:pPr>
      <w:r w:rsidRPr="00267F53">
        <w:rPr>
          <w:rFonts w:cstheme="minorHAnsi"/>
        </w:rPr>
        <w:t>Industry s</w:t>
      </w:r>
      <w:r w:rsidR="00AA21BC" w:rsidRPr="00267F53">
        <w:rPr>
          <w:rFonts w:cstheme="minorHAnsi"/>
        </w:rPr>
        <w:t>takeholders highlighted that food regulation is complex, making it difficult for owners of food businesses to understand their obligations. For example</w:t>
      </w:r>
      <w:r w:rsidR="00A61EBB" w:rsidRPr="00267F53">
        <w:rPr>
          <w:rFonts w:cstheme="minorHAnsi"/>
        </w:rPr>
        <w:t>, stakeholders suggested that</w:t>
      </w:r>
      <w:r w:rsidR="00AA21BC" w:rsidRPr="00267F53">
        <w:rPr>
          <w:rFonts w:cstheme="minorHAnsi"/>
        </w:rPr>
        <w:t>:</w:t>
      </w:r>
    </w:p>
    <w:p w14:paraId="5383FEB8" w14:textId="77777777" w:rsidR="00AA21BC" w:rsidRPr="00267F53" w:rsidRDefault="00AA21BC" w:rsidP="00AA21BC">
      <w:pPr>
        <w:pStyle w:val="TableofAuthorities"/>
      </w:pPr>
    </w:p>
    <w:p w14:paraId="09CFA8DF" w14:textId="77777777" w:rsidR="00AA21BC" w:rsidRPr="00267F53" w:rsidRDefault="00A61EBB" w:rsidP="00AA21BC">
      <w:pPr>
        <w:pStyle w:val="Bullet1"/>
      </w:pPr>
      <w:r w:rsidRPr="00267F53">
        <w:t>r</w:t>
      </w:r>
      <w:r w:rsidR="00AA21BC" w:rsidRPr="00267F53">
        <w:t xml:space="preserve">equirements relating to one food industry may be spread out over hundreds of pages of legislation and described across multiple pieces of legislation (including both national and state level food and primary industry legislation). </w:t>
      </w:r>
    </w:p>
    <w:p w14:paraId="7E8E262F" w14:textId="77777777" w:rsidR="00AA21BC" w:rsidRPr="00267F53" w:rsidRDefault="00A61EBB" w:rsidP="00AA21BC">
      <w:pPr>
        <w:pStyle w:val="Bullet1"/>
      </w:pPr>
      <w:r w:rsidRPr="00267F53">
        <w:t>t</w:t>
      </w:r>
      <w:r w:rsidR="00AA21BC" w:rsidRPr="00267F53">
        <w:t xml:space="preserve">he structure of the Code itself </w:t>
      </w:r>
      <w:r w:rsidR="00AA21BC" w:rsidRPr="00267F53">
        <w:rPr>
          <w:rFonts w:asciiTheme="minorHAnsi" w:hAnsiTheme="minorHAnsi" w:cstheme="minorHAnsi"/>
        </w:rPr>
        <w:t>makes it difficult to find information, which can lead to inconsistencies in interpretation. Stakeholders noted that, in addition, there is no searchability function in the Code to assist with finding information</w:t>
      </w:r>
    </w:p>
    <w:p w14:paraId="2E5BDB9A" w14:textId="77777777" w:rsidR="00AA21BC" w:rsidRPr="00267F53" w:rsidRDefault="00A61EBB" w:rsidP="00AA21BC">
      <w:pPr>
        <w:pStyle w:val="Bullet1"/>
      </w:pPr>
      <w:r w:rsidRPr="00267F53">
        <w:t>i</w:t>
      </w:r>
      <w:r w:rsidR="00AA21BC" w:rsidRPr="00267F53">
        <w:t>t can be difficult for businesses to interpret complex technical requirements and there is limited guidance available on how technical requirements should be applied in different industries</w:t>
      </w:r>
    </w:p>
    <w:p w14:paraId="1504669C" w14:textId="77777777" w:rsidR="00AA21BC" w:rsidRPr="00267F53" w:rsidRDefault="00A61EBB" w:rsidP="00AA21BC">
      <w:pPr>
        <w:pStyle w:val="Bullet1"/>
      </w:pPr>
      <w:r w:rsidRPr="00267F53">
        <w:t>t</w:t>
      </w:r>
      <w:r w:rsidR="00AA21BC" w:rsidRPr="00267F53">
        <w:t>here are many government agencies involved in the regulation of food. Owners of food businesses often don’t know who to approach for advice or which agency is ‘the source of truth’.</w:t>
      </w:r>
      <w:r w:rsidRPr="00267F53">
        <w:t xml:space="preserve"> </w:t>
      </w:r>
      <w:r w:rsidR="00AA21BC" w:rsidRPr="00267F53">
        <w:t xml:space="preserve">Inconsistencies in how legislation is interpreted and applied across </w:t>
      </w:r>
      <w:r w:rsidR="0057231F" w:rsidRPr="00267F53">
        <w:t xml:space="preserve">Australian </w:t>
      </w:r>
      <w:r w:rsidR="00AA21BC" w:rsidRPr="00267F53">
        <w:t xml:space="preserve">jurisdictions further </w:t>
      </w:r>
      <w:r w:rsidR="00AA21BC" w:rsidRPr="00267F53">
        <w:rPr>
          <w:rFonts w:cstheme="minorHAnsi"/>
        </w:rPr>
        <w:t>exacerbates</w:t>
      </w:r>
      <w:r w:rsidR="00AA21BC" w:rsidRPr="00267F53">
        <w:t xml:space="preserve"> th</w:t>
      </w:r>
      <w:r w:rsidR="00AD012A" w:rsidRPr="00267F53">
        <w:t>is</w:t>
      </w:r>
      <w:r w:rsidR="00AA21BC" w:rsidRPr="00267F53">
        <w:t xml:space="preserve"> complexity</w:t>
      </w:r>
      <w:r w:rsidRPr="00267F53">
        <w:t xml:space="preserve"> (discussed below)</w:t>
      </w:r>
      <w:r w:rsidR="00AA21BC" w:rsidRPr="00267F53">
        <w:t xml:space="preserve">. </w:t>
      </w:r>
    </w:p>
    <w:p w14:paraId="64E122F8" w14:textId="77777777" w:rsidR="00AA21BC" w:rsidRPr="00267F53" w:rsidRDefault="00AA21BC" w:rsidP="00AA21BC">
      <w:pPr>
        <w:pStyle w:val="TableofAuthorities"/>
      </w:pPr>
    </w:p>
    <w:p w14:paraId="2C077C0E" w14:textId="77777777" w:rsidR="00AA21BC" w:rsidRPr="00267F53" w:rsidRDefault="00AA21BC" w:rsidP="00AA21BC">
      <w:pPr>
        <w:pBdr>
          <w:top w:val="single" w:sz="4" w:space="1" w:color="auto"/>
          <w:left w:val="single" w:sz="4" w:space="4" w:color="auto"/>
          <w:bottom w:val="single" w:sz="4" w:space="0" w:color="auto"/>
          <w:right w:val="single" w:sz="4" w:space="4" w:color="auto"/>
        </w:pBdr>
        <w:rPr>
          <w:rFonts w:cstheme="minorHAnsi"/>
          <w:b/>
          <w:bCs/>
        </w:rPr>
      </w:pPr>
      <w:r w:rsidRPr="00267F53">
        <w:rPr>
          <w:rFonts w:cstheme="minorHAnsi"/>
          <w:b/>
          <w:bCs/>
        </w:rPr>
        <w:t>Governance of the food regulation system</w:t>
      </w:r>
    </w:p>
    <w:p w14:paraId="362EF782" w14:textId="77777777" w:rsidR="00AA21BC" w:rsidRPr="00267F53" w:rsidRDefault="00AA21BC" w:rsidP="00AA21BC">
      <w:pPr>
        <w:pStyle w:val="Default"/>
        <w:rPr>
          <w:lang w:val="en-AU"/>
        </w:rPr>
      </w:pPr>
    </w:p>
    <w:p w14:paraId="42DA0893" w14:textId="77777777" w:rsidR="00AA21BC" w:rsidRPr="00267F53" w:rsidRDefault="00AA21BC" w:rsidP="00AA21BC">
      <w:pPr>
        <w:pStyle w:val="Default"/>
        <w:rPr>
          <w:lang w:val="en-AU"/>
        </w:rPr>
      </w:pPr>
      <w:r w:rsidRPr="00267F53">
        <w:rPr>
          <w:lang w:val="en-AU"/>
        </w:rPr>
        <w:t>A number of stakeholders emphasised that inconsistencies tend to arise from the complex and (sometimes) unclear roles and responsibilities of different actors within the system.</w:t>
      </w:r>
    </w:p>
    <w:p w14:paraId="4187BAC8" w14:textId="77777777" w:rsidR="00AA21BC" w:rsidRPr="00267F53" w:rsidRDefault="00AA21BC" w:rsidP="00AA21BC">
      <w:pPr>
        <w:pStyle w:val="Default"/>
        <w:rPr>
          <w:lang w:val="en-AU"/>
        </w:rPr>
      </w:pPr>
    </w:p>
    <w:p w14:paraId="0F155A29" w14:textId="77777777" w:rsidR="00AA21BC" w:rsidRPr="00267F53" w:rsidRDefault="00AA21BC" w:rsidP="00AA21BC">
      <w:pPr>
        <w:pStyle w:val="Default"/>
        <w:rPr>
          <w:lang w:val="en-AU"/>
        </w:rPr>
      </w:pPr>
      <w:r w:rsidRPr="00267F53">
        <w:rPr>
          <w:lang w:val="en-AU"/>
        </w:rPr>
        <w:t>Stakeholders variously reported:</w:t>
      </w:r>
    </w:p>
    <w:p w14:paraId="41307FA8" w14:textId="77777777" w:rsidR="00AA21BC" w:rsidRPr="00267F53" w:rsidRDefault="00AA21BC" w:rsidP="00AA21BC">
      <w:pPr>
        <w:pStyle w:val="Default"/>
        <w:rPr>
          <w:lang w:val="en-AU"/>
        </w:rPr>
      </w:pPr>
    </w:p>
    <w:p w14:paraId="7C9E22AC" w14:textId="77777777" w:rsidR="00AA21BC" w:rsidRPr="00267F53" w:rsidRDefault="00AA21BC" w:rsidP="00AA21BC">
      <w:pPr>
        <w:pStyle w:val="mpcbullets1"/>
      </w:pPr>
      <w:r w:rsidRPr="00267F53">
        <w:t xml:space="preserve">The role of FSANZ in exploring changes to the Code is often </w:t>
      </w:r>
      <w:r w:rsidR="00173AC6" w:rsidRPr="00267F53">
        <w:t xml:space="preserve">duplicated </w:t>
      </w:r>
      <w:r w:rsidRPr="00267F53">
        <w:t xml:space="preserve">by the FRSC and/or the Forum. Stakeholders felt that the assessment of applications and proposals is </w:t>
      </w:r>
      <w:r w:rsidR="00A61EBB" w:rsidRPr="00267F53">
        <w:t>‘</w:t>
      </w:r>
      <w:r w:rsidRPr="00267F53">
        <w:t>double</w:t>
      </w:r>
      <w:r w:rsidRPr="00267F53">
        <w:noBreakHyphen/>
        <w:t>handled</w:t>
      </w:r>
      <w:r w:rsidR="00A61EBB" w:rsidRPr="00267F53">
        <w:t>’</w:t>
      </w:r>
      <w:r w:rsidRPr="00267F53">
        <w:t xml:space="preserve"> by the FRSC/Forum and that the consultation process is often ‘messy’ due to the involvement of these bodies. </w:t>
      </w:r>
      <w:r w:rsidR="00EC1446" w:rsidRPr="00267F53">
        <w:t>Some s</w:t>
      </w:r>
      <w:r w:rsidRPr="00267F53">
        <w:t xml:space="preserve">takeholders highlighted that this makes it challenging for industry (and public health and consumer bodies) to meaningfully feed into the development of regulation or changes to regulation. </w:t>
      </w:r>
    </w:p>
    <w:p w14:paraId="59A52E19" w14:textId="77777777" w:rsidR="00AA21BC" w:rsidRPr="00267F53" w:rsidRDefault="00AA21BC" w:rsidP="00AA21BC">
      <w:pPr>
        <w:pStyle w:val="mpcbullets1"/>
      </w:pPr>
      <w:r w:rsidRPr="00267F53">
        <w:t>While the role of the Implementation Subcommittee for Food Regulation (ISFR) is to ensure food standards are implemented and enforced consistently, this body does not have the authority to effect changes to policy to promote consistency</w:t>
      </w:r>
      <w:r w:rsidR="001B1A08" w:rsidRPr="00267F53">
        <w:t xml:space="preserve"> (this is the role of the FRSC)</w:t>
      </w:r>
      <w:r w:rsidRPr="00267F53">
        <w:t xml:space="preserve">. </w:t>
      </w:r>
      <w:proofErr w:type="gramStart"/>
      <w:r w:rsidR="00EC1446" w:rsidRPr="00267F53">
        <w:t>Some  s</w:t>
      </w:r>
      <w:r w:rsidRPr="00267F53">
        <w:t>takeholders</w:t>
      </w:r>
      <w:proofErr w:type="gramEnd"/>
      <w:r w:rsidRPr="00267F53">
        <w:t xml:space="preserve"> noted that this lack of clarity regarding the role and scope of responsibility of various governance bodies means that even where issues are identified, it is challenging to implement changes to address these.</w:t>
      </w:r>
    </w:p>
    <w:p w14:paraId="30E65A9C" w14:textId="77777777" w:rsidR="00AA21BC" w:rsidRPr="00267F53" w:rsidRDefault="00AA21BC" w:rsidP="00AA21BC">
      <w:pPr>
        <w:pStyle w:val="mpcbullets1"/>
      </w:pPr>
      <w:r w:rsidRPr="00267F53">
        <w:t xml:space="preserve">The multiple bodies involved in food regulation </w:t>
      </w:r>
      <w:r w:rsidR="00EC1446" w:rsidRPr="00267F53">
        <w:t xml:space="preserve">can </w:t>
      </w:r>
      <w:r w:rsidRPr="00267F53">
        <w:t xml:space="preserve">mean that industry bodies do not know where to source guidance on a particular matter. Some stakeholders considered that FSANZ should </w:t>
      </w:r>
      <w:r w:rsidR="00EC1446" w:rsidRPr="00267F53">
        <w:t>be</w:t>
      </w:r>
      <w:r w:rsidRPr="00267F53">
        <w:t xml:space="preserve"> the “source of truth” regarding the interpretation of certain requirements. Stakeholders suggested that FSANZ could make binding determinations of the Code and provide a central point of contact with which the public could raise issues and enquiries. It was also noted that FSANZ could develop advice and guidance for other enforcement agencies involved in food regulation, including the </w:t>
      </w:r>
      <w:r w:rsidR="0057231F" w:rsidRPr="00267F53">
        <w:t>New Zealand Ministry for Primary Industries (MPI)</w:t>
      </w:r>
      <w:r w:rsidRPr="00267F53">
        <w:t xml:space="preserve">, </w:t>
      </w:r>
      <w:r w:rsidR="0057231F" w:rsidRPr="00267F53">
        <w:t xml:space="preserve">Australian </w:t>
      </w:r>
      <w:r w:rsidRPr="00267F53">
        <w:t>State and Territory Government regulators, the</w:t>
      </w:r>
      <w:r w:rsidR="0057231F" w:rsidRPr="00267F53">
        <w:t xml:space="preserve"> Australian Therapeutic Goods Administration (the</w:t>
      </w:r>
      <w:r w:rsidRPr="00267F53">
        <w:t xml:space="preserve"> TGA</w:t>
      </w:r>
      <w:r w:rsidR="0057231F" w:rsidRPr="00267F53">
        <w:t>)</w:t>
      </w:r>
      <w:r w:rsidRPr="00267F53">
        <w:t xml:space="preserve"> and the </w:t>
      </w:r>
      <w:r w:rsidR="0057231F" w:rsidRPr="00267F53">
        <w:t xml:space="preserve">Australian Competition and Consumer Commission (the </w:t>
      </w:r>
      <w:r w:rsidRPr="00267F53">
        <w:t>ACCC</w:t>
      </w:r>
      <w:r w:rsidR="0057231F" w:rsidRPr="00267F53">
        <w:t>), the New Zealand Medicines and Medical Devices Safety Authority (</w:t>
      </w:r>
      <w:proofErr w:type="spellStart"/>
      <w:r w:rsidR="0057231F" w:rsidRPr="00267F53">
        <w:t>MedSafe</w:t>
      </w:r>
      <w:proofErr w:type="spellEnd"/>
      <w:r w:rsidR="0057231F" w:rsidRPr="00267F53">
        <w:t xml:space="preserve">) and </w:t>
      </w:r>
      <w:r w:rsidR="001E4DD4" w:rsidRPr="00267F53">
        <w:t>the New Zealand Commerce Commission (CC)</w:t>
      </w:r>
      <w:r w:rsidRPr="00267F53">
        <w:t>.</w:t>
      </w:r>
    </w:p>
    <w:p w14:paraId="102EF13C" w14:textId="77777777" w:rsidR="00A61EBB" w:rsidRPr="00267F53" w:rsidRDefault="00A61EBB" w:rsidP="00AA21BC">
      <w:pPr>
        <w:pStyle w:val="mpcbullets1"/>
        <w:numPr>
          <w:ilvl w:val="0"/>
          <w:numId w:val="0"/>
        </w:numPr>
      </w:pPr>
    </w:p>
    <w:p w14:paraId="73E9471C" w14:textId="77777777" w:rsidR="00A61EBB" w:rsidRPr="00267F53" w:rsidRDefault="00A61EBB" w:rsidP="00A61EBB">
      <w:pPr>
        <w:pBdr>
          <w:top w:val="single" w:sz="4" w:space="1" w:color="auto"/>
          <w:left w:val="single" w:sz="4" w:space="4" w:color="auto"/>
          <w:bottom w:val="single" w:sz="4" w:space="1" w:color="auto"/>
          <w:right w:val="single" w:sz="4" w:space="4" w:color="auto"/>
        </w:pBdr>
        <w:autoSpaceDE w:val="0"/>
        <w:autoSpaceDN w:val="0"/>
        <w:adjustRightInd w:val="0"/>
        <w:rPr>
          <w:rFonts w:cstheme="minorHAnsi"/>
          <w:b/>
          <w:bCs/>
          <w:lang w:eastAsia="en-US"/>
        </w:rPr>
      </w:pPr>
      <w:r w:rsidRPr="00267F53">
        <w:rPr>
          <w:rFonts w:cstheme="minorHAnsi"/>
          <w:b/>
          <w:bCs/>
          <w:lang w:eastAsia="en-US"/>
        </w:rPr>
        <w:t xml:space="preserve">Amending </w:t>
      </w:r>
      <w:r w:rsidR="007416E7" w:rsidRPr="00267F53">
        <w:rPr>
          <w:rFonts w:cstheme="minorHAnsi"/>
          <w:b/>
          <w:bCs/>
          <w:lang w:eastAsia="en-US"/>
        </w:rPr>
        <w:t>the Code</w:t>
      </w:r>
    </w:p>
    <w:p w14:paraId="575A05D7" w14:textId="77777777" w:rsidR="00A61EBB" w:rsidRPr="00267F53" w:rsidRDefault="00A61EBB" w:rsidP="00A61EBB">
      <w:pPr>
        <w:autoSpaceDE w:val="0"/>
        <w:autoSpaceDN w:val="0"/>
        <w:adjustRightInd w:val="0"/>
        <w:rPr>
          <w:rFonts w:cstheme="minorHAnsi"/>
          <w:lang w:eastAsia="en-US"/>
        </w:rPr>
      </w:pPr>
    </w:p>
    <w:p w14:paraId="339EEEEF" w14:textId="77777777" w:rsidR="008B63FC" w:rsidRPr="00267F53" w:rsidRDefault="008B63FC" w:rsidP="008B63FC">
      <w:pPr>
        <w:autoSpaceDE w:val="0"/>
        <w:autoSpaceDN w:val="0"/>
        <w:adjustRightInd w:val="0"/>
        <w:rPr>
          <w:rFonts w:cstheme="minorHAnsi"/>
          <w:lang w:eastAsia="en-US"/>
        </w:rPr>
      </w:pPr>
      <w:r w:rsidRPr="00267F53">
        <w:rPr>
          <w:rFonts w:cstheme="minorHAnsi"/>
          <w:lang w:eastAsia="en-US"/>
        </w:rPr>
        <w:t xml:space="preserve">Stakeholders highlighted that the complexity, cost and extended timeframes for making changes to the Code mean that it is challenging to make necessary changes to keep the Code current. As a result, stakeholders highlighted that some regulations in the Code are quickly outdated and there are ‘gaps’ in the regulation of some industries or products. The impact of these gaps is that Australian and New Zealand food businesses are unsure how to ensure certain products are compliant with the Code, leading to inconsistent application of requirements. </w:t>
      </w:r>
    </w:p>
    <w:p w14:paraId="73411AE4" w14:textId="77777777" w:rsidR="008B63FC" w:rsidRPr="00267F53" w:rsidRDefault="008B63FC" w:rsidP="008B63FC">
      <w:pPr>
        <w:autoSpaceDE w:val="0"/>
        <w:autoSpaceDN w:val="0"/>
        <w:adjustRightInd w:val="0"/>
        <w:rPr>
          <w:rFonts w:cstheme="minorHAnsi"/>
          <w:lang w:eastAsia="en-US"/>
        </w:rPr>
      </w:pPr>
    </w:p>
    <w:p w14:paraId="23B19564" w14:textId="77777777" w:rsidR="00A61EBB" w:rsidRPr="00267F53" w:rsidRDefault="00A61EBB" w:rsidP="00A61EBB">
      <w:pPr>
        <w:autoSpaceDE w:val="0"/>
        <w:autoSpaceDN w:val="0"/>
        <w:adjustRightInd w:val="0"/>
        <w:rPr>
          <w:rFonts w:cstheme="minorHAnsi"/>
          <w:lang w:eastAsia="en-US"/>
        </w:rPr>
      </w:pPr>
      <w:r w:rsidRPr="00267F53">
        <w:rPr>
          <w:rFonts w:cstheme="minorHAnsi"/>
          <w:lang w:eastAsia="en-US"/>
        </w:rPr>
        <w:t xml:space="preserve">Some specific areas where stakeholders suggested that the Code has not kept pace with industry and international practice </w:t>
      </w:r>
      <w:r w:rsidR="008B63FC" w:rsidRPr="00267F53">
        <w:rPr>
          <w:rFonts w:cstheme="minorHAnsi"/>
          <w:lang w:eastAsia="en-US"/>
        </w:rPr>
        <w:t xml:space="preserve">are described under </w:t>
      </w:r>
      <w:hyperlink w:anchor="_Inconsistent_interpretation_of" w:history="1">
        <w:r w:rsidR="008B63FC" w:rsidRPr="00267F53">
          <w:rPr>
            <w:rStyle w:val="Hyperlink"/>
            <w:rFonts w:cstheme="minorHAnsi"/>
            <w:lang w:eastAsia="en-US"/>
          </w:rPr>
          <w:t>inconsistent interpretation of standards</w:t>
        </w:r>
      </w:hyperlink>
      <w:r w:rsidR="008B63FC" w:rsidRPr="00267F53">
        <w:rPr>
          <w:rFonts w:cstheme="minorHAnsi"/>
          <w:lang w:eastAsia="en-US"/>
        </w:rPr>
        <w:t>.</w:t>
      </w:r>
    </w:p>
    <w:p w14:paraId="6EBCDAD7" w14:textId="77777777" w:rsidR="00E7382A" w:rsidRPr="00267F53" w:rsidRDefault="00E7382A" w:rsidP="00A61EBB">
      <w:pPr>
        <w:autoSpaceDE w:val="0"/>
        <w:autoSpaceDN w:val="0"/>
        <w:adjustRightInd w:val="0"/>
        <w:rPr>
          <w:rFonts w:cstheme="minorHAnsi"/>
          <w:lang w:eastAsia="en-US"/>
        </w:rPr>
      </w:pPr>
    </w:p>
    <w:p w14:paraId="5E246F2D" w14:textId="77777777" w:rsidR="00A61EBB" w:rsidRPr="00267F53" w:rsidRDefault="00A61EBB" w:rsidP="00A61EBB">
      <w:pPr>
        <w:autoSpaceDE w:val="0"/>
        <w:autoSpaceDN w:val="0"/>
        <w:adjustRightInd w:val="0"/>
        <w:rPr>
          <w:rFonts w:cstheme="minorHAnsi"/>
        </w:rPr>
      </w:pPr>
      <w:r w:rsidRPr="00267F53">
        <w:rPr>
          <w:rFonts w:cstheme="minorHAnsi"/>
          <w:lang w:eastAsia="en-US"/>
        </w:rPr>
        <w:t xml:space="preserve">With regards to applications, </w:t>
      </w:r>
      <w:r w:rsidR="007416E7" w:rsidRPr="00267F53">
        <w:rPr>
          <w:rFonts w:cstheme="minorHAnsi"/>
          <w:lang w:eastAsia="en-US"/>
        </w:rPr>
        <w:t xml:space="preserve">some </w:t>
      </w:r>
      <w:r w:rsidRPr="00267F53">
        <w:rPr>
          <w:rFonts w:cstheme="minorHAnsi"/>
          <w:lang w:eastAsia="en-US"/>
        </w:rPr>
        <w:t>industry stakeholders highlighted that it can be ‘</w:t>
      </w:r>
      <w:r w:rsidRPr="00267F53">
        <w:rPr>
          <w:rFonts w:cstheme="minorHAnsi"/>
        </w:rPr>
        <w:t xml:space="preserve">prohibitively expensive for industry to seek sensible changes to the Code’ and as such, ‘only large companies likely to see a significant commercial benefit in changes can interact in the system’. </w:t>
      </w:r>
    </w:p>
    <w:p w14:paraId="36CA01F7" w14:textId="77777777" w:rsidR="00A61EBB" w:rsidRPr="00267F53" w:rsidRDefault="00A61EBB" w:rsidP="00A61EBB">
      <w:pPr>
        <w:autoSpaceDE w:val="0"/>
        <w:autoSpaceDN w:val="0"/>
        <w:adjustRightInd w:val="0"/>
        <w:rPr>
          <w:rFonts w:cstheme="minorHAnsi"/>
        </w:rPr>
      </w:pPr>
    </w:p>
    <w:p w14:paraId="7EBA3ACA" w14:textId="77777777" w:rsidR="00A61EBB" w:rsidRPr="00267F53" w:rsidRDefault="00A61EBB" w:rsidP="00A61EBB">
      <w:pPr>
        <w:autoSpaceDE w:val="0"/>
        <w:autoSpaceDN w:val="0"/>
        <w:adjustRightInd w:val="0"/>
        <w:rPr>
          <w:rFonts w:cstheme="minorHAnsi"/>
          <w:lang w:eastAsia="en-US"/>
        </w:rPr>
      </w:pPr>
      <w:r w:rsidRPr="00267F53">
        <w:rPr>
          <w:rFonts w:cstheme="minorHAnsi"/>
          <w:lang w:eastAsia="en-US"/>
        </w:rPr>
        <w:t xml:space="preserve">With regards to proposals, whilst the FSANZ Act requires FSANZ to finalise applications within certain timeframes, proposals initiated by FSANZ are not time-limited. This means that proposals </w:t>
      </w:r>
      <w:r w:rsidR="00EC1446" w:rsidRPr="00267F53">
        <w:rPr>
          <w:rFonts w:cstheme="minorHAnsi"/>
          <w:lang w:eastAsia="en-US"/>
        </w:rPr>
        <w:t xml:space="preserve">are not always </w:t>
      </w:r>
      <w:r w:rsidRPr="00267F53">
        <w:rPr>
          <w:rFonts w:cstheme="minorHAnsi"/>
          <w:lang w:eastAsia="en-US"/>
        </w:rPr>
        <w:t xml:space="preserve">prioritised in the FSANZ work plan and can take </w:t>
      </w:r>
      <w:r w:rsidR="00EC1446" w:rsidRPr="00267F53">
        <w:rPr>
          <w:rFonts w:cstheme="minorHAnsi"/>
          <w:lang w:eastAsia="en-US"/>
        </w:rPr>
        <w:t xml:space="preserve">considerable time </w:t>
      </w:r>
      <w:r w:rsidRPr="00267F53">
        <w:rPr>
          <w:rFonts w:cstheme="minorHAnsi"/>
          <w:lang w:eastAsia="en-US"/>
        </w:rPr>
        <w:t>to resolve.</w:t>
      </w:r>
    </w:p>
    <w:p w14:paraId="496E6453" w14:textId="77777777" w:rsidR="00A61EBB" w:rsidRPr="00267F53" w:rsidRDefault="00A61EBB" w:rsidP="00A61EBB">
      <w:pPr>
        <w:autoSpaceDE w:val="0"/>
        <w:autoSpaceDN w:val="0"/>
        <w:adjustRightInd w:val="0"/>
        <w:rPr>
          <w:rFonts w:cstheme="minorHAnsi"/>
          <w:lang w:eastAsia="en-US"/>
        </w:rPr>
      </w:pPr>
    </w:p>
    <w:p w14:paraId="2B0B9141" w14:textId="77777777" w:rsidR="00A61EBB" w:rsidRPr="00267F53" w:rsidRDefault="00730AF9" w:rsidP="00A61EBB">
      <w:pPr>
        <w:autoSpaceDE w:val="0"/>
        <w:autoSpaceDN w:val="0"/>
        <w:adjustRightInd w:val="0"/>
        <w:rPr>
          <w:rFonts w:cstheme="minorHAnsi"/>
          <w:lang w:eastAsia="en-US"/>
        </w:rPr>
      </w:pPr>
      <w:r w:rsidRPr="00267F53">
        <w:rPr>
          <w:rFonts w:cstheme="minorHAnsi"/>
          <w:lang w:eastAsia="en-US"/>
        </w:rPr>
        <w:lastRenderedPageBreak/>
        <w:t>Industry s</w:t>
      </w:r>
      <w:r w:rsidR="00EC1446" w:rsidRPr="00267F53">
        <w:rPr>
          <w:rFonts w:cstheme="minorHAnsi"/>
          <w:lang w:eastAsia="en-US"/>
        </w:rPr>
        <w:t>takeholders identified t</w:t>
      </w:r>
      <w:r w:rsidR="00A61EBB" w:rsidRPr="00267F53">
        <w:rPr>
          <w:rFonts w:cstheme="minorHAnsi"/>
          <w:lang w:eastAsia="en-US"/>
        </w:rPr>
        <w:t xml:space="preserve">wo </w:t>
      </w:r>
      <w:r w:rsidR="00EC1446" w:rsidRPr="00267F53">
        <w:rPr>
          <w:rFonts w:cstheme="minorHAnsi"/>
          <w:lang w:eastAsia="en-US"/>
        </w:rPr>
        <w:t xml:space="preserve">specific </w:t>
      </w:r>
      <w:r w:rsidR="00A61EBB" w:rsidRPr="00267F53">
        <w:rPr>
          <w:rFonts w:cstheme="minorHAnsi"/>
          <w:lang w:eastAsia="en-US"/>
        </w:rPr>
        <w:t>examples of proposals that have been delayed for several years:</w:t>
      </w:r>
    </w:p>
    <w:p w14:paraId="75D040ED" w14:textId="77777777" w:rsidR="00A61EBB" w:rsidRPr="00267F53" w:rsidRDefault="00A61EBB" w:rsidP="00A61EBB">
      <w:pPr>
        <w:pStyle w:val="TableofAuthorities"/>
        <w:rPr>
          <w:lang w:eastAsia="en-US"/>
        </w:rPr>
      </w:pPr>
    </w:p>
    <w:p w14:paraId="5157CDE4" w14:textId="77777777" w:rsidR="00A61EBB" w:rsidRPr="00267F53" w:rsidRDefault="00000000" w:rsidP="00A61EBB">
      <w:pPr>
        <w:pStyle w:val="Bullet1"/>
        <w:rPr>
          <w:rFonts w:cstheme="minorHAnsi"/>
        </w:rPr>
      </w:pPr>
      <w:hyperlink r:id="rId17" w:history="1">
        <w:r w:rsidR="00A61EBB" w:rsidRPr="00267F53">
          <w:rPr>
            <w:rStyle w:val="Hyperlink"/>
            <w:rFonts w:cstheme="minorHAnsi"/>
          </w:rPr>
          <w:t>P1030 Composition and labelling of electrolyte drinks</w:t>
        </w:r>
      </w:hyperlink>
      <w:r w:rsidR="00A61EBB" w:rsidRPr="00267F53">
        <w:rPr>
          <w:rFonts w:cstheme="minorHAnsi"/>
        </w:rPr>
        <w:t>, which commenced in February 2014</w:t>
      </w:r>
    </w:p>
    <w:p w14:paraId="30827F2B" w14:textId="77777777" w:rsidR="00A61EBB" w:rsidRPr="00267F53" w:rsidRDefault="00000000" w:rsidP="00A61EBB">
      <w:pPr>
        <w:pStyle w:val="Bullet1"/>
        <w:rPr>
          <w:rFonts w:cstheme="minorHAnsi"/>
        </w:rPr>
      </w:pPr>
      <w:hyperlink r:id="rId18" w:history="1">
        <w:r w:rsidR="00A61EBB" w:rsidRPr="00267F53">
          <w:rPr>
            <w:rStyle w:val="Hyperlink"/>
            <w:rFonts w:cstheme="minorHAnsi"/>
          </w:rPr>
          <w:t>P1024 Revision of the regulation of nutritive substances and novel foods</w:t>
        </w:r>
      </w:hyperlink>
      <w:r w:rsidR="00A61EBB" w:rsidRPr="00267F53">
        <w:rPr>
          <w:rFonts w:cstheme="minorHAnsi"/>
        </w:rPr>
        <w:t>, which commenced in December 2012.</w:t>
      </w:r>
    </w:p>
    <w:p w14:paraId="19555836" w14:textId="77777777" w:rsidR="00A61EBB" w:rsidRPr="00267F53" w:rsidRDefault="00A61EBB" w:rsidP="00A61EBB">
      <w:pPr>
        <w:pStyle w:val="mpcbullets1"/>
        <w:numPr>
          <w:ilvl w:val="0"/>
          <w:numId w:val="0"/>
        </w:numPr>
        <w:ind w:left="360" w:hanging="360"/>
      </w:pPr>
    </w:p>
    <w:p w14:paraId="7A25BCF2" w14:textId="77777777" w:rsidR="00A61EBB" w:rsidRPr="00267F53" w:rsidRDefault="00EC1446" w:rsidP="00A61EBB">
      <w:pPr>
        <w:autoSpaceDE w:val="0"/>
        <w:autoSpaceDN w:val="0"/>
        <w:adjustRightInd w:val="0"/>
        <w:rPr>
          <w:rFonts w:cstheme="minorHAnsi"/>
          <w:lang w:eastAsia="en-US"/>
        </w:rPr>
      </w:pPr>
      <w:r w:rsidRPr="00267F53">
        <w:rPr>
          <w:rFonts w:cstheme="minorHAnsi"/>
          <w:lang w:eastAsia="en-US"/>
        </w:rPr>
        <w:t xml:space="preserve">A number of </w:t>
      </w:r>
      <w:r w:rsidR="000332EA" w:rsidRPr="00267F53">
        <w:rPr>
          <w:rFonts w:cstheme="minorHAnsi"/>
          <w:lang w:eastAsia="en-US"/>
        </w:rPr>
        <w:t xml:space="preserve">industry </w:t>
      </w:r>
      <w:r w:rsidRPr="00267F53">
        <w:rPr>
          <w:rFonts w:cstheme="minorHAnsi"/>
          <w:lang w:eastAsia="en-US"/>
        </w:rPr>
        <w:t>s</w:t>
      </w:r>
      <w:r w:rsidR="00A61EBB" w:rsidRPr="00267F53">
        <w:rPr>
          <w:rFonts w:cstheme="minorHAnsi"/>
          <w:lang w:eastAsia="en-US"/>
        </w:rPr>
        <w:t xml:space="preserve">takeholders raised </w:t>
      </w:r>
      <w:r w:rsidR="00173AC6" w:rsidRPr="00267F53">
        <w:rPr>
          <w:rFonts w:cstheme="minorHAnsi"/>
          <w:lang w:eastAsia="en-US"/>
        </w:rPr>
        <w:t>the ongoing delay and d</w:t>
      </w:r>
      <w:r w:rsidR="00A61EBB" w:rsidRPr="00267F53">
        <w:rPr>
          <w:rFonts w:cstheme="minorHAnsi"/>
          <w:lang w:eastAsia="en-US"/>
        </w:rPr>
        <w:t>e</w:t>
      </w:r>
      <w:r w:rsidR="001E4DD4" w:rsidRPr="00267F53">
        <w:rPr>
          <w:rFonts w:cstheme="minorHAnsi"/>
          <w:lang w:eastAsia="en-US"/>
        </w:rPr>
        <w:t>-</w:t>
      </w:r>
      <w:r w:rsidR="00A61EBB" w:rsidRPr="00267F53">
        <w:rPr>
          <w:rFonts w:cstheme="minorHAnsi"/>
          <w:lang w:eastAsia="en-US"/>
        </w:rPr>
        <w:t>prioritis</w:t>
      </w:r>
      <w:r w:rsidR="00173AC6" w:rsidRPr="00267F53">
        <w:rPr>
          <w:rFonts w:cstheme="minorHAnsi"/>
          <w:lang w:eastAsia="en-US"/>
        </w:rPr>
        <w:t>ation of</w:t>
      </w:r>
      <w:r w:rsidR="00A61EBB" w:rsidRPr="00267F53">
        <w:rPr>
          <w:rFonts w:cstheme="minorHAnsi"/>
          <w:lang w:eastAsia="en-US"/>
        </w:rPr>
        <w:t xml:space="preserve"> proposals create ongoing uncertainty for </w:t>
      </w:r>
      <w:r w:rsidR="000332EA" w:rsidRPr="00267F53">
        <w:rPr>
          <w:rFonts w:cstheme="minorHAnsi"/>
          <w:lang w:eastAsia="en-US"/>
        </w:rPr>
        <w:t>food businesses</w:t>
      </w:r>
      <w:r w:rsidR="00A61EBB" w:rsidRPr="00267F53">
        <w:rPr>
          <w:rFonts w:cstheme="minorHAnsi"/>
          <w:lang w:eastAsia="en-US"/>
        </w:rPr>
        <w:t xml:space="preserve">. Where adjustments to clarify the intent of certain standards are delayed, this results in ongoing ambiguity and inconsistency in the interpretation and implementation of standards and creates potential non-compliance by industry. </w:t>
      </w:r>
      <w:r w:rsidR="008B63FC" w:rsidRPr="00267F53">
        <w:rPr>
          <w:rFonts w:cstheme="minorHAnsi"/>
          <w:lang w:eastAsia="en-US"/>
        </w:rPr>
        <w:t>Public health and consumer advocacy bodies</w:t>
      </w:r>
      <w:r w:rsidR="00A61EBB" w:rsidRPr="00267F53">
        <w:rPr>
          <w:rFonts w:cstheme="minorHAnsi"/>
          <w:lang w:eastAsia="en-US"/>
        </w:rPr>
        <w:t xml:space="preserve"> also highlighted that the prioritisation of applications over proposals has the potential to put industry interests above public health and consumer interests.</w:t>
      </w:r>
    </w:p>
    <w:p w14:paraId="14CE8C00" w14:textId="77777777" w:rsidR="00EF6FA2" w:rsidRPr="00267F53" w:rsidRDefault="00EF6FA2" w:rsidP="00A61EBB">
      <w:pPr>
        <w:autoSpaceDE w:val="0"/>
        <w:autoSpaceDN w:val="0"/>
        <w:adjustRightInd w:val="0"/>
        <w:rPr>
          <w:rFonts w:cstheme="minorHAnsi"/>
          <w:lang w:eastAsia="en-US"/>
        </w:rPr>
      </w:pPr>
    </w:p>
    <w:tbl>
      <w:tblPr>
        <w:tblStyle w:val="TableGrid"/>
        <w:tblW w:w="0" w:type="auto"/>
        <w:jc w:val="center"/>
        <w:tblLook w:val="04A0" w:firstRow="1" w:lastRow="0" w:firstColumn="1" w:lastColumn="0" w:noHBand="0" w:noVBand="1"/>
      </w:tblPr>
      <w:tblGrid>
        <w:gridCol w:w="9736"/>
      </w:tblGrid>
      <w:tr w:rsidR="00EF6FA2" w:rsidRPr="00267F53" w14:paraId="17AB1A72" w14:textId="77777777" w:rsidTr="00EF6FA2">
        <w:trPr>
          <w:trHeight w:val="2665"/>
          <w:jc w:val="center"/>
        </w:trPr>
        <w:tc>
          <w:tcPr>
            <w:tcW w:w="9736" w:type="dxa"/>
            <w:shd w:val="clear" w:color="auto" w:fill="DEEAF6" w:themeFill="accent1" w:themeFillTint="33"/>
            <w:vAlign w:val="center"/>
          </w:tcPr>
          <w:p w14:paraId="52DD87AF" w14:textId="77777777" w:rsidR="00EF6FA2" w:rsidRPr="00267F53" w:rsidRDefault="00EF6FA2" w:rsidP="00EF6FA2">
            <w:pPr>
              <w:autoSpaceDE w:val="0"/>
              <w:autoSpaceDN w:val="0"/>
              <w:adjustRightInd w:val="0"/>
              <w:jc w:val="center"/>
              <w:rPr>
                <w:rFonts w:ascii="Calibri" w:hAnsi="Calibri" w:cs="Calibri"/>
                <w:i/>
                <w:iCs/>
                <w:sz w:val="24"/>
                <w:szCs w:val="24"/>
                <w:lang w:eastAsia="en-US"/>
              </w:rPr>
            </w:pPr>
            <w:r w:rsidRPr="00267F53">
              <w:rPr>
                <w:rFonts w:ascii="Calibri" w:eastAsiaTheme="minorHAnsi" w:hAnsi="Calibri" w:cs="Calibri"/>
                <w:i/>
                <w:iCs/>
                <w:sz w:val="24"/>
                <w:szCs w:val="24"/>
                <w:lang w:eastAsia="en-US"/>
              </w:rPr>
              <w:t>Due to the burden of regulation within the Australian-New Zealand market it is often considered slow compared to other markets. This not only creates unnecessary cost, but also does not consider the realities of carrying out business in this market this includes interactions with retailers. There are only limited times during the year that retailers can consider ranging new products. If food businesses are not able to make these times, then they will not be able to sell their products in retailers’ stores for some time. Any first mover advantage that could be gained is often lost in complying with regulatory requirements, which impacts the value that innovation could bring and dampens any desire to be the first to market with innovation.</w:t>
            </w:r>
          </w:p>
        </w:tc>
      </w:tr>
    </w:tbl>
    <w:p w14:paraId="1A224109" w14:textId="77777777" w:rsidR="00A61EBB" w:rsidRPr="00267F53" w:rsidRDefault="00A61EBB" w:rsidP="00A61EBB">
      <w:pPr>
        <w:rPr>
          <w:lang w:eastAsia="en-US"/>
        </w:rPr>
      </w:pPr>
    </w:p>
    <w:p w14:paraId="2F25C3E6" w14:textId="77777777" w:rsidR="00A61EBB" w:rsidRPr="00267F53" w:rsidRDefault="00A61EBB" w:rsidP="00A61EBB">
      <w:pPr>
        <w:rPr>
          <w:b/>
          <w:bCs/>
        </w:rPr>
      </w:pPr>
      <w:r w:rsidRPr="00267F53">
        <w:rPr>
          <w:b/>
          <w:bCs/>
        </w:rPr>
        <w:t>Consequential amendments to the Code</w:t>
      </w:r>
    </w:p>
    <w:p w14:paraId="56D908EC" w14:textId="77777777" w:rsidR="00A61EBB" w:rsidRPr="00267F53" w:rsidRDefault="00A61EBB" w:rsidP="00A61EBB"/>
    <w:p w14:paraId="5F3832AE" w14:textId="77777777" w:rsidR="00A61EBB" w:rsidRPr="00267F53" w:rsidRDefault="00A61EBB" w:rsidP="00A61EBB">
      <w:r w:rsidRPr="00267F53">
        <w:t xml:space="preserve">Some stakeholders also raised that there are some low risk areas of the Code that cross-reference international standards or the requirements of other countries/international bodies (e.g., with regards to food additives, methods of analysis, etc). There are also domestic matters such as changes to nutrient reference values (NRVs) that need to be kept up to date. </w:t>
      </w:r>
    </w:p>
    <w:p w14:paraId="09FD1B1A" w14:textId="77777777" w:rsidR="00A61EBB" w:rsidRPr="00267F53" w:rsidRDefault="00A61EBB" w:rsidP="00A61EBB"/>
    <w:p w14:paraId="4E055869" w14:textId="77777777" w:rsidR="00A61EBB" w:rsidRPr="00267F53" w:rsidRDefault="00A835E0" w:rsidP="00A61EBB">
      <w:r w:rsidRPr="00267F53">
        <w:t xml:space="preserve">For example, </w:t>
      </w:r>
      <w:r w:rsidR="00D82D52" w:rsidRPr="00267F53">
        <w:t>some public health bodies</w:t>
      </w:r>
      <w:r w:rsidRPr="00267F53">
        <w:t xml:space="preserve"> noted that t</w:t>
      </w:r>
      <w:r w:rsidR="00A61EBB" w:rsidRPr="00267F53">
        <w:t xml:space="preserve">he NRVs used in the Code date from 2006. The National Health and Medical Research Council, (which sets NRVs based on currently available scientific knowledge) has updated a number of these since this date (e.g., fluoride in 2016 and sodium in 2017). </w:t>
      </w:r>
      <w:r w:rsidRPr="00267F53">
        <w:t>It was suggested that t</w:t>
      </w:r>
      <w:r w:rsidR="00A61EBB" w:rsidRPr="00267F53">
        <w:t>his results in inconsistency between the NRVs referenced in the Code and those used elsewhere to inform public health policy. Stakeholders suggested it would be logical for the Code to be updated automatically in such circumstances, rather than requiring a proposal to be prepared by FSANZ and approved by the Forum.</w:t>
      </w:r>
    </w:p>
    <w:p w14:paraId="3E1D952D" w14:textId="77777777" w:rsidR="00A61EBB" w:rsidRPr="00267F53" w:rsidRDefault="00A61EBB" w:rsidP="00A61EBB"/>
    <w:p w14:paraId="0FF0C1CF" w14:textId="77777777" w:rsidR="00A61EBB" w:rsidRPr="00267F53" w:rsidRDefault="00A835E0" w:rsidP="00A61EBB">
      <w:pPr>
        <w:pStyle w:val="mpcbullets1"/>
        <w:numPr>
          <w:ilvl w:val="0"/>
          <w:numId w:val="0"/>
        </w:numPr>
      </w:pPr>
      <w:r w:rsidRPr="00267F53">
        <w:t>It was suggested that t</w:t>
      </w:r>
      <w:r w:rsidR="00A61EBB" w:rsidRPr="00267F53">
        <w:t xml:space="preserve">he dynamic nature of the food industry is such that changes are frequently needed to keep the Code up to date and aligned with international technological and regulatory developments. </w:t>
      </w:r>
    </w:p>
    <w:p w14:paraId="2247C93D" w14:textId="77777777" w:rsidR="0047737B" w:rsidRDefault="0047737B">
      <w:pPr>
        <w:rPr>
          <w:rFonts w:ascii="Calibri" w:hAnsi="Calibri"/>
        </w:rPr>
      </w:pPr>
      <w:r>
        <w:br w:type="page"/>
      </w:r>
    </w:p>
    <w:p w14:paraId="36FFF4FD" w14:textId="77777777" w:rsidR="00AA21BC" w:rsidRPr="00267F53" w:rsidRDefault="00AA21BC" w:rsidP="00E7382A">
      <w:pPr>
        <w:keepNext/>
        <w:pBdr>
          <w:top w:val="single" w:sz="4" w:space="1" w:color="auto"/>
          <w:left w:val="single" w:sz="4" w:space="4" w:color="auto"/>
          <w:bottom w:val="single" w:sz="4" w:space="1" w:color="auto"/>
          <w:right w:val="single" w:sz="4" w:space="4" w:color="auto"/>
        </w:pBdr>
        <w:autoSpaceDE w:val="0"/>
        <w:autoSpaceDN w:val="0"/>
        <w:adjustRightInd w:val="0"/>
        <w:rPr>
          <w:rFonts w:cstheme="minorHAnsi"/>
          <w:b/>
          <w:bCs/>
          <w:lang w:eastAsia="en-US"/>
        </w:rPr>
      </w:pPr>
      <w:r w:rsidRPr="00267F53">
        <w:rPr>
          <w:rFonts w:cstheme="minorHAnsi"/>
          <w:b/>
          <w:bCs/>
          <w:lang w:eastAsia="en-US"/>
        </w:rPr>
        <w:lastRenderedPageBreak/>
        <w:t>Coordination of regulatory changes</w:t>
      </w:r>
    </w:p>
    <w:p w14:paraId="146660DC" w14:textId="77777777" w:rsidR="00AA21BC" w:rsidRPr="00267F53" w:rsidRDefault="00AA21BC" w:rsidP="00E7382A">
      <w:pPr>
        <w:keepNext/>
        <w:rPr>
          <w:lang w:bidi="th-TH"/>
        </w:rPr>
      </w:pPr>
    </w:p>
    <w:p w14:paraId="369E8E52" w14:textId="77777777" w:rsidR="00AA21BC" w:rsidRPr="00267F53" w:rsidRDefault="00AA21BC" w:rsidP="00E7382A">
      <w:pPr>
        <w:keepNext/>
        <w:autoSpaceDE w:val="0"/>
        <w:autoSpaceDN w:val="0"/>
        <w:adjustRightInd w:val="0"/>
        <w:rPr>
          <w:rFonts w:cstheme="minorHAnsi"/>
          <w:lang w:eastAsia="en-US"/>
        </w:rPr>
      </w:pPr>
      <w:r w:rsidRPr="00267F53">
        <w:rPr>
          <w:rFonts w:cstheme="minorHAnsi"/>
          <w:lang w:eastAsia="en-US"/>
        </w:rPr>
        <w:t xml:space="preserve">While not an area of inconsistency as such, many </w:t>
      </w:r>
      <w:r w:rsidR="00D82D52" w:rsidRPr="00267F53">
        <w:rPr>
          <w:rFonts w:cstheme="minorHAnsi"/>
          <w:lang w:eastAsia="en-US"/>
        </w:rPr>
        <w:t xml:space="preserve">industry </w:t>
      </w:r>
      <w:r w:rsidRPr="00267F53">
        <w:rPr>
          <w:rFonts w:cstheme="minorHAnsi"/>
          <w:lang w:eastAsia="en-US"/>
        </w:rPr>
        <w:t xml:space="preserve">stakeholders raised that the introduction of new or amended regulatory requirements is not well coordinated. It was reported that ‘as one major regulatory change is implemented, another one will emerge’ placing burden (and cost) on industry to continuously review its practice to ensure ongoing compliance. </w:t>
      </w:r>
    </w:p>
    <w:p w14:paraId="7BC6B4AE" w14:textId="77777777" w:rsidR="00AA21BC" w:rsidRPr="00267F53" w:rsidRDefault="00AA21BC" w:rsidP="00AA21BC">
      <w:pPr>
        <w:autoSpaceDE w:val="0"/>
        <w:autoSpaceDN w:val="0"/>
        <w:adjustRightInd w:val="0"/>
        <w:rPr>
          <w:rFonts w:cstheme="minorHAnsi"/>
          <w:lang w:eastAsia="en-US"/>
        </w:rPr>
      </w:pPr>
    </w:p>
    <w:p w14:paraId="110E6FB3" w14:textId="77777777" w:rsidR="00AA21BC" w:rsidRPr="00267F53" w:rsidRDefault="00AA21BC" w:rsidP="00AA21BC">
      <w:pPr>
        <w:autoSpaceDE w:val="0"/>
        <w:autoSpaceDN w:val="0"/>
        <w:adjustRightInd w:val="0"/>
        <w:rPr>
          <w:rFonts w:cstheme="minorHAnsi"/>
          <w:lang w:eastAsia="en-US"/>
        </w:rPr>
      </w:pPr>
      <w:r w:rsidRPr="00267F53">
        <w:rPr>
          <w:rFonts w:cstheme="minorHAnsi"/>
          <w:lang w:eastAsia="en-US"/>
        </w:rPr>
        <w:t>This was considered particularly impactful with regards to changes to labelling requirements.</w:t>
      </w:r>
    </w:p>
    <w:p w14:paraId="71DFDC7F" w14:textId="77777777" w:rsidR="00AA21BC" w:rsidRPr="00267F53" w:rsidRDefault="00AA21BC" w:rsidP="00AA21BC">
      <w:pPr>
        <w:pStyle w:val="TableofAuthorities"/>
        <w:rPr>
          <w:b/>
          <w:bCs/>
          <w:lang w:eastAsia="en-US"/>
        </w:rPr>
      </w:pPr>
    </w:p>
    <w:tbl>
      <w:tblPr>
        <w:tblStyle w:val="TableGrid"/>
        <w:tblW w:w="0" w:type="auto"/>
        <w:shd w:val="clear" w:color="auto" w:fill="DEEAF6" w:themeFill="accent1" w:themeFillTint="33"/>
        <w:tblLook w:val="04A0" w:firstRow="1" w:lastRow="0" w:firstColumn="1" w:lastColumn="0" w:noHBand="0" w:noVBand="1"/>
      </w:tblPr>
      <w:tblGrid>
        <w:gridCol w:w="9736"/>
      </w:tblGrid>
      <w:tr w:rsidR="00AA21BC" w:rsidRPr="00267F53" w14:paraId="7A2B5EB9" w14:textId="77777777" w:rsidTr="00A61EBB">
        <w:tc>
          <w:tcPr>
            <w:tcW w:w="9736" w:type="dxa"/>
            <w:shd w:val="clear" w:color="auto" w:fill="DEEAF6" w:themeFill="accent1" w:themeFillTint="33"/>
          </w:tcPr>
          <w:p w14:paraId="341AF65D" w14:textId="77777777" w:rsidR="00AA21BC" w:rsidRPr="00267F53" w:rsidRDefault="00AA21BC" w:rsidP="00A61EBB">
            <w:pPr>
              <w:rPr>
                <w:rFonts w:asciiTheme="minorHAnsi" w:hAnsiTheme="minorHAnsi" w:cstheme="minorHAnsi"/>
                <w:b/>
                <w:bCs/>
                <w:sz w:val="24"/>
                <w:szCs w:val="24"/>
                <w:lang w:eastAsia="en-US"/>
              </w:rPr>
            </w:pPr>
            <w:r w:rsidRPr="00267F53">
              <w:rPr>
                <w:rFonts w:asciiTheme="minorHAnsi" w:hAnsiTheme="minorHAnsi" w:cstheme="minorHAnsi"/>
                <w:b/>
                <w:bCs/>
                <w:sz w:val="24"/>
                <w:szCs w:val="24"/>
                <w:lang w:eastAsia="en-US"/>
              </w:rPr>
              <w:t>Case study – labelling changes</w:t>
            </w:r>
          </w:p>
          <w:p w14:paraId="096A1BF0" w14:textId="77777777" w:rsidR="00AA21BC" w:rsidRPr="00267F53" w:rsidRDefault="00AA21BC" w:rsidP="00A61EBB">
            <w:pPr>
              <w:pStyle w:val="TableofAuthorities"/>
              <w:rPr>
                <w:rFonts w:asciiTheme="minorHAnsi" w:hAnsiTheme="minorHAnsi" w:cstheme="minorHAnsi"/>
                <w:sz w:val="24"/>
                <w:szCs w:val="24"/>
                <w:lang w:eastAsia="en-US"/>
              </w:rPr>
            </w:pPr>
          </w:p>
          <w:p w14:paraId="46BE8AF9" w14:textId="77777777" w:rsidR="00AA21BC" w:rsidRPr="00267F53" w:rsidRDefault="00AA21BC" w:rsidP="00A61EBB">
            <w:pPr>
              <w:rPr>
                <w:rFonts w:asciiTheme="minorHAnsi" w:hAnsiTheme="minorHAnsi" w:cstheme="minorHAnsi"/>
                <w:sz w:val="24"/>
                <w:szCs w:val="24"/>
                <w:lang w:eastAsia="en-US"/>
              </w:rPr>
            </w:pPr>
            <w:r w:rsidRPr="00267F53">
              <w:rPr>
                <w:rFonts w:asciiTheme="minorHAnsi" w:hAnsiTheme="minorHAnsi" w:cstheme="minorHAnsi"/>
                <w:sz w:val="24"/>
                <w:szCs w:val="24"/>
                <w:lang w:eastAsia="en-US"/>
              </w:rPr>
              <w:t xml:space="preserve">One stakeholder raised the example of the recent changes to the Health Star Rating (HSR) system. </w:t>
            </w:r>
          </w:p>
          <w:p w14:paraId="16E6428F" w14:textId="77777777" w:rsidR="00AA21BC" w:rsidRPr="00267F53" w:rsidRDefault="00AA21BC" w:rsidP="00A61EBB">
            <w:pPr>
              <w:rPr>
                <w:rFonts w:asciiTheme="minorHAnsi" w:hAnsiTheme="minorHAnsi" w:cstheme="minorHAnsi"/>
                <w:sz w:val="24"/>
                <w:szCs w:val="24"/>
                <w:lang w:eastAsia="en-US"/>
              </w:rPr>
            </w:pPr>
          </w:p>
          <w:p w14:paraId="1A942219" w14:textId="77777777" w:rsidR="00D442C4" w:rsidRPr="00267F53" w:rsidRDefault="00AA21BC" w:rsidP="00D442C4">
            <w:pPr>
              <w:rPr>
                <w:rFonts w:asciiTheme="minorHAnsi" w:hAnsiTheme="minorHAnsi" w:cstheme="minorHAnsi"/>
                <w:sz w:val="24"/>
                <w:szCs w:val="24"/>
                <w:lang w:eastAsia="en-US"/>
              </w:rPr>
            </w:pPr>
            <w:r w:rsidRPr="00267F53">
              <w:rPr>
                <w:rFonts w:asciiTheme="minorHAnsi" w:hAnsiTheme="minorHAnsi" w:cstheme="minorHAnsi"/>
                <w:sz w:val="24"/>
                <w:szCs w:val="24"/>
                <w:lang w:eastAsia="en-US"/>
              </w:rPr>
              <w:t xml:space="preserve">Many manufacturers are currently in the process of reviewing labels based on the outcomes of the Five Year Review of the HSR system. However, further labelling changes are currently being considered by governments, </w:t>
            </w:r>
            <w:r w:rsidR="00101538" w:rsidRPr="00267F53">
              <w:rPr>
                <w:rFonts w:asciiTheme="minorHAnsi" w:hAnsiTheme="minorHAnsi" w:cstheme="minorHAnsi"/>
                <w:sz w:val="24"/>
                <w:szCs w:val="24"/>
                <w:lang w:eastAsia="en-US"/>
              </w:rPr>
              <w:t xml:space="preserve">including </w:t>
            </w:r>
            <w:r w:rsidRPr="00267F53">
              <w:rPr>
                <w:rFonts w:asciiTheme="minorHAnsi" w:hAnsiTheme="minorHAnsi" w:cstheme="minorHAnsi"/>
                <w:sz w:val="24"/>
                <w:szCs w:val="24"/>
                <w:lang w:eastAsia="en-US"/>
              </w:rPr>
              <w:t>Added Sugars Labelling</w:t>
            </w:r>
            <w:r w:rsidR="00101538" w:rsidRPr="00267F53">
              <w:rPr>
                <w:rFonts w:asciiTheme="minorHAnsi" w:hAnsiTheme="minorHAnsi" w:cstheme="minorHAnsi"/>
                <w:sz w:val="24"/>
                <w:szCs w:val="24"/>
                <w:lang w:eastAsia="en-US"/>
              </w:rPr>
              <w:t xml:space="preserve">, </w:t>
            </w:r>
            <w:r w:rsidRPr="00267F53">
              <w:rPr>
                <w:rFonts w:asciiTheme="minorHAnsi" w:hAnsiTheme="minorHAnsi" w:cstheme="minorHAnsi"/>
                <w:sz w:val="24"/>
                <w:szCs w:val="24"/>
                <w:lang w:eastAsia="en-US"/>
              </w:rPr>
              <w:t>possible refinements to Country</w:t>
            </w:r>
            <w:r w:rsidR="00101538" w:rsidRPr="00267F53">
              <w:rPr>
                <w:rFonts w:asciiTheme="minorHAnsi" w:hAnsiTheme="minorHAnsi" w:cstheme="minorHAnsi"/>
                <w:sz w:val="24"/>
                <w:szCs w:val="24"/>
                <w:lang w:eastAsia="en-US"/>
              </w:rPr>
              <w:noBreakHyphen/>
            </w:r>
            <w:r w:rsidRPr="00267F53">
              <w:rPr>
                <w:rFonts w:asciiTheme="minorHAnsi" w:hAnsiTheme="minorHAnsi" w:cstheme="minorHAnsi"/>
                <w:sz w:val="24"/>
                <w:szCs w:val="24"/>
                <w:lang w:eastAsia="en-US"/>
              </w:rPr>
              <w:t>of-Origin labelling within Australia</w:t>
            </w:r>
            <w:r w:rsidR="00D442C4" w:rsidRPr="00267F53">
              <w:rPr>
                <w:rFonts w:asciiTheme="minorHAnsi" w:hAnsiTheme="minorHAnsi" w:cstheme="minorHAnsi"/>
                <w:sz w:val="24"/>
                <w:szCs w:val="24"/>
                <w:lang w:eastAsia="en-US"/>
              </w:rPr>
              <w:t xml:space="preserve"> and Plain English Allergen Labelling (Proposal P1044)</w:t>
            </w:r>
            <w:r w:rsidR="00101538" w:rsidRPr="00267F53">
              <w:rPr>
                <w:rFonts w:asciiTheme="minorHAnsi" w:hAnsiTheme="minorHAnsi" w:cstheme="minorHAnsi"/>
                <w:sz w:val="24"/>
                <w:szCs w:val="24"/>
                <w:lang w:eastAsia="en-US"/>
              </w:rPr>
              <w:t>,</w:t>
            </w:r>
            <w:r w:rsidR="00D442C4" w:rsidRPr="00267F53">
              <w:rPr>
                <w:rFonts w:asciiTheme="minorHAnsi" w:hAnsiTheme="minorHAnsi" w:cstheme="minorHAnsi"/>
                <w:sz w:val="24"/>
                <w:szCs w:val="24"/>
                <w:lang w:eastAsia="en-US"/>
              </w:rPr>
              <w:t xml:space="preserve"> which has recently been approved.</w:t>
            </w:r>
          </w:p>
          <w:p w14:paraId="3FECCAC3" w14:textId="77777777" w:rsidR="00AA21BC" w:rsidRPr="00267F53" w:rsidRDefault="00AA21BC" w:rsidP="00A61EBB">
            <w:pPr>
              <w:rPr>
                <w:rFonts w:asciiTheme="minorHAnsi" w:hAnsiTheme="minorHAnsi" w:cstheme="minorHAnsi"/>
                <w:sz w:val="24"/>
                <w:szCs w:val="24"/>
                <w:lang w:eastAsia="en-US"/>
              </w:rPr>
            </w:pPr>
          </w:p>
        </w:tc>
      </w:tr>
    </w:tbl>
    <w:p w14:paraId="6CDDCEC6" w14:textId="77777777" w:rsidR="00AA21BC" w:rsidRPr="00267F53" w:rsidRDefault="00AA21BC" w:rsidP="00AA21BC">
      <w:pPr>
        <w:rPr>
          <w:lang w:eastAsia="en-US"/>
        </w:rPr>
      </w:pPr>
    </w:p>
    <w:p w14:paraId="14526D9B" w14:textId="77777777" w:rsidR="00AA21BC" w:rsidRPr="00267F53" w:rsidRDefault="00AA21BC" w:rsidP="00AA21BC">
      <w:pPr>
        <w:autoSpaceDE w:val="0"/>
        <w:autoSpaceDN w:val="0"/>
        <w:adjustRightInd w:val="0"/>
        <w:rPr>
          <w:rFonts w:cstheme="minorHAnsi"/>
          <w:lang w:eastAsia="en-US"/>
        </w:rPr>
      </w:pPr>
      <w:r w:rsidRPr="00267F53">
        <w:rPr>
          <w:rFonts w:cstheme="minorHAnsi"/>
          <w:lang w:eastAsia="en-US"/>
        </w:rPr>
        <w:t xml:space="preserve">Stakeholders noted that the cost of labelling changes can be in the millions, and that the inability to plan for and coordinate changes to labels is inefficient. </w:t>
      </w:r>
      <w:r w:rsidR="00A835E0" w:rsidRPr="00267F53">
        <w:rPr>
          <w:rFonts w:cstheme="minorHAnsi"/>
          <w:lang w:eastAsia="en-US"/>
        </w:rPr>
        <w:t xml:space="preserve">One stakeholder noted that </w:t>
      </w:r>
      <w:r w:rsidRPr="00267F53">
        <w:rPr>
          <w:rFonts w:cstheme="minorHAnsi"/>
          <w:lang w:eastAsia="en-US"/>
        </w:rPr>
        <w:t>‘</w:t>
      </w:r>
      <w:r w:rsidR="000332EA" w:rsidRPr="00267F53">
        <w:rPr>
          <w:rFonts w:cstheme="minorHAnsi"/>
          <w:lang w:eastAsia="en-US"/>
        </w:rPr>
        <w:t>t</w:t>
      </w:r>
      <w:r w:rsidRPr="00267F53">
        <w:rPr>
          <w:rFonts w:cstheme="minorHAnsi"/>
          <w:lang w:eastAsia="en-US"/>
        </w:rPr>
        <w:t>he lack of alignment on timings has the potential to result in multiple label changes across all products, which is incredibly burdensome and costly to food industry.’</w:t>
      </w:r>
    </w:p>
    <w:p w14:paraId="39438789" w14:textId="77777777" w:rsidR="00AA21BC" w:rsidRPr="00267F53" w:rsidRDefault="00AA21BC" w:rsidP="00AA21BC">
      <w:pPr>
        <w:autoSpaceDE w:val="0"/>
        <w:autoSpaceDN w:val="0"/>
        <w:adjustRightInd w:val="0"/>
        <w:rPr>
          <w:rFonts w:cstheme="minorHAnsi"/>
          <w:lang w:eastAsia="en-US"/>
        </w:rPr>
      </w:pPr>
    </w:p>
    <w:p w14:paraId="6EB35D65" w14:textId="77777777" w:rsidR="00AA21BC" w:rsidRPr="00267F53" w:rsidRDefault="00AA21BC" w:rsidP="00A61EBB">
      <w:pPr>
        <w:pStyle w:val="Default"/>
        <w:rPr>
          <w:rFonts w:cstheme="minorHAnsi"/>
          <w:lang w:val="en-AU"/>
        </w:rPr>
      </w:pPr>
      <w:r w:rsidRPr="00267F53">
        <w:rPr>
          <w:rFonts w:cstheme="minorHAnsi"/>
          <w:lang w:val="en-AU"/>
        </w:rPr>
        <w:t>Stakeholders also highlighted that it is difficult for industry to plan for potential upcoming changes to regulations, as there is often ‘no clear guide as to when the changes are expected to take place, if ever’. Some stakeholders referenced Proposals that have been on hold for years, making it challenging for industry to identify whether changes are likely to occur and what they need to do to comply with such changes. Industry stakeholders said they are required to ‘try to anticipate’ when changes might occur and try to align regulatory compliance internally.</w:t>
      </w:r>
    </w:p>
    <w:p w14:paraId="7212E898" w14:textId="77777777" w:rsidR="00AA21BC" w:rsidRPr="00267F53" w:rsidRDefault="00AA21BC" w:rsidP="00D04D43">
      <w:pPr>
        <w:pStyle w:val="Bullet1"/>
        <w:numPr>
          <w:ilvl w:val="0"/>
          <w:numId w:val="0"/>
        </w:numPr>
        <w:ind w:left="360" w:hanging="360"/>
      </w:pPr>
    </w:p>
    <w:p w14:paraId="5A7207A1" w14:textId="77777777" w:rsidR="00B21C93" w:rsidRPr="00267F53" w:rsidRDefault="00B21C93" w:rsidP="00171075">
      <w:pPr>
        <w:pStyle w:val="Heading2"/>
        <w:shd w:val="clear" w:color="auto" w:fill="368A72"/>
        <w:rPr>
          <w:lang w:bidi="th-TH"/>
        </w:rPr>
      </w:pPr>
      <w:bookmarkStart w:id="34" w:name="_Toc65059140"/>
      <w:r w:rsidRPr="00267F53">
        <w:rPr>
          <w:lang w:bidi="th-TH"/>
        </w:rPr>
        <w:t>Inconsistenc</w:t>
      </w:r>
      <w:r w:rsidR="00173AC6" w:rsidRPr="00267F53">
        <w:rPr>
          <w:lang w:bidi="th-TH"/>
        </w:rPr>
        <w:t xml:space="preserve">ies relating </w:t>
      </w:r>
      <w:r w:rsidRPr="00267F53">
        <w:rPr>
          <w:lang w:bidi="th-TH"/>
        </w:rPr>
        <w:t xml:space="preserve">to labelling </w:t>
      </w:r>
      <w:r w:rsidR="00730E34" w:rsidRPr="00267F53">
        <w:rPr>
          <w:lang w:bidi="th-TH"/>
        </w:rPr>
        <w:t>and claims</w:t>
      </w:r>
      <w:bookmarkEnd w:id="34"/>
      <w:r w:rsidR="00730E34" w:rsidRPr="00267F53">
        <w:rPr>
          <w:lang w:bidi="th-TH"/>
        </w:rPr>
        <w:t xml:space="preserve"> </w:t>
      </w:r>
    </w:p>
    <w:p w14:paraId="639B816E" w14:textId="77777777" w:rsidR="00B21C93" w:rsidRPr="00267F53" w:rsidRDefault="00B21C93" w:rsidP="00B21C93">
      <w:pPr>
        <w:pStyle w:val="Bullet1"/>
        <w:numPr>
          <w:ilvl w:val="0"/>
          <w:numId w:val="0"/>
        </w:numPr>
      </w:pPr>
    </w:p>
    <w:p w14:paraId="5FC13FE9" w14:textId="77777777" w:rsidR="00730E34" w:rsidRPr="00267F53" w:rsidRDefault="00730E34" w:rsidP="00B21C93">
      <w:pPr>
        <w:rPr>
          <w:lang w:eastAsia="en-US"/>
        </w:rPr>
      </w:pPr>
      <w:r w:rsidRPr="00267F53">
        <w:rPr>
          <w:lang w:eastAsia="en-US"/>
        </w:rPr>
        <w:t>As noted in the previous Chapter, the majority of submissions focussed on inconsistency relating to labelling and claims.</w:t>
      </w:r>
      <w:r w:rsidR="00E7382A" w:rsidRPr="00267F53">
        <w:rPr>
          <w:lang w:eastAsia="en-US"/>
        </w:rPr>
        <w:t xml:space="preserve"> </w:t>
      </w:r>
      <w:r w:rsidR="00E7382A" w:rsidRPr="00267F53">
        <w:rPr>
          <w:rFonts w:cstheme="minorHAnsi"/>
        </w:rPr>
        <w:t>This was highlighted by all stakeholder groups</w:t>
      </w:r>
      <w:r w:rsidR="001E4DD4" w:rsidRPr="00267F53">
        <w:rPr>
          <w:rFonts w:cstheme="minorHAnsi"/>
        </w:rPr>
        <w:t xml:space="preserve"> across Australia and New Zealand</w:t>
      </w:r>
      <w:r w:rsidR="00E7382A" w:rsidRPr="00267F53">
        <w:rPr>
          <w:rFonts w:cstheme="minorHAnsi"/>
        </w:rPr>
        <w:t>, including government, industry and consumer advocacy and public health bodies, as a critical area of inconsistency in the food regulatory system.</w:t>
      </w:r>
    </w:p>
    <w:p w14:paraId="13BDBD84" w14:textId="77777777" w:rsidR="00730E34" w:rsidRPr="00267F53" w:rsidRDefault="00730E34" w:rsidP="00B21C93">
      <w:pPr>
        <w:rPr>
          <w:lang w:eastAsia="en-US"/>
        </w:rPr>
      </w:pPr>
    </w:p>
    <w:p w14:paraId="711C2BB2" w14:textId="77777777" w:rsidR="00730E34" w:rsidRPr="00267F53" w:rsidRDefault="00730E34" w:rsidP="00B21C93">
      <w:pPr>
        <w:rPr>
          <w:lang w:eastAsia="en-US"/>
        </w:rPr>
      </w:pPr>
      <w:r w:rsidRPr="00267F53">
        <w:rPr>
          <w:lang w:eastAsia="en-US"/>
        </w:rPr>
        <w:t>The reasons for the inconsistency were variously described including:</w:t>
      </w:r>
    </w:p>
    <w:p w14:paraId="60C53516" w14:textId="77777777" w:rsidR="00173AC6" w:rsidRPr="00267F53" w:rsidRDefault="00173AC6" w:rsidP="00B21C93">
      <w:pPr>
        <w:rPr>
          <w:lang w:eastAsia="en-US"/>
        </w:rPr>
      </w:pPr>
    </w:p>
    <w:p w14:paraId="08927CB7" w14:textId="77777777" w:rsidR="00730E34" w:rsidRPr="00267F53" w:rsidRDefault="00E974D6" w:rsidP="00730E34">
      <w:pPr>
        <w:pStyle w:val="Bullet1"/>
      </w:pPr>
      <w:r w:rsidRPr="00267F53">
        <w:t>l</w:t>
      </w:r>
      <w:r w:rsidR="00730E34" w:rsidRPr="00267F53">
        <w:t xml:space="preserve">ack of clarity in the </w:t>
      </w:r>
      <w:r w:rsidR="00E7382A" w:rsidRPr="00267F53">
        <w:t>Code</w:t>
      </w:r>
      <w:r w:rsidR="00730E34" w:rsidRPr="00267F53">
        <w:t xml:space="preserve"> itself</w:t>
      </w:r>
    </w:p>
    <w:p w14:paraId="76C72549" w14:textId="77777777" w:rsidR="00730E34" w:rsidRPr="00267F53" w:rsidRDefault="00E974D6" w:rsidP="00E974D6">
      <w:pPr>
        <w:pStyle w:val="Bullet1"/>
      </w:pPr>
      <w:r w:rsidRPr="00267F53">
        <w:t>d</w:t>
      </w:r>
      <w:r w:rsidR="00730E34" w:rsidRPr="00267F53">
        <w:t>ifferences in interpretation within industry and between regulator</w:t>
      </w:r>
      <w:r w:rsidRPr="00267F53">
        <w:t>s</w:t>
      </w:r>
    </w:p>
    <w:p w14:paraId="50EE532F" w14:textId="77777777" w:rsidR="00730E34" w:rsidRPr="00267F53" w:rsidRDefault="00730E34" w:rsidP="00730E34">
      <w:pPr>
        <w:pStyle w:val="Bullet1"/>
      </w:pPr>
      <w:r w:rsidRPr="00267F53">
        <w:t>inconsistent or absent enforcement by regulators</w:t>
      </w:r>
      <w:r w:rsidR="00E974D6" w:rsidRPr="00267F53">
        <w:t xml:space="preserve">, </w:t>
      </w:r>
      <w:r w:rsidRPr="00267F53">
        <w:t>with some businesses taking advantage of this</w:t>
      </w:r>
      <w:r w:rsidR="00E974D6" w:rsidRPr="00267F53">
        <w:t>.</w:t>
      </w:r>
    </w:p>
    <w:p w14:paraId="61FA210B" w14:textId="77777777" w:rsidR="00E974D6" w:rsidRPr="00267F53" w:rsidRDefault="00E974D6" w:rsidP="00E974D6">
      <w:pPr>
        <w:pStyle w:val="Bullet1"/>
        <w:numPr>
          <w:ilvl w:val="0"/>
          <w:numId w:val="0"/>
        </w:numPr>
        <w:ind w:left="360" w:hanging="360"/>
      </w:pPr>
    </w:p>
    <w:p w14:paraId="53D27D35" w14:textId="77777777" w:rsidR="00E974D6" w:rsidRPr="00267F53" w:rsidRDefault="00E974D6" w:rsidP="00E974D6">
      <w:pPr>
        <w:pStyle w:val="Bullet1"/>
        <w:numPr>
          <w:ilvl w:val="0"/>
          <w:numId w:val="0"/>
        </w:numPr>
      </w:pPr>
      <w:r w:rsidRPr="00267F53">
        <w:t>The impacts of this w</w:t>
      </w:r>
      <w:r w:rsidR="00A61EBB" w:rsidRPr="00267F53">
        <w:t>ere</w:t>
      </w:r>
      <w:r w:rsidRPr="00267F53">
        <w:t xml:space="preserve"> described as:</w:t>
      </w:r>
    </w:p>
    <w:p w14:paraId="4D1A4EC4" w14:textId="77777777" w:rsidR="00920085" w:rsidRPr="00267F53" w:rsidRDefault="00920085" w:rsidP="00E974D6">
      <w:pPr>
        <w:pStyle w:val="Bullet1"/>
        <w:numPr>
          <w:ilvl w:val="0"/>
          <w:numId w:val="0"/>
        </w:numPr>
      </w:pPr>
    </w:p>
    <w:p w14:paraId="054CA05B" w14:textId="77777777" w:rsidR="00E974D6" w:rsidRPr="00267F53" w:rsidRDefault="00E974D6" w:rsidP="00E974D6">
      <w:pPr>
        <w:pStyle w:val="Bullet1"/>
      </w:pPr>
      <w:r w:rsidRPr="00267F53">
        <w:t>undermining confidence in the system</w:t>
      </w:r>
    </w:p>
    <w:p w14:paraId="67B06CCB" w14:textId="77777777" w:rsidR="00E974D6" w:rsidRPr="00267F53" w:rsidRDefault="00E974D6" w:rsidP="00E974D6">
      <w:pPr>
        <w:pStyle w:val="Bullet1"/>
      </w:pPr>
      <w:r w:rsidRPr="00267F53">
        <w:t xml:space="preserve">creating an uneven playing field for industry (providing an unfair advantage to food businesses making inappropriate claims in jurisdictions that do not as actively monitor and enforce the requirements) </w:t>
      </w:r>
    </w:p>
    <w:p w14:paraId="764A8840" w14:textId="77777777" w:rsidR="00E974D6" w:rsidRPr="00267F53" w:rsidRDefault="00920085" w:rsidP="00E974D6">
      <w:pPr>
        <w:pStyle w:val="Bullet1"/>
      </w:pPr>
      <w:r w:rsidRPr="00267F53">
        <w:t xml:space="preserve">limiting </w:t>
      </w:r>
      <w:r w:rsidR="00E974D6" w:rsidRPr="00267F53">
        <w:t>the ability of consumers to make informed choices</w:t>
      </w:r>
      <w:r w:rsidRPr="00267F53">
        <w:t>.</w:t>
      </w:r>
    </w:p>
    <w:p w14:paraId="2459FDA8" w14:textId="77777777" w:rsidR="00730E34" w:rsidRPr="00267F53" w:rsidRDefault="00730E34" w:rsidP="00B21C93">
      <w:pPr>
        <w:rPr>
          <w:lang w:eastAsia="en-US"/>
        </w:rPr>
      </w:pPr>
    </w:p>
    <w:p w14:paraId="2B64D9FE" w14:textId="77777777" w:rsidR="00E974D6" w:rsidRPr="00267F53" w:rsidRDefault="00E974D6" w:rsidP="00920085">
      <w:pPr>
        <w:rPr>
          <w:highlight w:val="yellow"/>
        </w:rPr>
      </w:pPr>
      <w:r w:rsidRPr="00267F53">
        <w:rPr>
          <w:lang w:eastAsia="en-US"/>
        </w:rPr>
        <w:t xml:space="preserve">While these impacts were not </w:t>
      </w:r>
      <w:r w:rsidR="00920085" w:rsidRPr="00267F53">
        <w:rPr>
          <w:lang w:eastAsia="en-US"/>
        </w:rPr>
        <w:t>quantified</w:t>
      </w:r>
      <w:r w:rsidRPr="00267F53">
        <w:rPr>
          <w:lang w:eastAsia="en-US"/>
        </w:rPr>
        <w:t xml:space="preserve"> by any of the stakeholders that </w:t>
      </w:r>
      <w:r w:rsidR="00920085" w:rsidRPr="00267F53">
        <w:rPr>
          <w:lang w:eastAsia="en-US"/>
        </w:rPr>
        <w:t>provided a submission</w:t>
      </w:r>
      <w:r w:rsidRPr="00267F53">
        <w:rPr>
          <w:lang w:eastAsia="en-US"/>
        </w:rPr>
        <w:t>, they were variously described as</w:t>
      </w:r>
      <w:r w:rsidR="00920085" w:rsidRPr="00267F53">
        <w:rPr>
          <w:lang w:eastAsia="en-US"/>
        </w:rPr>
        <w:t xml:space="preserve"> having a significant impact across all stakeholder groups. </w:t>
      </w:r>
    </w:p>
    <w:p w14:paraId="570BB572" w14:textId="77777777" w:rsidR="00E974D6" w:rsidRPr="00267F53" w:rsidRDefault="00E974D6" w:rsidP="00B21C93">
      <w:pPr>
        <w:rPr>
          <w:lang w:eastAsia="en-US"/>
        </w:rPr>
      </w:pPr>
    </w:p>
    <w:p w14:paraId="773CBDE3" w14:textId="77777777" w:rsidR="00730E34" w:rsidRPr="00267F53" w:rsidRDefault="00730E34" w:rsidP="00730E34">
      <w:pPr>
        <w:pBdr>
          <w:top w:val="single" w:sz="4" w:space="1" w:color="auto"/>
          <w:left w:val="single" w:sz="4" w:space="4" w:color="auto"/>
          <w:bottom w:val="single" w:sz="4" w:space="1" w:color="auto"/>
          <w:right w:val="single" w:sz="4" w:space="4" w:color="auto"/>
        </w:pBdr>
        <w:autoSpaceDE w:val="0"/>
        <w:autoSpaceDN w:val="0"/>
        <w:adjustRightInd w:val="0"/>
        <w:rPr>
          <w:rFonts w:cstheme="minorHAnsi"/>
          <w:b/>
          <w:bCs/>
          <w:lang w:eastAsia="en-US"/>
        </w:rPr>
      </w:pPr>
      <w:r w:rsidRPr="00267F53">
        <w:rPr>
          <w:rFonts w:cstheme="minorHAnsi"/>
          <w:b/>
          <w:bCs/>
          <w:lang w:eastAsia="en-US"/>
        </w:rPr>
        <w:t xml:space="preserve">Labelling </w:t>
      </w:r>
    </w:p>
    <w:p w14:paraId="704DA7BF" w14:textId="77777777" w:rsidR="00730E34" w:rsidRPr="00267F53" w:rsidRDefault="00730E34" w:rsidP="00B21C93">
      <w:pPr>
        <w:rPr>
          <w:lang w:eastAsia="en-US"/>
        </w:rPr>
      </w:pPr>
    </w:p>
    <w:p w14:paraId="6E293502" w14:textId="77777777" w:rsidR="00B21C93" w:rsidRPr="00267F53" w:rsidRDefault="00B21C93" w:rsidP="00B21C93">
      <w:pPr>
        <w:rPr>
          <w:lang w:eastAsia="en-US"/>
        </w:rPr>
      </w:pPr>
      <w:r w:rsidRPr="00267F53">
        <w:rPr>
          <w:lang w:eastAsia="en-US"/>
        </w:rPr>
        <w:t>Stakeholders raised various examples of inconsistent application of labelling requirements by food businesses. Some of these were attributed to unclear legislation or lack of guidance and some to inconsistent (or absent) enforcement by regulators.</w:t>
      </w:r>
    </w:p>
    <w:p w14:paraId="3DE379D9" w14:textId="77777777" w:rsidR="00B21C93" w:rsidRPr="00267F53" w:rsidRDefault="00B21C93" w:rsidP="00B21C93">
      <w:pPr>
        <w:rPr>
          <w:lang w:eastAsia="en-US"/>
        </w:rPr>
      </w:pPr>
    </w:p>
    <w:p w14:paraId="5AC657DE" w14:textId="77777777" w:rsidR="00B21C93" w:rsidRPr="00267F53" w:rsidRDefault="00FB464A" w:rsidP="00B21C93">
      <w:pPr>
        <w:rPr>
          <w:lang w:eastAsia="en-US"/>
        </w:rPr>
      </w:pPr>
      <w:r w:rsidRPr="00267F53">
        <w:rPr>
          <w:lang w:eastAsia="en-US"/>
        </w:rPr>
        <w:t>In, relation to requirements under the Code, s</w:t>
      </w:r>
      <w:r w:rsidR="00B21C93" w:rsidRPr="00267F53">
        <w:rPr>
          <w:lang w:eastAsia="en-US"/>
        </w:rPr>
        <w:t xml:space="preserve">takeholders </w:t>
      </w:r>
      <w:r w:rsidRPr="00267F53">
        <w:rPr>
          <w:lang w:eastAsia="en-US"/>
        </w:rPr>
        <w:t>raised the following examples:</w:t>
      </w:r>
    </w:p>
    <w:p w14:paraId="0625B7EB" w14:textId="77777777" w:rsidR="00B21C93" w:rsidRPr="00267F53" w:rsidRDefault="00B21C93" w:rsidP="00B21C93">
      <w:pPr>
        <w:pStyle w:val="mpcbullets1"/>
        <w:numPr>
          <w:ilvl w:val="0"/>
          <w:numId w:val="0"/>
        </w:numPr>
        <w:rPr>
          <w:lang w:eastAsia="en-US"/>
        </w:rPr>
      </w:pPr>
    </w:p>
    <w:p w14:paraId="700D64CC" w14:textId="77777777" w:rsidR="00B21C93" w:rsidRPr="00267F53" w:rsidRDefault="00B21C93" w:rsidP="00B21C93">
      <w:pPr>
        <w:pStyle w:val="mpcbullets1"/>
        <w:rPr>
          <w:b/>
          <w:bCs/>
          <w:lang w:eastAsia="en-US"/>
        </w:rPr>
      </w:pPr>
      <w:r w:rsidRPr="00267F53">
        <w:rPr>
          <w:b/>
          <w:bCs/>
          <w:lang w:eastAsia="en-US"/>
        </w:rPr>
        <w:t xml:space="preserve">Legibility of labels </w:t>
      </w:r>
      <w:r w:rsidRPr="00267F53">
        <w:rPr>
          <w:lang w:eastAsia="en-US"/>
        </w:rPr>
        <w:t>–</w:t>
      </w:r>
      <w:r w:rsidRPr="00267F53">
        <w:rPr>
          <w:b/>
          <w:bCs/>
          <w:lang w:eastAsia="en-US"/>
        </w:rPr>
        <w:t xml:space="preserve"> </w:t>
      </w:r>
      <w:hyperlink r:id="rId19" w:history="1">
        <w:r w:rsidRPr="00267F53">
          <w:rPr>
            <w:rStyle w:val="Hyperlink"/>
            <w:rFonts w:cstheme="minorHAnsi"/>
            <w:lang w:eastAsia="en-US"/>
          </w:rPr>
          <w:t>Standard 1.2.1 – Requirements to have labels or otherwise provide information</w:t>
        </w:r>
      </w:hyperlink>
      <w:r w:rsidRPr="00267F53">
        <w:rPr>
          <w:lang w:eastAsia="en-US"/>
        </w:rPr>
        <w:t xml:space="preserve"> (s24) specifies that if the Code ‘requires a word, statement, expression or design to be contained, written or set out on a label—any words must be in English and any word, statement, expression or design must, wherever occurring: be legible; and be prominent so as to contrast distinctly with the background of the label’. Stakeholders have raised concern that these ‘fairly general’ requirements are not always rigorously applied by manufacturers and important information may not always be easy for consumers to read, particularly where consumers may be vision impaired. An example of this was provided for alcoholic beverages where the alcohol content and standard drink information was not obvious. FSANZ has published a </w:t>
      </w:r>
      <w:hyperlink r:id="rId20" w:history="1">
        <w:r w:rsidRPr="00267F53">
          <w:rPr>
            <w:rStyle w:val="Hyperlink"/>
            <w:rFonts w:cstheme="minorHAnsi"/>
            <w:lang w:eastAsia="en-US"/>
          </w:rPr>
          <w:t>Legibility Requirements for Food Labels User Guide</w:t>
        </w:r>
      </w:hyperlink>
      <w:r w:rsidRPr="00267F53">
        <w:rPr>
          <w:lang w:eastAsia="en-US"/>
        </w:rPr>
        <w:t xml:space="preserve"> (December 2013) however </w:t>
      </w:r>
      <w:r w:rsidR="00FB464A" w:rsidRPr="00267F53">
        <w:rPr>
          <w:lang w:eastAsia="en-US"/>
        </w:rPr>
        <w:t xml:space="preserve">one </w:t>
      </w:r>
      <w:r w:rsidRPr="00267F53">
        <w:rPr>
          <w:lang w:eastAsia="en-US"/>
        </w:rPr>
        <w:t>stakeholder</w:t>
      </w:r>
      <w:r w:rsidR="00FB464A" w:rsidRPr="00267F53">
        <w:rPr>
          <w:lang w:eastAsia="en-US"/>
        </w:rPr>
        <w:t xml:space="preserve"> </w:t>
      </w:r>
      <w:r w:rsidRPr="00267F53">
        <w:rPr>
          <w:lang w:eastAsia="en-US"/>
        </w:rPr>
        <w:t xml:space="preserve">noted this </w:t>
      </w:r>
      <w:r w:rsidR="00FB464A" w:rsidRPr="00267F53">
        <w:rPr>
          <w:lang w:eastAsia="en-US"/>
        </w:rPr>
        <w:t>is outdated</w:t>
      </w:r>
      <w:r w:rsidRPr="00267F53">
        <w:rPr>
          <w:lang w:eastAsia="en-US"/>
        </w:rPr>
        <w:t xml:space="preserve"> and </w:t>
      </w:r>
      <w:r w:rsidR="00FB464A" w:rsidRPr="00267F53">
        <w:rPr>
          <w:lang w:eastAsia="en-US"/>
        </w:rPr>
        <w:t>does not include sufficient examples</w:t>
      </w:r>
      <w:r w:rsidRPr="00267F53">
        <w:rPr>
          <w:lang w:eastAsia="en-US"/>
        </w:rPr>
        <w:t xml:space="preserve"> of the effective display of information on labels.</w:t>
      </w:r>
    </w:p>
    <w:p w14:paraId="4CE0C950" w14:textId="77777777" w:rsidR="00FB464A" w:rsidRPr="00267F53" w:rsidRDefault="00FB464A" w:rsidP="00FB464A">
      <w:pPr>
        <w:pStyle w:val="mpcbullets1"/>
        <w:numPr>
          <w:ilvl w:val="0"/>
          <w:numId w:val="0"/>
        </w:numPr>
        <w:rPr>
          <w:b/>
          <w:bCs/>
          <w:lang w:eastAsia="en-US"/>
        </w:rPr>
      </w:pPr>
    </w:p>
    <w:p w14:paraId="6697EEC8" w14:textId="77777777" w:rsidR="00FB464A" w:rsidRPr="00267F53" w:rsidRDefault="00FB464A" w:rsidP="00FB464A">
      <w:pPr>
        <w:pStyle w:val="mpcbullets1"/>
        <w:rPr>
          <w:lang w:eastAsia="en-US"/>
        </w:rPr>
      </w:pPr>
      <w:r w:rsidRPr="00267F53">
        <w:rPr>
          <w:b/>
          <w:bCs/>
          <w:lang w:eastAsia="en-US"/>
        </w:rPr>
        <w:t xml:space="preserve">Labelling of imported products </w:t>
      </w:r>
      <w:r w:rsidRPr="00267F53">
        <w:rPr>
          <w:lang w:eastAsia="en-US"/>
        </w:rPr>
        <w:t>– Importers are responsible for ensuring the labelling on the food products that they import is compliant with the requirements of the Code. However, some stakeholders have highlighted that imported products regularly do not comply with some labelling requirements, creating an unfair advantage for those who do not comply. Stakeholders referenced products with no English on their labels or labels with non-compliant (or missing) NIPs, ingredients lists, mass declarations or allergen warnings.</w:t>
      </w:r>
    </w:p>
    <w:p w14:paraId="6DB05DFF" w14:textId="77777777" w:rsidR="00FB464A" w:rsidRPr="00267F53" w:rsidRDefault="00FB464A" w:rsidP="00FB464A">
      <w:pPr>
        <w:pStyle w:val="mpcbullets1"/>
        <w:numPr>
          <w:ilvl w:val="0"/>
          <w:numId w:val="0"/>
        </w:numPr>
        <w:ind w:left="360" w:hanging="360"/>
        <w:rPr>
          <w:b/>
          <w:bCs/>
          <w:lang w:eastAsia="en-US"/>
        </w:rPr>
      </w:pPr>
    </w:p>
    <w:p w14:paraId="2212FCB2" w14:textId="77777777" w:rsidR="00FB464A" w:rsidRPr="00267F53" w:rsidRDefault="00FB464A" w:rsidP="00FB464A">
      <w:pPr>
        <w:rPr>
          <w:lang w:eastAsia="en-US"/>
        </w:rPr>
      </w:pPr>
      <w:r w:rsidRPr="00267F53">
        <w:rPr>
          <w:lang w:eastAsia="en-US"/>
        </w:rPr>
        <w:t xml:space="preserve">Stakeholders also highlighted the following examples which </w:t>
      </w:r>
      <w:r w:rsidR="00A835E0" w:rsidRPr="00267F53">
        <w:rPr>
          <w:lang w:eastAsia="en-US"/>
        </w:rPr>
        <w:t xml:space="preserve">currently </w:t>
      </w:r>
      <w:r w:rsidRPr="00267F53">
        <w:rPr>
          <w:lang w:eastAsia="en-US"/>
        </w:rPr>
        <w:t>sit outside of the food regulatory system:</w:t>
      </w:r>
    </w:p>
    <w:p w14:paraId="4D74F249" w14:textId="77777777" w:rsidR="00B21C93" w:rsidRPr="00267F53" w:rsidRDefault="00B21C93" w:rsidP="00B21C93">
      <w:pPr>
        <w:pStyle w:val="mpcbullets1"/>
        <w:numPr>
          <w:ilvl w:val="0"/>
          <w:numId w:val="0"/>
        </w:numPr>
        <w:ind w:left="360" w:hanging="360"/>
        <w:rPr>
          <w:b/>
          <w:bCs/>
          <w:lang w:eastAsia="en-US"/>
        </w:rPr>
      </w:pPr>
    </w:p>
    <w:p w14:paraId="1A7FA826" w14:textId="77777777" w:rsidR="0047737B" w:rsidRPr="0047737B" w:rsidRDefault="00B21C93" w:rsidP="00B21C93">
      <w:pPr>
        <w:pStyle w:val="mpcbullets1"/>
        <w:rPr>
          <w:b/>
          <w:bCs/>
          <w:lang w:eastAsia="en-US"/>
        </w:rPr>
      </w:pPr>
      <w:r w:rsidRPr="00267F53">
        <w:rPr>
          <w:rFonts w:cstheme="minorHAnsi"/>
          <w:b/>
          <w:bCs/>
          <w:lang w:eastAsia="en-US"/>
        </w:rPr>
        <w:t xml:space="preserve">Country of Origin Labelling </w:t>
      </w:r>
      <w:r w:rsidRPr="00267F53">
        <w:rPr>
          <w:lang w:eastAsia="en-US"/>
        </w:rPr>
        <w:t>– Some stakeholders raised concerns about manufacturers incorrectly claiming their products are ‘Australian made’. An example was provided where a manufacturer claimed a sports and nutritional supplement to be Australian made when the</w:t>
      </w:r>
    </w:p>
    <w:p w14:paraId="2E62742D" w14:textId="77777777" w:rsidR="00B21C93" w:rsidRPr="00267F53" w:rsidRDefault="00B21C93" w:rsidP="0047737B">
      <w:pPr>
        <w:pStyle w:val="mpcbullets1"/>
        <w:numPr>
          <w:ilvl w:val="0"/>
          <w:numId w:val="0"/>
        </w:numPr>
        <w:ind w:left="360"/>
        <w:rPr>
          <w:b/>
          <w:bCs/>
          <w:lang w:eastAsia="en-US"/>
        </w:rPr>
      </w:pPr>
      <w:r w:rsidRPr="00267F53">
        <w:rPr>
          <w:lang w:eastAsia="en-US"/>
        </w:rPr>
        <w:lastRenderedPageBreak/>
        <w:t xml:space="preserve">product comprised of 100% imported ingredients that are dry blended in Australia. Advice by the ACCC’s </w:t>
      </w:r>
      <w:hyperlink r:id="rId21" w:history="1">
        <w:r w:rsidRPr="00267F53">
          <w:rPr>
            <w:rStyle w:val="Hyperlink"/>
            <w:lang w:eastAsia="en-US"/>
          </w:rPr>
          <w:t>Country of Origin food labelling guidance</w:t>
        </w:r>
      </w:hyperlink>
      <w:r w:rsidRPr="00267F53">
        <w:rPr>
          <w:lang w:eastAsia="en-US"/>
        </w:rPr>
        <w:t xml:space="preserve"> specifies that products packaged in Australia using food from another country/countries should be labelled as ‘Packed in Australia with ingredients from…'. Manufacturers have highlighted the competitive advantage (particularly in the current global climate) gained by claiming a product to be ‘Australian Made’ and the unfair disadvantage to manufacturers that are labelling their products correctly.</w:t>
      </w:r>
    </w:p>
    <w:p w14:paraId="120FA8EF" w14:textId="77777777" w:rsidR="00B21C93" w:rsidRPr="00267F53" w:rsidRDefault="00B21C93" w:rsidP="00B21C93">
      <w:pPr>
        <w:pStyle w:val="ListParagraph"/>
        <w:rPr>
          <w:lang w:eastAsia="en-US"/>
        </w:rPr>
      </w:pPr>
    </w:p>
    <w:p w14:paraId="7DD09058" w14:textId="77777777" w:rsidR="00B21C93" w:rsidRPr="00267F53" w:rsidRDefault="00B21C93" w:rsidP="00B21C93">
      <w:pPr>
        <w:pStyle w:val="mpcbullets1"/>
        <w:rPr>
          <w:lang w:eastAsia="en-US"/>
        </w:rPr>
      </w:pPr>
      <w:r w:rsidRPr="00267F53">
        <w:rPr>
          <w:b/>
          <w:bCs/>
          <w:lang w:eastAsia="en-US"/>
        </w:rPr>
        <w:t xml:space="preserve">Container deposit schemes </w:t>
      </w:r>
      <w:r w:rsidRPr="00267F53">
        <w:rPr>
          <w:lang w:eastAsia="en-US"/>
        </w:rPr>
        <w:t>–</w:t>
      </w:r>
      <w:r w:rsidRPr="00267F53">
        <w:rPr>
          <w:b/>
          <w:bCs/>
          <w:lang w:eastAsia="en-US"/>
        </w:rPr>
        <w:t xml:space="preserve"> </w:t>
      </w:r>
      <w:r w:rsidRPr="00267F53">
        <w:rPr>
          <w:lang w:eastAsia="en-US"/>
        </w:rPr>
        <w:t>A number of Australian jurisdictions operate container deposit schemes, providing incentives to encourage recycling of used beverage containers. Some stakeholders highlighted that requirements to display certain information regarding container deposit schemes are not consistent across jurisdictions, particularly given there is not an operative scheme currently active in New Zealand (noting this is currently being developed).</w:t>
      </w:r>
    </w:p>
    <w:p w14:paraId="453E70A9" w14:textId="77777777" w:rsidR="00B21C93" w:rsidRPr="00267F53" w:rsidRDefault="00B21C93" w:rsidP="00B21C93">
      <w:pPr>
        <w:pStyle w:val="mpcbullets1"/>
        <w:numPr>
          <w:ilvl w:val="0"/>
          <w:numId w:val="0"/>
        </w:numPr>
        <w:rPr>
          <w:lang w:eastAsia="en-US"/>
        </w:rPr>
      </w:pPr>
    </w:p>
    <w:p w14:paraId="0774E46E" w14:textId="77777777" w:rsidR="00B21C93" w:rsidRPr="00267F53" w:rsidRDefault="00B21C93" w:rsidP="00B21C93">
      <w:pPr>
        <w:pStyle w:val="mpcbullets1"/>
        <w:rPr>
          <w:lang w:eastAsia="en-US"/>
        </w:rPr>
      </w:pPr>
      <w:r w:rsidRPr="00267F53">
        <w:rPr>
          <w:b/>
          <w:bCs/>
          <w:lang w:eastAsia="en-US"/>
        </w:rPr>
        <w:t>Trade measurement requirements</w:t>
      </w:r>
      <w:r w:rsidRPr="00267F53">
        <w:rPr>
          <w:lang w:eastAsia="en-US"/>
        </w:rPr>
        <w:t xml:space="preserve"> – Trade measurement requirements differ between Australia and New Zealand. In particular, the Australian </w:t>
      </w:r>
      <w:hyperlink r:id="rId22" w:history="1">
        <w:r w:rsidRPr="00267F53">
          <w:rPr>
            <w:rStyle w:val="Hyperlink"/>
            <w:i/>
            <w:iCs/>
            <w:lang w:eastAsia="en-US"/>
          </w:rPr>
          <w:t>National Trade Measurement Regulations 2009</w:t>
        </w:r>
      </w:hyperlink>
      <w:r w:rsidRPr="00267F53">
        <w:rPr>
          <w:lang w:eastAsia="en-US"/>
        </w:rPr>
        <w:t xml:space="preserve"> specifies that tomato sauce must be labelled in volume, whereas the New Zealand regulations do not have this requirement. It was suggested that Australia also has stricter requirements regarding trade measurement text and positioning on a label, creating trade complexities between jurisdictions.</w:t>
      </w:r>
    </w:p>
    <w:p w14:paraId="2A6C0C0E" w14:textId="77777777" w:rsidR="00B21C93" w:rsidRPr="00267F53" w:rsidRDefault="00B21C93" w:rsidP="00B21C93">
      <w:pPr>
        <w:pStyle w:val="TableofAuthorities"/>
        <w:ind w:left="0" w:firstLine="0"/>
        <w:rPr>
          <w:lang w:eastAsia="en-US"/>
        </w:rPr>
      </w:pPr>
    </w:p>
    <w:p w14:paraId="0E17427E" w14:textId="77777777" w:rsidR="00FB464A" w:rsidRPr="00267F53" w:rsidRDefault="00FB464A" w:rsidP="00FB464A">
      <w:pPr>
        <w:rPr>
          <w:lang w:eastAsia="en-US"/>
        </w:rPr>
      </w:pPr>
      <w:r w:rsidRPr="00267F53">
        <w:rPr>
          <w:lang w:eastAsia="en-US"/>
        </w:rPr>
        <w:t xml:space="preserve">While the above requirements are not implemented through food regulation, they impact on food labelling and are not viewed as separate by </w:t>
      </w:r>
      <w:r w:rsidR="00A835E0" w:rsidRPr="00267F53">
        <w:rPr>
          <w:lang w:eastAsia="en-US"/>
        </w:rPr>
        <w:t xml:space="preserve">a number of </w:t>
      </w:r>
      <w:r w:rsidRPr="00267F53">
        <w:rPr>
          <w:lang w:eastAsia="en-US"/>
        </w:rPr>
        <w:t xml:space="preserve">industry </w:t>
      </w:r>
      <w:r w:rsidR="00A835E0" w:rsidRPr="00267F53">
        <w:rPr>
          <w:lang w:eastAsia="en-US"/>
        </w:rPr>
        <w:t xml:space="preserve">and </w:t>
      </w:r>
      <w:r w:rsidRPr="00267F53">
        <w:rPr>
          <w:lang w:eastAsia="en-US"/>
        </w:rPr>
        <w:t>consumer</w:t>
      </w:r>
      <w:r w:rsidR="00A835E0" w:rsidRPr="00267F53">
        <w:rPr>
          <w:lang w:eastAsia="en-US"/>
        </w:rPr>
        <w:t xml:space="preserve"> stakeholder</w:t>
      </w:r>
      <w:r w:rsidRPr="00267F53">
        <w:rPr>
          <w:lang w:eastAsia="en-US"/>
        </w:rPr>
        <w:t>s.</w:t>
      </w:r>
    </w:p>
    <w:p w14:paraId="2D5E813D" w14:textId="77777777" w:rsidR="00FB464A" w:rsidRPr="00267F53" w:rsidRDefault="00FB464A" w:rsidP="00FB464A">
      <w:pPr>
        <w:rPr>
          <w:lang w:eastAsia="en-US"/>
        </w:rPr>
      </w:pPr>
    </w:p>
    <w:p w14:paraId="1D90D41C" w14:textId="77777777" w:rsidR="00B21C93" w:rsidRPr="00267F53" w:rsidRDefault="00B21C93" w:rsidP="00B21C93">
      <w:pPr>
        <w:pBdr>
          <w:top w:val="single" w:sz="4" w:space="1" w:color="auto"/>
          <w:left w:val="single" w:sz="4" w:space="4" w:color="auto"/>
          <w:bottom w:val="single" w:sz="4" w:space="1" w:color="auto"/>
          <w:right w:val="single" w:sz="4" w:space="4" w:color="auto"/>
        </w:pBdr>
        <w:autoSpaceDE w:val="0"/>
        <w:autoSpaceDN w:val="0"/>
        <w:adjustRightInd w:val="0"/>
        <w:rPr>
          <w:rFonts w:cstheme="minorHAnsi"/>
          <w:b/>
          <w:bCs/>
          <w:lang w:eastAsia="en-US"/>
        </w:rPr>
      </w:pPr>
      <w:r w:rsidRPr="00267F53">
        <w:rPr>
          <w:rFonts w:cstheme="minorHAnsi"/>
          <w:b/>
          <w:bCs/>
          <w:lang w:eastAsia="en-US"/>
        </w:rPr>
        <w:t>General level health claims</w:t>
      </w:r>
    </w:p>
    <w:p w14:paraId="5825EC92" w14:textId="77777777" w:rsidR="00B21C93" w:rsidRPr="00267F53" w:rsidRDefault="00B21C93" w:rsidP="00B21C93">
      <w:pPr>
        <w:autoSpaceDE w:val="0"/>
        <w:autoSpaceDN w:val="0"/>
        <w:adjustRightInd w:val="0"/>
        <w:rPr>
          <w:rFonts w:cstheme="minorHAnsi"/>
          <w:lang w:eastAsia="en-US"/>
        </w:rPr>
      </w:pPr>
    </w:p>
    <w:p w14:paraId="41F171EF" w14:textId="77777777" w:rsidR="00B21C93" w:rsidRPr="00267F53" w:rsidRDefault="00A835E0" w:rsidP="00B21C93">
      <w:pPr>
        <w:autoSpaceDE w:val="0"/>
        <w:autoSpaceDN w:val="0"/>
        <w:adjustRightInd w:val="0"/>
      </w:pPr>
      <w:r w:rsidRPr="00267F53">
        <w:rPr>
          <w:rFonts w:cstheme="minorHAnsi"/>
          <w:lang w:eastAsia="en-US"/>
        </w:rPr>
        <w:t>Many s</w:t>
      </w:r>
      <w:r w:rsidR="00B21C93" w:rsidRPr="00267F53">
        <w:rPr>
          <w:rFonts w:cstheme="minorHAnsi"/>
          <w:lang w:eastAsia="en-US"/>
        </w:rPr>
        <w:t xml:space="preserve">takeholders </w:t>
      </w:r>
      <w:r w:rsidR="000332EA" w:rsidRPr="00267F53">
        <w:rPr>
          <w:rFonts w:cstheme="minorHAnsi"/>
          <w:lang w:eastAsia="en-US"/>
        </w:rPr>
        <w:t xml:space="preserve">(across all stakeholder groups) </w:t>
      </w:r>
      <w:r w:rsidRPr="00267F53">
        <w:rPr>
          <w:rFonts w:cstheme="minorHAnsi"/>
          <w:lang w:eastAsia="en-US"/>
        </w:rPr>
        <w:t xml:space="preserve">commented on </w:t>
      </w:r>
      <w:r w:rsidR="00B21C93" w:rsidRPr="00267F53">
        <w:rPr>
          <w:rFonts w:cstheme="minorHAnsi"/>
          <w:lang w:eastAsia="en-US"/>
        </w:rPr>
        <w:t xml:space="preserve">the </w:t>
      </w:r>
      <w:r w:rsidR="00B21C93" w:rsidRPr="00267F53">
        <w:t>inconsistent monitoring and enforcement of the nutrition, health and related claims standard, particularly with regards to self</w:t>
      </w:r>
      <w:r w:rsidR="001E4DD4" w:rsidRPr="00267F53">
        <w:noBreakHyphen/>
      </w:r>
      <w:r w:rsidR="00B21C93" w:rsidRPr="00267F53">
        <w:t xml:space="preserve">substantiated health claims and the level of evidence required to demonstrate compliance. </w:t>
      </w:r>
    </w:p>
    <w:p w14:paraId="66ACAFF2" w14:textId="77777777" w:rsidR="00B21C93" w:rsidRPr="00267F53" w:rsidRDefault="00B21C93" w:rsidP="00B21C93">
      <w:pPr>
        <w:pStyle w:val="TableofAuthorities"/>
      </w:pPr>
    </w:p>
    <w:p w14:paraId="09E6B3C1" w14:textId="77777777" w:rsidR="00B21C93" w:rsidRPr="00267F53" w:rsidRDefault="00B21C93" w:rsidP="00B21C93">
      <w:pPr>
        <w:rPr>
          <w:rFonts w:cstheme="minorHAnsi"/>
          <w:lang w:eastAsia="en-US"/>
        </w:rPr>
      </w:pPr>
      <w:r w:rsidRPr="00267F53">
        <w:rPr>
          <w:rFonts w:cstheme="minorHAnsi"/>
          <w:lang w:eastAsia="en-US"/>
        </w:rPr>
        <w:t xml:space="preserve">The current approach to self-substantiated health claims requires the business using the health claim to certify that the food-health relationship has been established by systematic review in accordance with </w:t>
      </w:r>
      <w:hyperlink r:id="rId23" w:history="1">
        <w:r w:rsidRPr="00267F53">
          <w:rPr>
            <w:rStyle w:val="Hyperlink"/>
            <w:rFonts w:cstheme="minorHAnsi"/>
            <w:lang w:eastAsia="en-US"/>
          </w:rPr>
          <w:t>Standard 1.2.7 – Nutrition and related health claims</w:t>
        </w:r>
      </w:hyperlink>
      <w:r w:rsidRPr="00267F53">
        <w:rPr>
          <w:rFonts w:cstheme="minorHAnsi"/>
          <w:lang w:eastAsia="en-US"/>
        </w:rPr>
        <w:t xml:space="preserve"> and to notify FSANZ. While FSANZ administers the notification process, it does not assess compliance of the notified food</w:t>
      </w:r>
      <w:r w:rsidRPr="00267F53">
        <w:rPr>
          <w:rFonts w:cstheme="minorHAnsi"/>
          <w:lang w:eastAsia="en-US"/>
        </w:rPr>
        <w:noBreakHyphen/>
        <w:t>health relationships</w:t>
      </w:r>
      <w:r w:rsidR="00D442C4" w:rsidRPr="00267F53">
        <w:rPr>
          <w:rFonts w:cstheme="minorHAnsi"/>
          <w:lang w:eastAsia="en-US"/>
        </w:rPr>
        <w:t>, as this responsibility lies on the jurisdictions</w:t>
      </w:r>
      <w:r w:rsidRPr="00267F53">
        <w:rPr>
          <w:rFonts w:cstheme="minorHAnsi"/>
          <w:lang w:eastAsia="en-US"/>
        </w:rPr>
        <w:t>. FSANZ recommends that food businesses contact their local enforcement agency before notifying a self-substantiated food</w:t>
      </w:r>
      <w:r w:rsidR="00101538" w:rsidRPr="00267F53">
        <w:rPr>
          <w:rFonts w:cstheme="minorHAnsi"/>
          <w:lang w:eastAsia="en-US"/>
        </w:rPr>
        <w:noBreakHyphen/>
      </w:r>
      <w:r w:rsidRPr="00267F53">
        <w:rPr>
          <w:rFonts w:cstheme="minorHAnsi"/>
          <w:lang w:eastAsia="en-US"/>
        </w:rPr>
        <w:t>health relationship</w:t>
      </w:r>
      <w:r w:rsidR="00D442C4" w:rsidRPr="00267F53">
        <w:rPr>
          <w:rFonts w:cstheme="minorHAnsi"/>
          <w:lang w:eastAsia="en-US"/>
        </w:rPr>
        <w:t xml:space="preserve"> to ensure that the jurisdiction is aware of the business’s intentions, while avoiding unnecessary and inadequate notifications.</w:t>
      </w:r>
    </w:p>
    <w:p w14:paraId="728AA89C" w14:textId="77777777" w:rsidR="00B21C93" w:rsidRPr="00267F53" w:rsidRDefault="00B21C93" w:rsidP="00B21C93">
      <w:pPr>
        <w:pStyle w:val="TableofAuthorities"/>
        <w:rPr>
          <w:lang w:eastAsia="en-US"/>
        </w:rPr>
      </w:pPr>
    </w:p>
    <w:tbl>
      <w:tblPr>
        <w:tblStyle w:val="TableGrid"/>
        <w:tblW w:w="0" w:type="auto"/>
        <w:tblLook w:val="04A0" w:firstRow="1" w:lastRow="0" w:firstColumn="1" w:lastColumn="0" w:noHBand="0" w:noVBand="1"/>
      </w:tblPr>
      <w:tblGrid>
        <w:gridCol w:w="9736"/>
      </w:tblGrid>
      <w:tr w:rsidR="00B21C93" w:rsidRPr="00267F53" w14:paraId="71C67CF9" w14:textId="77777777" w:rsidTr="00A61EBB">
        <w:tc>
          <w:tcPr>
            <w:tcW w:w="9736" w:type="dxa"/>
            <w:shd w:val="clear" w:color="auto" w:fill="DEEAF6" w:themeFill="accent1" w:themeFillTint="33"/>
          </w:tcPr>
          <w:p w14:paraId="4C735D09" w14:textId="77777777" w:rsidR="00B21C93" w:rsidRPr="00267F53" w:rsidRDefault="00B21C93" w:rsidP="00A61EBB">
            <w:pPr>
              <w:autoSpaceDE w:val="0"/>
              <w:autoSpaceDN w:val="0"/>
              <w:adjustRightInd w:val="0"/>
              <w:rPr>
                <w:rFonts w:ascii="Calibri" w:hAnsi="Calibri" w:cs="Calibri"/>
                <w:b/>
                <w:bCs/>
                <w:sz w:val="24"/>
                <w:szCs w:val="24"/>
                <w:lang w:eastAsia="en-US"/>
              </w:rPr>
            </w:pPr>
            <w:r w:rsidRPr="00267F53">
              <w:rPr>
                <w:rFonts w:ascii="Calibri" w:hAnsi="Calibri" w:cs="Calibri"/>
                <w:b/>
                <w:bCs/>
                <w:sz w:val="24"/>
                <w:szCs w:val="24"/>
                <w:lang w:eastAsia="en-US"/>
              </w:rPr>
              <w:t>Case study – Verifying health claims</w:t>
            </w:r>
          </w:p>
          <w:p w14:paraId="00C4FF8F" w14:textId="77777777" w:rsidR="00B21C93" w:rsidRPr="00267F53" w:rsidRDefault="00B21C93" w:rsidP="00A61EBB">
            <w:pPr>
              <w:autoSpaceDE w:val="0"/>
              <w:autoSpaceDN w:val="0"/>
              <w:adjustRightInd w:val="0"/>
              <w:rPr>
                <w:rFonts w:ascii="Calibri" w:hAnsi="Calibri" w:cs="Calibri"/>
                <w:sz w:val="24"/>
                <w:szCs w:val="24"/>
                <w:lang w:eastAsia="en-US"/>
              </w:rPr>
            </w:pPr>
          </w:p>
          <w:p w14:paraId="208CC9E6" w14:textId="77777777" w:rsidR="00B21C93" w:rsidRPr="00267F53" w:rsidRDefault="00B21C93" w:rsidP="00A61EBB">
            <w:pPr>
              <w:autoSpaceDE w:val="0"/>
              <w:autoSpaceDN w:val="0"/>
              <w:adjustRightInd w:val="0"/>
              <w:rPr>
                <w:rFonts w:ascii="Calibri" w:hAnsi="Calibri" w:cs="Calibri"/>
                <w:sz w:val="24"/>
                <w:szCs w:val="24"/>
                <w:lang w:eastAsia="en-US"/>
              </w:rPr>
            </w:pPr>
            <w:r w:rsidRPr="00267F53">
              <w:rPr>
                <w:rFonts w:ascii="Calibri" w:hAnsi="Calibri" w:cs="Calibri"/>
                <w:sz w:val="24"/>
                <w:szCs w:val="24"/>
                <w:lang w:eastAsia="en-US"/>
              </w:rPr>
              <w:t>One organisation provided an independent review</w:t>
            </w:r>
            <w:r w:rsidR="00101538" w:rsidRPr="00267F53">
              <w:rPr>
                <w:rStyle w:val="FootnoteReference"/>
                <w:rFonts w:cs="Calibri"/>
                <w:szCs w:val="24"/>
                <w:lang w:eastAsia="en-US"/>
              </w:rPr>
              <w:footnoteReference w:id="1"/>
            </w:r>
            <w:r w:rsidRPr="00267F53">
              <w:rPr>
                <w:rFonts w:ascii="Calibri" w:hAnsi="Calibri" w:cs="Calibri"/>
                <w:sz w:val="24"/>
                <w:szCs w:val="24"/>
                <w:lang w:eastAsia="en-US"/>
              </w:rPr>
              <w:t xml:space="preserve"> undertaken of a number of specific health claims listed on the FSANZ </w:t>
            </w:r>
            <w:hyperlink r:id="rId24" w:history="1">
              <w:r w:rsidRPr="00267F53">
                <w:rPr>
                  <w:rStyle w:val="Hyperlink"/>
                  <w:rFonts w:ascii="Calibri" w:hAnsi="Calibri" w:cs="Calibri"/>
                  <w:sz w:val="24"/>
                  <w:szCs w:val="24"/>
                  <w:lang w:eastAsia="en-US"/>
                </w:rPr>
                <w:t>website</w:t>
              </w:r>
            </w:hyperlink>
            <w:r w:rsidRPr="00267F53">
              <w:rPr>
                <w:rFonts w:ascii="Calibri" w:hAnsi="Calibri" w:cs="Calibri"/>
                <w:sz w:val="24"/>
                <w:szCs w:val="24"/>
                <w:lang w:eastAsia="en-US"/>
              </w:rPr>
              <w:t xml:space="preserve"> in 2017 (for companies based in Australia only) and found the majority could not be substantiated by an independent assessment of the available evidence. The organisation lodged 27 complaints about 100 notified relationships and found that only one </w:t>
            </w:r>
            <w:r w:rsidRPr="00267F53">
              <w:rPr>
                <w:rFonts w:ascii="Calibri" w:hAnsi="Calibri" w:cs="Calibri"/>
                <w:sz w:val="24"/>
                <w:szCs w:val="24"/>
                <w:lang w:eastAsia="en-US"/>
              </w:rPr>
              <w:lastRenderedPageBreak/>
              <w:t xml:space="preserve">jurisdiction took action to remove these from the FSANZ website. The review found that the time taken to investigate such complaints is often lengthy (up to 20 months) and complainants often do not receive responses notifying if the complaint has been investigated. The review also found that different enforcement agencies reached different outcomes in relation to similar health claims. </w:t>
            </w:r>
          </w:p>
          <w:p w14:paraId="542A31D4" w14:textId="77777777" w:rsidR="00B21C93" w:rsidRPr="00267F53" w:rsidRDefault="00B21C93" w:rsidP="00A61EBB">
            <w:pPr>
              <w:rPr>
                <w:lang w:eastAsia="en-US"/>
              </w:rPr>
            </w:pPr>
          </w:p>
        </w:tc>
      </w:tr>
    </w:tbl>
    <w:p w14:paraId="66B554A4" w14:textId="77777777" w:rsidR="00B21C93" w:rsidRPr="00267F53" w:rsidRDefault="00B21C93" w:rsidP="00B21C93">
      <w:pPr>
        <w:rPr>
          <w:lang w:eastAsia="en-US"/>
        </w:rPr>
      </w:pPr>
    </w:p>
    <w:p w14:paraId="557CFEE7" w14:textId="77777777" w:rsidR="00B21C93" w:rsidRPr="00267F53" w:rsidRDefault="00B21C93" w:rsidP="00B21C93">
      <w:pPr>
        <w:autoSpaceDE w:val="0"/>
        <w:autoSpaceDN w:val="0"/>
        <w:adjustRightInd w:val="0"/>
        <w:rPr>
          <w:rFonts w:cstheme="minorHAnsi"/>
          <w:lang w:eastAsia="en-US"/>
        </w:rPr>
      </w:pPr>
      <w:r w:rsidRPr="00267F53">
        <w:rPr>
          <w:rFonts w:cstheme="minorHAnsi"/>
          <w:lang w:eastAsia="en-US"/>
        </w:rPr>
        <w:t>Stakeholders variously suggested that:</w:t>
      </w:r>
    </w:p>
    <w:p w14:paraId="374BD044" w14:textId="77777777" w:rsidR="00920085" w:rsidRPr="00267F53" w:rsidRDefault="00920085" w:rsidP="00B21C93">
      <w:pPr>
        <w:autoSpaceDE w:val="0"/>
        <w:autoSpaceDN w:val="0"/>
        <w:adjustRightInd w:val="0"/>
        <w:rPr>
          <w:rFonts w:cstheme="minorHAnsi"/>
          <w:lang w:eastAsia="en-US"/>
        </w:rPr>
      </w:pPr>
    </w:p>
    <w:p w14:paraId="72818D34" w14:textId="77777777" w:rsidR="00B21C93" w:rsidRPr="00267F53" w:rsidRDefault="00B21C93" w:rsidP="00B21C93">
      <w:pPr>
        <w:pStyle w:val="Bullet1"/>
      </w:pPr>
      <w:r w:rsidRPr="00267F53">
        <w:t xml:space="preserve">there is a lack of clarity and transparency in the process for monitoring and assessing compliance of health claims used by </w:t>
      </w:r>
      <w:r w:rsidR="00D442C4" w:rsidRPr="00267F53">
        <w:t xml:space="preserve">some </w:t>
      </w:r>
      <w:r w:rsidRPr="00267F53">
        <w:t>jurisdictions (referencing other public studies</w:t>
      </w:r>
      <w:r w:rsidRPr="00267F53">
        <w:rPr>
          <w:rStyle w:val="FootnoteReference"/>
          <w:rFonts w:cstheme="minorHAnsi"/>
        </w:rPr>
        <w:footnoteReference w:id="2"/>
      </w:r>
      <w:r w:rsidRPr="00267F53">
        <w:t xml:space="preserve">). </w:t>
      </w:r>
    </w:p>
    <w:p w14:paraId="6F12EF2F" w14:textId="77777777" w:rsidR="00B21C93" w:rsidRPr="00267F53" w:rsidRDefault="00B21C93" w:rsidP="00B21C93">
      <w:pPr>
        <w:pStyle w:val="Bullet1"/>
      </w:pPr>
      <w:r w:rsidRPr="00267F53">
        <w:t xml:space="preserve">jurisdictions have varying capacity and capability to monitor compliance and proactively investigate claims, with some </w:t>
      </w:r>
      <w:r w:rsidR="00D442C4" w:rsidRPr="00267F53">
        <w:t xml:space="preserve">evaluating every notified health claim that is made, others </w:t>
      </w:r>
      <w:r w:rsidRPr="00267F53">
        <w:t>relying on public complaint</w:t>
      </w:r>
      <w:r w:rsidR="00A835E0" w:rsidRPr="00267F53">
        <w:t>s</w:t>
      </w:r>
      <w:r w:rsidRPr="00267F53">
        <w:t xml:space="preserve"> being made before acting and others choosing not to act. The process used by each jurisdiction to assess the compliance of general health claims is also variable, as this can be complex and costly, requiring scientific rigour and expertise</w:t>
      </w:r>
    </w:p>
    <w:p w14:paraId="446EE279" w14:textId="77777777" w:rsidR="00B21C93" w:rsidRPr="00267F53" w:rsidRDefault="00D442C4" w:rsidP="00B21C93">
      <w:pPr>
        <w:pStyle w:val="Bullet1"/>
        <w:rPr>
          <w:rFonts w:cstheme="minorHAnsi"/>
        </w:rPr>
      </w:pPr>
      <w:r w:rsidRPr="00267F53">
        <w:rPr>
          <w:rFonts w:cstheme="minorHAnsi"/>
        </w:rPr>
        <w:t xml:space="preserve">Because claims do not need to be vetted prior to notification, </w:t>
      </w:r>
      <w:r w:rsidR="00B21C93" w:rsidRPr="00267F53">
        <w:rPr>
          <w:rFonts w:cstheme="minorHAnsi"/>
        </w:rPr>
        <w:t xml:space="preserve">the ability </w:t>
      </w:r>
      <w:r w:rsidR="00FB464A" w:rsidRPr="00267F53">
        <w:rPr>
          <w:rFonts w:cstheme="minorHAnsi"/>
        </w:rPr>
        <w:t>of</w:t>
      </w:r>
      <w:r w:rsidR="00B21C93" w:rsidRPr="00267F53">
        <w:rPr>
          <w:rFonts w:cstheme="minorHAnsi"/>
        </w:rPr>
        <w:t xml:space="preserve"> food businesses to bring unsubstantiated health claims to market can </w:t>
      </w:r>
      <w:r w:rsidR="00B21C93" w:rsidRPr="00267F53">
        <w:t>undermine confidence in</w:t>
      </w:r>
      <w:r w:rsidR="00B21C93" w:rsidRPr="00267F53">
        <w:rPr>
          <w:rFonts w:cstheme="minorHAnsi"/>
        </w:rPr>
        <w:t xml:space="preserve"> the food system, create an uneven playing field for industry (</w:t>
      </w:r>
      <w:r w:rsidR="00B21C93" w:rsidRPr="00267F53">
        <w:t xml:space="preserve">providing an unfair advantage to food businesses making inappropriate claims in jurisdictions that do not as actively monitor and enforce the requirements) </w:t>
      </w:r>
      <w:r w:rsidR="00B21C93" w:rsidRPr="00267F53">
        <w:rPr>
          <w:rFonts w:cstheme="minorHAnsi"/>
        </w:rPr>
        <w:t>and impact on informed choice for consumers</w:t>
      </w:r>
    </w:p>
    <w:p w14:paraId="6CF3144C" w14:textId="77777777" w:rsidR="00B21C93" w:rsidRPr="00267F53" w:rsidRDefault="00B21C93" w:rsidP="00B21C93">
      <w:pPr>
        <w:pStyle w:val="Bullet1"/>
      </w:pPr>
      <w:r w:rsidRPr="00267F53">
        <w:t>in jurisdictions where health claims are more proactively monitored and assessed for compliance, it can be challenging for regulators to enforce compliance. For example, where a business is asked to remove a health claim that has been found to be unsubstantiated, the business may challenge this on the basis that it has been allowed in other jurisdictions and other companies may display similar claims in those jurisdictions.</w:t>
      </w:r>
    </w:p>
    <w:p w14:paraId="445E875E" w14:textId="77777777" w:rsidR="00B21C93" w:rsidRPr="00267F53" w:rsidRDefault="00B21C93" w:rsidP="00B21C93">
      <w:pPr>
        <w:autoSpaceDE w:val="0"/>
        <w:autoSpaceDN w:val="0"/>
        <w:adjustRightInd w:val="0"/>
        <w:rPr>
          <w:rFonts w:cstheme="minorHAnsi"/>
          <w:lang w:eastAsia="en-US"/>
        </w:rPr>
      </w:pPr>
    </w:p>
    <w:p w14:paraId="797C0061" w14:textId="77777777" w:rsidR="00B21C93" w:rsidRPr="00267F53" w:rsidRDefault="00B21C93" w:rsidP="00B21C93">
      <w:pPr>
        <w:autoSpaceDE w:val="0"/>
        <w:autoSpaceDN w:val="0"/>
        <w:adjustRightInd w:val="0"/>
        <w:rPr>
          <w:rFonts w:cstheme="minorHAnsi"/>
          <w:lang w:eastAsia="en-US"/>
        </w:rPr>
      </w:pPr>
      <w:r w:rsidRPr="00267F53">
        <w:rPr>
          <w:rFonts w:cstheme="minorHAnsi"/>
          <w:lang w:eastAsia="en-US"/>
        </w:rPr>
        <w:t>While a number of stakeholders expressed their concern regarding this matter, others highlighted that given the majority of foods carry a low risk to public health, the implementation of more rigorous measures to ensure consistency and compliance across health-related claims would increase regulatory burden for food businesses and government alike ‘that is non-commensurate with risk’. Stakeholders noted this may disadvantage small businesses who are unable to resource the implementation of additional compliance measures and is ‘at odds’ with the Australian Government’s Deregulation Taskforce and the Modern Manufacturing Strategy, which are committed to reducing red tape, removing unnecessary regulation and reducing business compliance costs.</w:t>
      </w:r>
    </w:p>
    <w:p w14:paraId="25278446" w14:textId="77777777" w:rsidR="007C44B1" w:rsidRPr="00267F53" w:rsidRDefault="007C44B1" w:rsidP="00155C80">
      <w:pPr>
        <w:autoSpaceDE w:val="0"/>
        <w:autoSpaceDN w:val="0"/>
        <w:adjustRightInd w:val="0"/>
        <w:rPr>
          <w:rFonts w:cstheme="minorHAnsi"/>
          <w:lang w:eastAsia="en-US"/>
        </w:rPr>
      </w:pPr>
    </w:p>
    <w:p w14:paraId="780A2ECB" w14:textId="77777777" w:rsidR="007C44B1" w:rsidRPr="00267F53" w:rsidRDefault="006B7C4C" w:rsidP="00B21C93">
      <w:pPr>
        <w:pBdr>
          <w:top w:val="single" w:sz="4" w:space="1" w:color="auto"/>
          <w:left w:val="single" w:sz="4" w:space="4" w:color="auto"/>
          <w:bottom w:val="single" w:sz="4" w:space="1" w:color="auto"/>
          <w:right w:val="single" w:sz="4" w:space="4" w:color="auto"/>
        </w:pBdr>
        <w:autoSpaceDE w:val="0"/>
        <w:autoSpaceDN w:val="0"/>
        <w:adjustRightInd w:val="0"/>
        <w:rPr>
          <w:rFonts w:cstheme="minorHAnsi"/>
          <w:b/>
          <w:bCs/>
          <w:lang w:eastAsia="en-US"/>
        </w:rPr>
      </w:pPr>
      <w:r w:rsidRPr="00267F53">
        <w:rPr>
          <w:rFonts w:cstheme="minorHAnsi"/>
          <w:b/>
          <w:bCs/>
          <w:lang w:eastAsia="en-US"/>
        </w:rPr>
        <w:t>Nutrition claims (specifically ‘</w:t>
      </w:r>
      <w:r w:rsidR="007C44B1" w:rsidRPr="00267F53">
        <w:rPr>
          <w:rFonts w:cstheme="minorHAnsi"/>
          <w:b/>
          <w:bCs/>
          <w:lang w:eastAsia="en-US"/>
        </w:rPr>
        <w:t>Free</w:t>
      </w:r>
      <w:r w:rsidRPr="00267F53">
        <w:rPr>
          <w:rFonts w:cstheme="minorHAnsi"/>
          <w:b/>
          <w:bCs/>
          <w:lang w:eastAsia="en-US"/>
        </w:rPr>
        <w:t>’</w:t>
      </w:r>
      <w:r w:rsidR="007C44B1" w:rsidRPr="00267F53">
        <w:rPr>
          <w:rFonts w:cstheme="minorHAnsi"/>
          <w:b/>
          <w:bCs/>
          <w:lang w:eastAsia="en-US"/>
        </w:rPr>
        <w:t xml:space="preserve"> claims</w:t>
      </w:r>
      <w:r w:rsidRPr="00267F53">
        <w:rPr>
          <w:rFonts w:cstheme="minorHAnsi"/>
          <w:b/>
          <w:bCs/>
          <w:lang w:eastAsia="en-US"/>
        </w:rPr>
        <w:t>)</w:t>
      </w:r>
      <w:r w:rsidR="007C44B1" w:rsidRPr="00267F53">
        <w:rPr>
          <w:rFonts w:cstheme="minorHAnsi"/>
          <w:b/>
          <w:bCs/>
          <w:lang w:eastAsia="en-US"/>
        </w:rPr>
        <w:t xml:space="preserve"> </w:t>
      </w:r>
    </w:p>
    <w:p w14:paraId="39B218E2" w14:textId="77777777" w:rsidR="007C44B1" w:rsidRPr="00267F53" w:rsidRDefault="007C44B1" w:rsidP="00155C80">
      <w:pPr>
        <w:autoSpaceDE w:val="0"/>
        <w:autoSpaceDN w:val="0"/>
        <w:adjustRightInd w:val="0"/>
        <w:rPr>
          <w:rFonts w:cstheme="minorHAnsi"/>
          <w:lang w:eastAsia="en-US"/>
        </w:rPr>
      </w:pPr>
    </w:p>
    <w:p w14:paraId="007168C0" w14:textId="77777777" w:rsidR="000112F0" w:rsidRPr="00267F53" w:rsidRDefault="00155C80" w:rsidP="00706225">
      <w:pPr>
        <w:autoSpaceDE w:val="0"/>
        <w:autoSpaceDN w:val="0"/>
        <w:adjustRightInd w:val="0"/>
        <w:rPr>
          <w:lang w:eastAsia="en-US"/>
        </w:rPr>
      </w:pPr>
      <w:r w:rsidRPr="00267F53">
        <w:rPr>
          <w:rFonts w:cstheme="minorHAnsi"/>
          <w:lang w:eastAsia="en-US"/>
        </w:rPr>
        <w:t>‘Free’ claims can be made about the absence of a substance in a food or beverage. These claims are regulated by both FSANZ (through the Code)</w:t>
      </w:r>
      <w:r w:rsidR="00002C6D" w:rsidRPr="00267F53">
        <w:rPr>
          <w:rFonts w:cstheme="minorHAnsi"/>
          <w:lang w:eastAsia="en-US"/>
        </w:rPr>
        <w:t xml:space="preserve">, </w:t>
      </w:r>
      <w:r w:rsidRPr="00267F53">
        <w:rPr>
          <w:rFonts w:cstheme="minorHAnsi"/>
          <w:lang w:eastAsia="en-US"/>
        </w:rPr>
        <w:t xml:space="preserve">the </w:t>
      </w:r>
      <w:r w:rsidR="001E4DD4" w:rsidRPr="00267F53">
        <w:rPr>
          <w:rFonts w:cstheme="minorHAnsi"/>
          <w:lang w:eastAsia="en-US"/>
        </w:rPr>
        <w:t xml:space="preserve">ACCC </w:t>
      </w:r>
      <w:r w:rsidRPr="00267F53">
        <w:rPr>
          <w:rFonts w:cstheme="minorHAnsi"/>
          <w:lang w:eastAsia="en-US"/>
        </w:rPr>
        <w:t>in Australia</w:t>
      </w:r>
      <w:r w:rsidR="00002C6D" w:rsidRPr="00267F53">
        <w:rPr>
          <w:rFonts w:cstheme="minorHAnsi"/>
          <w:lang w:eastAsia="en-US"/>
        </w:rPr>
        <w:t xml:space="preserve"> and the CC in New Zealand</w:t>
      </w:r>
      <w:r w:rsidRPr="00267F53">
        <w:rPr>
          <w:rFonts w:cstheme="minorHAnsi"/>
          <w:lang w:eastAsia="en-US"/>
        </w:rPr>
        <w:t xml:space="preserve">. </w:t>
      </w:r>
      <w:r w:rsidR="000112F0" w:rsidRPr="00267F53">
        <w:rPr>
          <w:rFonts w:cstheme="minorHAnsi"/>
          <w:lang w:eastAsia="en-US"/>
        </w:rPr>
        <w:t xml:space="preserve">The </w:t>
      </w:r>
      <w:hyperlink r:id="rId25" w:history="1">
        <w:r w:rsidR="000112F0" w:rsidRPr="00267F53">
          <w:rPr>
            <w:rStyle w:val="Hyperlink"/>
            <w:rFonts w:cstheme="minorHAnsi"/>
            <w:lang w:eastAsia="en-US"/>
          </w:rPr>
          <w:t>Codex Alimentarius</w:t>
        </w:r>
      </w:hyperlink>
      <w:r w:rsidR="000112F0" w:rsidRPr="00267F53">
        <w:rPr>
          <w:rFonts w:cstheme="minorHAnsi"/>
          <w:lang w:eastAsia="en-US"/>
        </w:rPr>
        <w:t xml:space="preserve"> also provides guidance on ‘free’ claims, which is adopted within many </w:t>
      </w:r>
      <w:r w:rsidR="000112F0" w:rsidRPr="00267F53">
        <w:rPr>
          <w:rFonts w:cstheme="minorHAnsi"/>
          <w:lang w:eastAsia="en-US"/>
        </w:rPr>
        <w:lastRenderedPageBreak/>
        <w:t>international food systems.</w:t>
      </w:r>
      <w:r w:rsidR="007C44B1" w:rsidRPr="00267F53">
        <w:rPr>
          <w:rFonts w:cstheme="minorHAnsi"/>
          <w:lang w:eastAsia="en-US"/>
        </w:rPr>
        <w:t xml:space="preserve"> </w:t>
      </w:r>
      <w:r w:rsidRPr="00267F53">
        <w:rPr>
          <w:rFonts w:cstheme="minorHAnsi"/>
          <w:lang w:eastAsia="en-US"/>
        </w:rPr>
        <w:t xml:space="preserve">The Code permits ‘free’ claims when a component is not detectable, whereas the ACCC </w:t>
      </w:r>
      <w:r w:rsidR="00002C6D" w:rsidRPr="00267F53">
        <w:rPr>
          <w:rFonts w:cstheme="minorHAnsi"/>
          <w:lang w:eastAsia="en-US"/>
        </w:rPr>
        <w:t>and the CC require</w:t>
      </w:r>
      <w:r w:rsidRPr="00267F53">
        <w:rPr>
          <w:rFonts w:cstheme="minorHAnsi"/>
          <w:lang w:eastAsia="en-US"/>
        </w:rPr>
        <w:t xml:space="preserve"> that the absence of the substance must be absolute. </w:t>
      </w:r>
      <w:r w:rsidR="00002C6D" w:rsidRPr="00267F53">
        <w:rPr>
          <w:rFonts w:cstheme="minorHAnsi"/>
          <w:lang w:eastAsia="en-US"/>
        </w:rPr>
        <w:t xml:space="preserve">This results in limitations to what claims can reasonably be made by companies. </w:t>
      </w:r>
      <w:r w:rsidR="00706225" w:rsidRPr="00267F53">
        <w:rPr>
          <w:rFonts w:cstheme="minorHAnsi"/>
          <w:lang w:eastAsia="en-US"/>
        </w:rPr>
        <w:t xml:space="preserve">Some examples of this inconsistency </w:t>
      </w:r>
      <w:r w:rsidR="00A835E0" w:rsidRPr="00267F53">
        <w:rPr>
          <w:rFonts w:cstheme="minorHAnsi"/>
          <w:lang w:eastAsia="en-US"/>
        </w:rPr>
        <w:t xml:space="preserve">that were raised by </w:t>
      </w:r>
      <w:r w:rsidR="000332EA" w:rsidRPr="00267F53">
        <w:rPr>
          <w:rFonts w:cstheme="minorHAnsi"/>
          <w:lang w:eastAsia="en-US"/>
        </w:rPr>
        <w:t xml:space="preserve">some industry and public health </w:t>
      </w:r>
      <w:r w:rsidR="00A835E0" w:rsidRPr="00267F53">
        <w:rPr>
          <w:rFonts w:cstheme="minorHAnsi"/>
          <w:lang w:eastAsia="en-US"/>
        </w:rPr>
        <w:t xml:space="preserve">stakeholders </w:t>
      </w:r>
      <w:r w:rsidR="00706225" w:rsidRPr="00267F53">
        <w:rPr>
          <w:rFonts w:cstheme="minorHAnsi"/>
          <w:lang w:eastAsia="en-US"/>
        </w:rPr>
        <w:t>include:</w:t>
      </w:r>
    </w:p>
    <w:p w14:paraId="19CC4EA4" w14:textId="77777777" w:rsidR="007C44B1" w:rsidRPr="00267F53" w:rsidRDefault="007C44B1" w:rsidP="000112F0">
      <w:pPr>
        <w:autoSpaceDE w:val="0"/>
        <w:autoSpaceDN w:val="0"/>
        <w:adjustRightInd w:val="0"/>
        <w:rPr>
          <w:rFonts w:cstheme="minorHAnsi"/>
          <w:lang w:eastAsia="en-US"/>
        </w:rPr>
      </w:pPr>
    </w:p>
    <w:p w14:paraId="4DF1A898" w14:textId="77777777" w:rsidR="000112F0" w:rsidRPr="00267F53" w:rsidRDefault="00706225" w:rsidP="003F371D">
      <w:pPr>
        <w:pStyle w:val="mpcbullets1"/>
        <w:rPr>
          <w:lang w:eastAsia="en-US"/>
        </w:rPr>
      </w:pPr>
      <w:r w:rsidRPr="00267F53">
        <w:rPr>
          <w:b/>
          <w:bCs/>
          <w:lang w:eastAsia="en-US"/>
        </w:rPr>
        <w:t>‘</w:t>
      </w:r>
      <w:r w:rsidR="000112F0" w:rsidRPr="00267F53">
        <w:rPr>
          <w:b/>
          <w:bCs/>
          <w:lang w:eastAsia="en-US"/>
        </w:rPr>
        <w:t>Sugar free</w:t>
      </w:r>
      <w:r w:rsidRPr="00267F53">
        <w:rPr>
          <w:b/>
          <w:bCs/>
          <w:lang w:eastAsia="en-US"/>
        </w:rPr>
        <w:t>’</w:t>
      </w:r>
      <w:r w:rsidR="000112F0" w:rsidRPr="00267F53">
        <w:rPr>
          <w:b/>
          <w:bCs/>
          <w:lang w:eastAsia="en-US"/>
        </w:rPr>
        <w:t xml:space="preserve"> claims </w:t>
      </w:r>
      <w:r w:rsidR="000112F0" w:rsidRPr="00267F53">
        <w:rPr>
          <w:lang w:eastAsia="en-US"/>
        </w:rPr>
        <w:t xml:space="preserve">– </w:t>
      </w:r>
      <w:r w:rsidR="00A835E0" w:rsidRPr="00267F53">
        <w:rPr>
          <w:lang w:eastAsia="en-US"/>
        </w:rPr>
        <w:t>It was noted that t</w:t>
      </w:r>
      <w:r w:rsidR="000112F0" w:rsidRPr="00267F53">
        <w:rPr>
          <w:lang w:eastAsia="en-US"/>
        </w:rPr>
        <w:t xml:space="preserve">he ACCC </w:t>
      </w:r>
      <w:r w:rsidR="00002C6D" w:rsidRPr="00267F53">
        <w:rPr>
          <w:lang w:eastAsia="en-US"/>
        </w:rPr>
        <w:t>and CC are</w:t>
      </w:r>
      <w:r w:rsidR="000112F0" w:rsidRPr="00267F53">
        <w:rPr>
          <w:lang w:eastAsia="en-US"/>
        </w:rPr>
        <w:t xml:space="preserve"> not aligned with the Codex Alimentarius (EU Directive or US FDA which permit variations on Codex) which allows </w:t>
      </w:r>
      <w:r w:rsidRPr="00267F53">
        <w:rPr>
          <w:lang w:eastAsia="en-US"/>
        </w:rPr>
        <w:t>‘</w:t>
      </w:r>
      <w:r w:rsidR="000112F0" w:rsidRPr="00267F53">
        <w:rPr>
          <w:lang w:eastAsia="en-US"/>
        </w:rPr>
        <w:t>sugar free</w:t>
      </w:r>
      <w:r w:rsidRPr="00267F53">
        <w:rPr>
          <w:lang w:eastAsia="en-US"/>
        </w:rPr>
        <w:t>’</w:t>
      </w:r>
      <w:r w:rsidR="000112F0" w:rsidRPr="00267F53">
        <w:rPr>
          <w:lang w:eastAsia="en-US"/>
        </w:rPr>
        <w:t xml:space="preserve"> claims on products with less than 0.5 mg/kg of sugars.</w:t>
      </w:r>
      <w:r w:rsidRPr="00267F53">
        <w:rPr>
          <w:lang w:eastAsia="en-US"/>
        </w:rPr>
        <w:t xml:space="preserve"> </w:t>
      </w:r>
      <w:r w:rsidR="002B4938" w:rsidRPr="00267F53">
        <w:rPr>
          <w:lang w:eastAsia="en-US"/>
        </w:rPr>
        <w:t>A number of i</w:t>
      </w:r>
      <w:r w:rsidRPr="00267F53">
        <w:rPr>
          <w:lang w:eastAsia="en-US"/>
        </w:rPr>
        <w:t xml:space="preserve">ndustry </w:t>
      </w:r>
      <w:r w:rsidR="002B4938" w:rsidRPr="00267F53">
        <w:rPr>
          <w:lang w:eastAsia="en-US"/>
        </w:rPr>
        <w:t xml:space="preserve">stakeholders </w:t>
      </w:r>
      <w:r w:rsidRPr="00267F53">
        <w:rPr>
          <w:lang w:eastAsia="en-US"/>
        </w:rPr>
        <w:t>noted that this limits the ability to innovate and reformulate to provide low and no sugar options where these options have ‘</w:t>
      </w:r>
      <w:r w:rsidRPr="00267F53">
        <w:rPr>
          <w:rFonts w:cstheme="minorHAnsi"/>
          <w:lang w:eastAsia="en-US"/>
        </w:rPr>
        <w:t>minute, trace levels of sugar with no physiological impact’.</w:t>
      </w:r>
      <w:r w:rsidR="002B4938" w:rsidRPr="00267F53">
        <w:rPr>
          <w:rFonts w:cstheme="minorHAnsi"/>
          <w:lang w:eastAsia="en-US"/>
        </w:rPr>
        <w:t xml:space="preserve"> It was noted that t</w:t>
      </w:r>
      <w:r w:rsidRPr="00267F53">
        <w:rPr>
          <w:rFonts w:cstheme="minorHAnsi"/>
          <w:lang w:eastAsia="en-US"/>
        </w:rPr>
        <w:t>he ACCC</w:t>
      </w:r>
      <w:r w:rsidR="00002C6D" w:rsidRPr="00267F53">
        <w:rPr>
          <w:rFonts w:cstheme="minorHAnsi"/>
          <w:lang w:eastAsia="en-US"/>
        </w:rPr>
        <w:t xml:space="preserve"> and CC</w:t>
      </w:r>
      <w:r w:rsidRPr="00267F53">
        <w:rPr>
          <w:rFonts w:cstheme="minorHAnsi"/>
          <w:lang w:eastAsia="en-US"/>
        </w:rPr>
        <w:t>’s approach prevents such products from being labelled as ‘sugar free’, whereas in other markets (such as the USA) these trace amounts would fall within the tolerance threshold, thus permitting the ‘sugar free’ claim.</w:t>
      </w:r>
    </w:p>
    <w:p w14:paraId="4ADDAB58" w14:textId="77777777" w:rsidR="00706225" w:rsidRPr="00267F53" w:rsidRDefault="00706225" w:rsidP="00706225">
      <w:pPr>
        <w:pStyle w:val="mpcbullets1"/>
        <w:numPr>
          <w:ilvl w:val="0"/>
          <w:numId w:val="0"/>
        </w:numPr>
        <w:ind w:left="360" w:hanging="360"/>
        <w:rPr>
          <w:lang w:eastAsia="en-US"/>
        </w:rPr>
      </w:pPr>
    </w:p>
    <w:p w14:paraId="35032224" w14:textId="77777777" w:rsidR="000112F0" w:rsidRPr="00267F53" w:rsidRDefault="00706225" w:rsidP="000112F0">
      <w:pPr>
        <w:pStyle w:val="mpcbullets1"/>
        <w:rPr>
          <w:lang w:eastAsia="en-US"/>
        </w:rPr>
      </w:pPr>
      <w:r w:rsidRPr="00267F53">
        <w:rPr>
          <w:b/>
          <w:bCs/>
          <w:lang w:eastAsia="en-US"/>
        </w:rPr>
        <w:t>‘</w:t>
      </w:r>
      <w:r w:rsidR="000112F0" w:rsidRPr="00267F53">
        <w:rPr>
          <w:b/>
          <w:bCs/>
          <w:lang w:eastAsia="en-US"/>
        </w:rPr>
        <w:t>Fat free</w:t>
      </w:r>
      <w:r w:rsidRPr="00267F53">
        <w:rPr>
          <w:b/>
          <w:bCs/>
          <w:lang w:eastAsia="en-US"/>
        </w:rPr>
        <w:t>’</w:t>
      </w:r>
      <w:r w:rsidR="000112F0" w:rsidRPr="00267F53">
        <w:rPr>
          <w:b/>
          <w:bCs/>
          <w:lang w:eastAsia="en-US"/>
        </w:rPr>
        <w:t xml:space="preserve"> claims</w:t>
      </w:r>
      <w:r w:rsidR="000112F0" w:rsidRPr="00267F53">
        <w:rPr>
          <w:lang w:eastAsia="en-US"/>
        </w:rPr>
        <w:t xml:space="preserve"> – </w:t>
      </w:r>
      <w:r w:rsidR="00BA61CA" w:rsidRPr="00267F53">
        <w:rPr>
          <w:lang w:eastAsia="en-US"/>
        </w:rPr>
        <w:t xml:space="preserve">Stakeholders advised that </w:t>
      </w:r>
      <w:r w:rsidR="000112F0" w:rsidRPr="00267F53">
        <w:rPr>
          <w:lang w:eastAsia="en-US"/>
        </w:rPr>
        <w:t xml:space="preserve">ACCC </w:t>
      </w:r>
      <w:r w:rsidR="00002C6D" w:rsidRPr="00267F53">
        <w:rPr>
          <w:lang w:eastAsia="en-US"/>
        </w:rPr>
        <w:t>and CC are</w:t>
      </w:r>
      <w:r w:rsidR="000112F0" w:rsidRPr="00267F53">
        <w:rPr>
          <w:lang w:eastAsia="en-US"/>
        </w:rPr>
        <w:t xml:space="preserve"> not aligned with the Codex Alimentarius which allows </w:t>
      </w:r>
      <w:r w:rsidRPr="00267F53">
        <w:rPr>
          <w:lang w:eastAsia="en-US"/>
        </w:rPr>
        <w:t>‘</w:t>
      </w:r>
      <w:r w:rsidR="000112F0" w:rsidRPr="00267F53">
        <w:rPr>
          <w:lang w:eastAsia="en-US"/>
        </w:rPr>
        <w:t>fat free</w:t>
      </w:r>
      <w:r w:rsidRPr="00267F53">
        <w:rPr>
          <w:lang w:eastAsia="en-US"/>
        </w:rPr>
        <w:t>’</w:t>
      </w:r>
      <w:r w:rsidR="000112F0" w:rsidRPr="00267F53">
        <w:rPr>
          <w:lang w:eastAsia="en-US"/>
        </w:rPr>
        <w:t xml:space="preserve"> claims on products with less than 0.5 mg/kg of fats.</w:t>
      </w:r>
    </w:p>
    <w:p w14:paraId="54418A61" w14:textId="77777777" w:rsidR="00706225" w:rsidRPr="00267F53" w:rsidRDefault="00706225" w:rsidP="00706225">
      <w:pPr>
        <w:pStyle w:val="mpcbullets1"/>
        <w:numPr>
          <w:ilvl w:val="0"/>
          <w:numId w:val="0"/>
        </w:numPr>
        <w:rPr>
          <w:lang w:eastAsia="en-US"/>
        </w:rPr>
      </w:pPr>
    </w:p>
    <w:p w14:paraId="71669A21" w14:textId="77777777" w:rsidR="00B21C93" w:rsidRPr="00267F53" w:rsidRDefault="00706225" w:rsidP="00EA2E39">
      <w:pPr>
        <w:pStyle w:val="mpcbullets1"/>
        <w:rPr>
          <w:lang w:eastAsia="en-US"/>
        </w:rPr>
      </w:pPr>
      <w:r w:rsidRPr="00267F53">
        <w:rPr>
          <w:b/>
          <w:bCs/>
          <w:lang w:eastAsia="en-US"/>
        </w:rPr>
        <w:t>‘</w:t>
      </w:r>
      <w:r w:rsidR="000112F0" w:rsidRPr="00267F53">
        <w:rPr>
          <w:b/>
          <w:bCs/>
          <w:lang w:eastAsia="en-US"/>
        </w:rPr>
        <w:t>Gluten free</w:t>
      </w:r>
      <w:r w:rsidRPr="00267F53">
        <w:rPr>
          <w:b/>
          <w:bCs/>
          <w:lang w:eastAsia="en-US"/>
        </w:rPr>
        <w:t>’</w:t>
      </w:r>
      <w:r w:rsidR="000112F0" w:rsidRPr="00267F53">
        <w:rPr>
          <w:b/>
          <w:bCs/>
          <w:lang w:eastAsia="en-US"/>
        </w:rPr>
        <w:t xml:space="preserve"> claims </w:t>
      </w:r>
      <w:r w:rsidR="000112F0" w:rsidRPr="00267F53">
        <w:rPr>
          <w:lang w:eastAsia="en-US"/>
        </w:rPr>
        <w:t>–</w:t>
      </w:r>
      <w:r w:rsidR="00B21C93" w:rsidRPr="00267F53">
        <w:rPr>
          <w:lang w:eastAsia="en-US"/>
        </w:rPr>
        <w:t xml:space="preserve"> Two main issues were raised in relation to gluten free claims</w:t>
      </w:r>
      <w:r w:rsidR="00A61EBB" w:rsidRPr="00267F53">
        <w:rPr>
          <w:lang w:eastAsia="en-US"/>
        </w:rPr>
        <w:t>:</w:t>
      </w:r>
    </w:p>
    <w:p w14:paraId="0833DD9A" w14:textId="77777777" w:rsidR="00B21C93" w:rsidRPr="00267F53" w:rsidRDefault="00BA61CA" w:rsidP="00740067">
      <w:pPr>
        <w:pStyle w:val="Bullets2"/>
      </w:pPr>
      <w:r w:rsidRPr="00267F53">
        <w:t>S</w:t>
      </w:r>
      <w:r w:rsidR="00A61EBB" w:rsidRPr="00267F53">
        <w:t>ome s</w:t>
      </w:r>
      <w:r w:rsidRPr="00267F53">
        <w:t xml:space="preserve">takeholders </w:t>
      </w:r>
      <w:r w:rsidR="00B21C93" w:rsidRPr="00267F53">
        <w:t>suggested that</w:t>
      </w:r>
      <w:r w:rsidR="00155C80" w:rsidRPr="00267F53">
        <w:t xml:space="preserve"> </w:t>
      </w:r>
      <w:r w:rsidR="000112F0" w:rsidRPr="00267F53">
        <w:t>the Code</w:t>
      </w:r>
      <w:r w:rsidR="00002C6D" w:rsidRPr="00267F53">
        <w:t xml:space="preserve">, </w:t>
      </w:r>
      <w:r w:rsidR="00155C80" w:rsidRPr="00267F53">
        <w:t xml:space="preserve">the ACCC </w:t>
      </w:r>
      <w:r w:rsidR="00002C6D" w:rsidRPr="00267F53">
        <w:t xml:space="preserve">and the CC </w:t>
      </w:r>
      <w:r w:rsidR="00155C80" w:rsidRPr="00267F53">
        <w:t xml:space="preserve">are </w:t>
      </w:r>
      <w:r w:rsidR="007C44B1" w:rsidRPr="00267F53">
        <w:t xml:space="preserve">not aligned </w:t>
      </w:r>
      <w:r w:rsidR="00155C80" w:rsidRPr="00267F53">
        <w:t xml:space="preserve">with the Codex Alimentarius which allows </w:t>
      </w:r>
      <w:r w:rsidR="00706225" w:rsidRPr="00267F53">
        <w:t>‘</w:t>
      </w:r>
      <w:r w:rsidR="00155C80" w:rsidRPr="00267F53">
        <w:t>gluten free</w:t>
      </w:r>
      <w:r w:rsidR="00706225" w:rsidRPr="00267F53">
        <w:t>’</w:t>
      </w:r>
      <w:r w:rsidR="00155C80" w:rsidRPr="00267F53">
        <w:t xml:space="preserve"> claims on products with less that 20mg/kg of gluten. </w:t>
      </w:r>
      <w:r w:rsidR="00706225" w:rsidRPr="00267F53">
        <w:t>Applications were made</w:t>
      </w:r>
      <w:r w:rsidR="000112F0" w:rsidRPr="00267F53">
        <w:t xml:space="preserve"> to FSANZ in 2016 and 2019 to amend the Code to permit </w:t>
      </w:r>
      <w:r w:rsidR="00706225" w:rsidRPr="00267F53">
        <w:t>‘</w:t>
      </w:r>
      <w:r w:rsidR="000112F0" w:rsidRPr="00267F53">
        <w:t>gluten free</w:t>
      </w:r>
      <w:r w:rsidR="00706225" w:rsidRPr="00267F53">
        <w:t>’</w:t>
      </w:r>
      <w:r w:rsidR="000112F0" w:rsidRPr="00267F53">
        <w:t xml:space="preserve"> claims </w:t>
      </w:r>
      <w:r w:rsidR="00706225" w:rsidRPr="00267F53">
        <w:t>where a product contains</w:t>
      </w:r>
      <w:r w:rsidR="000112F0" w:rsidRPr="00267F53">
        <w:t xml:space="preserve"> less than 20mg/kg gluten</w:t>
      </w:r>
      <w:r w:rsidR="00706225" w:rsidRPr="00267F53">
        <w:t>,</w:t>
      </w:r>
      <w:r w:rsidR="000112F0" w:rsidRPr="00267F53">
        <w:t xml:space="preserve"> in line with Codex Alimentarius</w:t>
      </w:r>
      <w:r w:rsidR="00706225" w:rsidRPr="00267F53">
        <w:t xml:space="preserve">. </w:t>
      </w:r>
      <w:r w:rsidR="00EA2E39" w:rsidRPr="00267F53">
        <w:t>It was suggested that the</w:t>
      </w:r>
      <w:r w:rsidR="00706225" w:rsidRPr="00267F53">
        <w:t xml:space="preserve"> application was unsuccessful due to FSANZ’s assessment that there were gaps in the evidence that 20mg/kg is a safe level.</w:t>
      </w:r>
    </w:p>
    <w:p w14:paraId="48C908EE" w14:textId="77777777" w:rsidR="00B21C93" w:rsidRPr="00267F53" w:rsidRDefault="00B21C93" w:rsidP="00667C32">
      <w:pPr>
        <w:pStyle w:val="Bullets2"/>
      </w:pPr>
      <w:r w:rsidRPr="00267F53">
        <w:t xml:space="preserve">Others were concerned that some products claiming to be ‘gluten free’ also display a precautionary cross contact statement regarding wheat/gluten in the same product. This can be problematic for coeliac consumers who are uncertain whether to trust the ‘gluten free’ claim. While a 'gluten free' claim is defined in legislation, the use of a precautionary cross contact statement is voluntary – industry guidelines (published by the </w:t>
      </w:r>
      <w:hyperlink r:id="rId26" w:history="1">
        <w:r w:rsidRPr="00267F53">
          <w:rPr>
            <w:rStyle w:val="Hyperlink"/>
          </w:rPr>
          <w:t>Australian Food and Grocery Council</w:t>
        </w:r>
      </w:hyperlink>
      <w:r w:rsidRPr="00267F53">
        <w:t xml:space="preserve">) are available to guide the use of cross contact statements. Stakeholders highlighted that some jurisdictions do not actively </w:t>
      </w:r>
      <w:r w:rsidR="00FB464A" w:rsidRPr="00267F53">
        <w:t>monitor and enforce</w:t>
      </w:r>
      <w:r w:rsidRPr="00267F53">
        <w:t xml:space="preserve"> this, while other jurisdictions require manufacturers to choose between the 'gluten free' claim </w:t>
      </w:r>
      <w:r w:rsidRPr="00267F53">
        <w:rPr>
          <w:u w:val="single"/>
        </w:rPr>
        <w:t>or</w:t>
      </w:r>
      <w:r w:rsidRPr="00267F53">
        <w:t xml:space="preserve"> a precautionary cross contact statement.</w:t>
      </w:r>
    </w:p>
    <w:p w14:paraId="63685DD6" w14:textId="77777777" w:rsidR="00706225" w:rsidRPr="00267F53" w:rsidRDefault="00706225" w:rsidP="00706225">
      <w:pPr>
        <w:pStyle w:val="mpcbullets1"/>
        <w:numPr>
          <w:ilvl w:val="0"/>
          <w:numId w:val="0"/>
        </w:numPr>
        <w:rPr>
          <w:lang w:eastAsia="en-US"/>
        </w:rPr>
      </w:pPr>
    </w:p>
    <w:p w14:paraId="35E4D09B" w14:textId="77777777" w:rsidR="000112F0" w:rsidRPr="00267F53" w:rsidRDefault="0041396D" w:rsidP="003F371D">
      <w:pPr>
        <w:pStyle w:val="mpcbullets1"/>
        <w:numPr>
          <w:ilvl w:val="0"/>
          <w:numId w:val="0"/>
        </w:numPr>
        <w:rPr>
          <w:rFonts w:cstheme="minorHAnsi"/>
          <w:lang w:eastAsia="en-US"/>
        </w:rPr>
      </w:pPr>
      <w:r w:rsidRPr="00267F53">
        <w:rPr>
          <w:lang w:eastAsia="en-US"/>
        </w:rPr>
        <w:t>Some s</w:t>
      </w:r>
      <w:r w:rsidR="00706225" w:rsidRPr="00267F53">
        <w:rPr>
          <w:lang w:eastAsia="en-US"/>
        </w:rPr>
        <w:t xml:space="preserve">takeholders highlighted that this inconsistency </w:t>
      </w:r>
      <w:r w:rsidR="003F371D" w:rsidRPr="00267F53">
        <w:rPr>
          <w:lang w:eastAsia="en-US"/>
        </w:rPr>
        <w:t>can disincentivise product innovation and create confusion for Australia</w:t>
      </w:r>
      <w:r w:rsidRPr="00267F53">
        <w:rPr>
          <w:lang w:eastAsia="en-US"/>
        </w:rPr>
        <w:t>n</w:t>
      </w:r>
      <w:r w:rsidR="003F371D" w:rsidRPr="00267F53">
        <w:rPr>
          <w:lang w:eastAsia="en-US"/>
        </w:rPr>
        <w:t xml:space="preserve"> manufacturers and restrict consumer choice. </w:t>
      </w:r>
      <w:r w:rsidR="003F371D" w:rsidRPr="00267F53">
        <w:rPr>
          <w:rFonts w:asciiTheme="minorHAnsi" w:hAnsiTheme="minorHAnsi" w:cstheme="minorHAnsi"/>
          <w:lang w:eastAsia="en-US"/>
        </w:rPr>
        <w:t xml:space="preserve">It also makes labelling more complex, particularly for products that are traded internationally. </w:t>
      </w:r>
    </w:p>
    <w:p w14:paraId="2623996F" w14:textId="77777777" w:rsidR="00665595" w:rsidRPr="00267F53" w:rsidRDefault="00665595" w:rsidP="003C0C8C">
      <w:pPr>
        <w:pStyle w:val="TableofAuthorities"/>
        <w:ind w:left="0" w:firstLine="0"/>
        <w:rPr>
          <w:lang w:eastAsia="en-US"/>
        </w:rPr>
      </w:pPr>
    </w:p>
    <w:tbl>
      <w:tblPr>
        <w:tblStyle w:val="TableGrid"/>
        <w:tblW w:w="0" w:type="auto"/>
        <w:tblLook w:val="04A0" w:firstRow="1" w:lastRow="0" w:firstColumn="1" w:lastColumn="0" w:noHBand="0" w:noVBand="1"/>
      </w:tblPr>
      <w:tblGrid>
        <w:gridCol w:w="9736"/>
      </w:tblGrid>
      <w:tr w:rsidR="00665595" w:rsidRPr="00267F53" w14:paraId="28CE5359" w14:textId="77777777" w:rsidTr="00920085">
        <w:trPr>
          <w:trHeight w:val="1970"/>
        </w:trPr>
        <w:tc>
          <w:tcPr>
            <w:tcW w:w="9736" w:type="dxa"/>
            <w:shd w:val="clear" w:color="auto" w:fill="DEEAF6" w:themeFill="accent1" w:themeFillTint="33"/>
            <w:vAlign w:val="center"/>
          </w:tcPr>
          <w:p w14:paraId="3EC209F8" w14:textId="77777777" w:rsidR="00665595" w:rsidRPr="00267F53" w:rsidRDefault="00665595" w:rsidP="00665595">
            <w:pPr>
              <w:autoSpaceDE w:val="0"/>
              <w:autoSpaceDN w:val="0"/>
              <w:adjustRightInd w:val="0"/>
              <w:jc w:val="center"/>
              <w:rPr>
                <w:rFonts w:ascii="Calibri" w:hAnsi="Calibri" w:cs="Calibri"/>
                <w:i/>
                <w:iCs/>
                <w:sz w:val="24"/>
                <w:szCs w:val="24"/>
                <w:lang w:eastAsia="en-US"/>
              </w:rPr>
            </w:pPr>
            <w:r w:rsidRPr="00267F53">
              <w:rPr>
                <w:rFonts w:ascii="Calibri" w:hAnsi="Calibri" w:cs="Calibri"/>
                <w:i/>
                <w:iCs/>
                <w:sz w:val="24"/>
                <w:szCs w:val="24"/>
                <w:lang w:eastAsia="en-US"/>
              </w:rPr>
              <w:t>“Not allowing these claims with negligible and nutritionally insignificant levels of the claimed</w:t>
            </w:r>
          </w:p>
          <w:p w14:paraId="35055659" w14:textId="77777777" w:rsidR="00665595" w:rsidRPr="00267F53" w:rsidRDefault="00665595" w:rsidP="00665595">
            <w:pPr>
              <w:autoSpaceDE w:val="0"/>
              <w:autoSpaceDN w:val="0"/>
              <w:adjustRightInd w:val="0"/>
              <w:jc w:val="center"/>
              <w:rPr>
                <w:rFonts w:ascii="Calibri" w:hAnsi="Calibri" w:cs="Calibri"/>
                <w:i/>
                <w:iCs/>
                <w:sz w:val="24"/>
                <w:szCs w:val="24"/>
                <w:lang w:eastAsia="en-US"/>
              </w:rPr>
            </w:pPr>
            <w:r w:rsidRPr="00267F53">
              <w:rPr>
                <w:rFonts w:ascii="Calibri" w:hAnsi="Calibri" w:cs="Calibri"/>
                <w:i/>
                <w:iCs/>
                <w:sz w:val="24"/>
                <w:szCs w:val="24"/>
                <w:lang w:eastAsia="en-US"/>
              </w:rPr>
              <w:t>nutrient, as permitted by Codex, the US and Europe, denies consumer choice and innovation in the market, presents lost market opportunities and importantly market disadvantage and economies of scale. Products such as these invariably escape border inspection (as low priority surveillance foods) and once in the market jurisdictions do not take enforcement action given limited resources and other higher (food safety) priorities.”</w:t>
            </w:r>
          </w:p>
        </w:tc>
      </w:tr>
    </w:tbl>
    <w:p w14:paraId="0E604DF5" w14:textId="77777777" w:rsidR="00EF6FA2" w:rsidRPr="00267F53" w:rsidRDefault="00EF6FA2" w:rsidP="001D1281">
      <w:pPr>
        <w:autoSpaceDE w:val="0"/>
        <w:autoSpaceDN w:val="0"/>
        <w:adjustRightInd w:val="0"/>
        <w:rPr>
          <w:rFonts w:cstheme="minorHAnsi"/>
          <w:lang w:eastAsia="en-US"/>
        </w:rPr>
      </w:pPr>
    </w:p>
    <w:p w14:paraId="1F9B7491" w14:textId="77777777" w:rsidR="00F66CA0" w:rsidRPr="00267F53" w:rsidRDefault="00EF6FA2" w:rsidP="001D1281">
      <w:pPr>
        <w:autoSpaceDE w:val="0"/>
        <w:autoSpaceDN w:val="0"/>
        <w:adjustRightInd w:val="0"/>
        <w:rPr>
          <w:rFonts w:cstheme="minorHAnsi"/>
          <w:lang w:eastAsia="en-US"/>
        </w:rPr>
      </w:pPr>
      <w:r w:rsidRPr="00267F53">
        <w:rPr>
          <w:rFonts w:cstheme="minorHAnsi"/>
          <w:lang w:eastAsia="en-US"/>
        </w:rPr>
        <w:br w:type="column"/>
      </w:r>
    </w:p>
    <w:p w14:paraId="29D399DF" w14:textId="77777777" w:rsidR="008A1589" w:rsidRPr="00267F53" w:rsidRDefault="006457D9" w:rsidP="00171075">
      <w:pPr>
        <w:pStyle w:val="Heading2"/>
        <w:keepNext w:val="0"/>
        <w:shd w:val="clear" w:color="auto" w:fill="368A72"/>
      </w:pPr>
      <w:bookmarkStart w:id="35" w:name="_Inconsistent_interpretation_of"/>
      <w:bookmarkStart w:id="36" w:name="_Toc65059141"/>
      <w:bookmarkEnd w:id="35"/>
      <w:r w:rsidRPr="00267F53">
        <w:t>Inconsistent interpretation</w:t>
      </w:r>
      <w:r w:rsidR="00EF6FA2" w:rsidRPr="00267F53">
        <w:t>s</w:t>
      </w:r>
      <w:r w:rsidRPr="00267F53">
        <w:t xml:space="preserve"> of standards</w:t>
      </w:r>
      <w:bookmarkEnd w:id="36"/>
    </w:p>
    <w:p w14:paraId="35C2C685" w14:textId="77777777" w:rsidR="008A1589" w:rsidRPr="00267F53" w:rsidRDefault="008A1589" w:rsidP="00D82D52">
      <w:pPr>
        <w:rPr>
          <w:rFonts w:cstheme="minorHAnsi"/>
        </w:rPr>
      </w:pPr>
    </w:p>
    <w:p w14:paraId="0C46B33D" w14:textId="77777777" w:rsidR="006457D9" w:rsidRPr="00267F53" w:rsidRDefault="0073550A" w:rsidP="00D82D52">
      <w:pPr>
        <w:rPr>
          <w:rFonts w:cstheme="minorHAnsi"/>
        </w:rPr>
      </w:pPr>
      <w:r w:rsidRPr="00267F53">
        <w:rPr>
          <w:rFonts w:cstheme="minorHAnsi"/>
        </w:rPr>
        <w:t xml:space="preserve">Stakeholders </w:t>
      </w:r>
      <w:r w:rsidR="000332EA" w:rsidRPr="00267F53">
        <w:rPr>
          <w:rFonts w:cstheme="minorHAnsi"/>
        </w:rPr>
        <w:t xml:space="preserve">(predominantly from industry and some from government) </w:t>
      </w:r>
      <w:r w:rsidR="00A835E0" w:rsidRPr="00267F53">
        <w:rPr>
          <w:rFonts w:cstheme="minorHAnsi"/>
        </w:rPr>
        <w:t>noted</w:t>
      </w:r>
      <w:r w:rsidRPr="00267F53">
        <w:rPr>
          <w:rFonts w:cstheme="minorHAnsi"/>
        </w:rPr>
        <w:t xml:space="preserve"> that inconsistent interpretation of standards between different regulatory agencies (and even by different individuals within regulatory agencies) can be frustrating and costly for food businesses. </w:t>
      </w:r>
    </w:p>
    <w:p w14:paraId="0F56D340" w14:textId="77777777" w:rsidR="006457D9" w:rsidRPr="00267F53" w:rsidRDefault="006457D9" w:rsidP="00D82D52">
      <w:pPr>
        <w:rPr>
          <w:rFonts w:cstheme="minorHAnsi"/>
        </w:rPr>
      </w:pPr>
    </w:p>
    <w:p w14:paraId="10F2F88C" w14:textId="77777777" w:rsidR="006457D9" w:rsidRPr="00267F53" w:rsidRDefault="0073550A" w:rsidP="00D82D52">
      <w:pPr>
        <w:rPr>
          <w:rFonts w:cstheme="minorHAnsi"/>
        </w:rPr>
      </w:pPr>
      <w:r w:rsidRPr="00267F53">
        <w:rPr>
          <w:rFonts w:cstheme="minorHAnsi"/>
        </w:rPr>
        <w:t>Stakeholders broadly considered that inconsistencies arose from:</w:t>
      </w:r>
    </w:p>
    <w:p w14:paraId="5435D279" w14:textId="77777777" w:rsidR="006457D9" w:rsidRPr="00267F53" w:rsidRDefault="006457D9" w:rsidP="00D82D52">
      <w:pPr>
        <w:rPr>
          <w:rFonts w:cstheme="minorHAnsi"/>
        </w:rPr>
      </w:pPr>
    </w:p>
    <w:p w14:paraId="2FD84DF7" w14:textId="77777777" w:rsidR="006D0C62" w:rsidRPr="00267F53" w:rsidRDefault="006D0C62" w:rsidP="00D82D52">
      <w:pPr>
        <w:pStyle w:val="Bullet1"/>
      </w:pPr>
      <w:r w:rsidRPr="00267F53">
        <w:t xml:space="preserve">‘gaps’ in the Code where the Code has not </w:t>
      </w:r>
      <w:r w:rsidR="008B63FC" w:rsidRPr="00267F53">
        <w:t xml:space="preserve">been updated to </w:t>
      </w:r>
      <w:r w:rsidRPr="00267F53">
        <w:t>ke</w:t>
      </w:r>
      <w:r w:rsidR="008B63FC" w:rsidRPr="00267F53">
        <w:t>e</w:t>
      </w:r>
      <w:r w:rsidRPr="00267F53">
        <w:t xml:space="preserve">p pace with industry </w:t>
      </w:r>
      <w:r w:rsidR="008B63FC" w:rsidRPr="00267F53">
        <w:t xml:space="preserve">innovation and </w:t>
      </w:r>
      <w:r w:rsidRPr="00267F53">
        <w:t xml:space="preserve">practice </w:t>
      </w:r>
      <w:r w:rsidR="008B63FC" w:rsidRPr="00267F53">
        <w:t>(and international approaches)</w:t>
      </w:r>
    </w:p>
    <w:p w14:paraId="1833C6B0" w14:textId="77777777" w:rsidR="006457D9" w:rsidRPr="00267F53" w:rsidRDefault="006457D9" w:rsidP="00D82D52">
      <w:pPr>
        <w:pStyle w:val="Bullet1"/>
      </w:pPr>
      <w:r w:rsidRPr="00267F53">
        <w:t>a lack of clarity in the wording of some standards, that can lead to inconsistent interpretation and application</w:t>
      </w:r>
      <w:r w:rsidR="00A835E0" w:rsidRPr="00267F53">
        <w:t>, or</w:t>
      </w:r>
    </w:p>
    <w:p w14:paraId="155A0C22" w14:textId="77777777" w:rsidR="006457D9" w:rsidRPr="00267F53" w:rsidRDefault="006457D9" w:rsidP="006457D9">
      <w:pPr>
        <w:pStyle w:val="Bullet1"/>
      </w:pPr>
      <w:r w:rsidRPr="00267F53">
        <w:t>different interpretations by different jurisdictions, which may be influenced in part by different risk appetites.</w:t>
      </w:r>
    </w:p>
    <w:p w14:paraId="3A901EB0" w14:textId="77777777" w:rsidR="006457D9" w:rsidRPr="00267F53" w:rsidRDefault="006457D9" w:rsidP="003D1E3A">
      <w:pPr>
        <w:rPr>
          <w:rFonts w:cstheme="minorHAnsi"/>
        </w:rPr>
      </w:pPr>
    </w:p>
    <w:p w14:paraId="45F61177" w14:textId="77777777" w:rsidR="00E34D83" w:rsidRPr="00267F53" w:rsidRDefault="004645FA" w:rsidP="00E34D83">
      <w:pPr>
        <w:rPr>
          <w:lang w:eastAsia="en-US"/>
        </w:rPr>
      </w:pPr>
      <w:r w:rsidRPr="00267F53">
        <w:rPr>
          <w:lang w:eastAsia="en-US"/>
        </w:rPr>
        <w:t>Stakeholders high</w:t>
      </w:r>
      <w:r w:rsidR="00E34D83" w:rsidRPr="00267F53">
        <w:rPr>
          <w:lang w:eastAsia="en-US"/>
        </w:rPr>
        <w:t>lighted a number of areas where inconsisten</w:t>
      </w:r>
      <w:r w:rsidR="0073550A" w:rsidRPr="00267F53">
        <w:rPr>
          <w:lang w:eastAsia="en-US"/>
        </w:rPr>
        <w:t>t interpretations</w:t>
      </w:r>
      <w:r w:rsidR="00E34D83" w:rsidRPr="00267F53">
        <w:rPr>
          <w:lang w:eastAsia="en-US"/>
        </w:rPr>
        <w:t xml:space="preserve"> arise.</w:t>
      </w:r>
      <w:r w:rsidR="00BA61CA" w:rsidRPr="00267F53">
        <w:rPr>
          <w:lang w:eastAsia="en-US"/>
        </w:rPr>
        <w:t xml:space="preserve"> </w:t>
      </w:r>
      <w:r w:rsidR="00E34D83" w:rsidRPr="00267F53">
        <w:rPr>
          <w:lang w:eastAsia="en-US"/>
        </w:rPr>
        <w:t>For example:</w:t>
      </w:r>
    </w:p>
    <w:p w14:paraId="0C08DFAB" w14:textId="77777777" w:rsidR="00E34D83" w:rsidRPr="00267F53" w:rsidRDefault="00E34D83" w:rsidP="00E34D83">
      <w:pPr>
        <w:pStyle w:val="TableofAuthorities"/>
        <w:rPr>
          <w:lang w:eastAsia="en-US"/>
        </w:rPr>
      </w:pPr>
    </w:p>
    <w:p w14:paraId="4B796A01" w14:textId="77777777" w:rsidR="008B63FC" w:rsidRPr="00267F53" w:rsidRDefault="008B63FC" w:rsidP="008B63FC">
      <w:pPr>
        <w:pStyle w:val="Bullet1"/>
        <w:rPr>
          <w:rFonts w:cstheme="minorHAnsi"/>
        </w:rPr>
      </w:pPr>
      <w:r w:rsidRPr="00267F53">
        <w:rPr>
          <w:b/>
          <w:bCs w:val="0"/>
        </w:rPr>
        <w:t>Beverages</w:t>
      </w:r>
      <w:r w:rsidRPr="00267F53">
        <w:t xml:space="preserve"> – </w:t>
      </w:r>
      <w:hyperlink r:id="rId27" w:history="1">
        <w:r w:rsidRPr="00267F53">
          <w:rPr>
            <w:rStyle w:val="Hyperlink"/>
          </w:rPr>
          <w:t>Standard 2.6.2 – Non-alcoholic beverages and brewed soft drinks</w:t>
        </w:r>
      </w:hyperlink>
      <w:r w:rsidRPr="00267F53">
        <w:t xml:space="preserve"> describes the compositional requirements for certain types of beverages. However, there are now a wide array of water-based products available on the market that are not categorised within this standard.</w:t>
      </w:r>
    </w:p>
    <w:p w14:paraId="0BE47BC3" w14:textId="77777777" w:rsidR="008B63FC" w:rsidRPr="00267F53" w:rsidRDefault="008B63FC" w:rsidP="008B63FC">
      <w:pPr>
        <w:pStyle w:val="Bullet1"/>
        <w:numPr>
          <w:ilvl w:val="0"/>
          <w:numId w:val="0"/>
        </w:numPr>
        <w:ind w:left="360" w:hanging="360"/>
        <w:rPr>
          <w:rFonts w:cstheme="minorHAnsi"/>
        </w:rPr>
      </w:pPr>
    </w:p>
    <w:p w14:paraId="576CA1AF" w14:textId="77777777" w:rsidR="00740067" w:rsidRPr="00267F53" w:rsidRDefault="008B63FC" w:rsidP="00740067">
      <w:pPr>
        <w:pStyle w:val="Bullet1"/>
        <w:rPr>
          <w:rFonts w:cstheme="minorHAnsi"/>
        </w:rPr>
      </w:pPr>
      <w:r w:rsidRPr="00267F53">
        <w:rPr>
          <w:rFonts w:cstheme="minorHAnsi"/>
          <w:b/>
          <w:bCs w:val="0"/>
        </w:rPr>
        <w:t>Online food services</w:t>
      </w:r>
      <w:r w:rsidRPr="00267F53">
        <w:rPr>
          <w:rFonts w:cstheme="minorHAnsi"/>
        </w:rPr>
        <w:t xml:space="preserve"> </w:t>
      </w:r>
    </w:p>
    <w:p w14:paraId="7D83991A" w14:textId="77777777" w:rsidR="008B63FC" w:rsidRPr="00267F53" w:rsidRDefault="008B63FC" w:rsidP="00740067">
      <w:pPr>
        <w:pStyle w:val="Bullets2"/>
      </w:pPr>
      <w:r w:rsidRPr="00267F53">
        <w:t xml:space="preserve">Internet food orders are not considered in the Code and are consequently regulated as takeaway services. Stakeholders noted that this is challenging as the associated labelling exemptions are not always appropriate. </w:t>
      </w:r>
    </w:p>
    <w:p w14:paraId="3C95752E" w14:textId="77777777" w:rsidR="008B63FC" w:rsidRPr="00267F53" w:rsidRDefault="008B63FC" w:rsidP="008B63FC">
      <w:pPr>
        <w:pStyle w:val="Bullet1"/>
        <w:numPr>
          <w:ilvl w:val="0"/>
          <w:numId w:val="0"/>
        </w:numPr>
        <w:rPr>
          <w:rFonts w:cstheme="minorHAnsi"/>
        </w:rPr>
      </w:pPr>
    </w:p>
    <w:p w14:paraId="4CBD2D91" w14:textId="77777777" w:rsidR="00740067" w:rsidRPr="00267F53" w:rsidRDefault="004645FA" w:rsidP="00851314">
      <w:pPr>
        <w:pStyle w:val="Bullet1"/>
      </w:pPr>
      <w:r w:rsidRPr="00267F53">
        <w:rPr>
          <w:b/>
          <w:bCs w:val="0"/>
        </w:rPr>
        <w:t>Iodised salt</w:t>
      </w:r>
    </w:p>
    <w:p w14:paraId="1089F4F0" w14:textId="77777777" w:rsidR="00851314" w:rsidRPr="00267F53" w:rsidRDefault="00000000" w:rsidP="00740067">
      <w:pPr>
        <w:pStyle w:val="Bullets2"/>
      </w:pPr>
      <w:hyperlink r:id="rId28" w:history="1">
        <w:r w:rsidR="00E34D83" w:rsidRPr="00267F53">
          <w:rPr>
            <w:rStyle w:val="Hyperlink"/>
            <w:rFonts w:cstheme="minorHAnsi"/>
          </w:rPr>
          <w:t>Standard 2.10.2 – Salt and salt products</w:t>
        </w:r>
      </w:hyperlink>
      <w:r w:rsidR="00E34D83" w:rsidRPr="00267F53">
        <w:t xml:space="preserve"> previously contained an editorial note specifying that salt manufacturers were to aim for 45mg/kg of iodine in iodised salt (based on FSANZ modelling) to help address mild iodine deficiency in Australia and New Zealand. This has since been removed</w:t>
      </w:r>
      <w:r w:rsidR="00B45E50" w:rsidRPr="00267F53">
        <w:t>,</w:t>
      </w:r>
      <w:r w:rsidR="00851314" w:rsidRPr="00267F53">
        <w:t xml:space="preserve"> and while t</w:t>
      </w:r>
      <w:r w:rsidR="00E34D83" w:rsidRPr="00267F53">
        <w:t xml:space="preserve">he Standard continues to provide a range in permitted iodine concentrations of iodised salt (25 – 65mg/kg), </w:t>
      </w:r>
      <w:r w:rsidR="00851314" w:rsidRPr="00267F53">
        <w:t xml:space="preserve">businesses are uncertain as to whether they should continue to aim for 45mg/kg of iodine in iodised salt. </w:t>
      </w:r>
    </w:p>
    <w:p w14:paraId="178645D3" w14:textId="77777777" w:rsidR="00851314" w:rsidRPr="00267F53" w:rsidRDefault="00851314" w:rsidP="00851314">
      <w:pPr>
        <w:pStyle w:val="Bullet1"/>
        <w:numPr>
          <w:ilvl w:val="0"/>
          <w:numId w:val="0"/>
        </w:numPr>
      </w:pPr>
    </w:p>
    <w:p w14:paraId="153170B1" w14:textId="77777777" w:rsidR="00740067" w:rsidRPr="00267F53" w:rsidRDefault="00BA4945" w:rsidP="00054824">
      <w:pPr>
        <w:pStyle w:val="Bullet1"/>
        <w:autoSpaceDE w:val="0"/>
        <w:autoSpaceDN w:val="0"/>
        <w:adjustRightInd w:val="0"/>
        <w:rPr>
          <w:rFonts w:cstheme="minorHAnsi"/>
        </w:rPr>
      </w:pPr>
      <w:r w:rsidRPr="00267F53">
        <w:rPr>
          <w:rFonts w:cstheme="minorHAnsi"/>
          <w:b/>
        </w:rPr>
        <w:t>Cadmium</w:t>
      </w:r>
      <w:r w:rsidR="00851314" w:rsidRPr="00267F53">
        <w:rPr>
          <w:rFonts w:cstheme="minorHAnsi"/>
          <w:b/>
        </w:rPr>
        <w:t xml:space="preserve"> </w:t>
      </w:r>
    </w:p>
    <w:p w14:paraId="24BD0341" w14:textId="77777777" w:rsidR="00552E0E" w:rsidRPr="00267F53" w:rsidRDefault="00000000" w:rsidP="00740067">
      <w:pPr>
        <w:pStyle w:val="Bullets2"/>
      </w:pPr>
      <w:hyperlink r:id="rId29" w:history="1">
        <w:r w:rsidR="00552E0E" w:rsidRPr="00267F53">
          <w:rPr>
            <w:rStyle w:val="Hyperlink"/>
            <w:rFonts w:cstheme="minorHAnsi"/>
          </w:rPr>
          <w:t>Schedule 19 – Maximum levels of contaminants and natural toxicants</w:t>
        </w:r>
      </w:hyperlink>
      <w:r w:rsidR="00552E0E" w:rsidRPr="00267F53">
        <w:t xml:space="preserve"> specifies the </w:t>
      </w:r>
      <w:r w:rsidR="00BA4945" w:rsidRPr="00267F53">
        <w:t xml:space="preserve">maximum permitted level for cadmium in ‘chocolate and cocoa products’ </w:t>
      </w:r>
      <w:r w:rsidR="00552E0E" w:rsidRPr="00267F53">
        <w:t>is 0.5 mg/kg. Stakeholders have highlighted that this regulation is intended to apply to finished retail products available to consumers to minimise potential adverse health impacts through dietary exposure and should not apply to ingredients used to manufacture cocoa products</w:t>
      </w:r>
      <w:r w:rsidR="00851314" w:rsidRPr="00267F53">
        <w:t xml:space="preserve">, however without this being clarified in the Code (or associated guidance), </w:t>
      </w:r>
      <w:r w:rsidR="008A1589" w:rsidRPr="00267F53">
        <w:t xml:space="preserve">it was suggested that </w:t>
      </w:r>
      <w:r w:rsidR="00851314" w:rsidRPr="00267F53">
        <w:t>most manufacturers interpret this limit to apply equally to cocoa used as ingredient to manufacture cocoa products, which can restrict the sources of cocoa available to them and unnecessarily increase manufacturing costs.</w:t>
      </w:r>
      <w:r w:rsidR="00552E0E" w:rsidRPr="00267F53">
        <w:t xml:space="preserve"> </w:t>
      </w:r>
    </w:p>
    <w:p w14:paraId="02329D00" w14:textId="77777777" w:rsidR="00851314" w:rsidRPr="00267F53" w:rsidRDefault="00851314" w:rsidP="00851314">
      <w:pPr>
        <w:pStyle w:val="TableofAuthorities"/>
        <w:ind w:left="0" w:firstLine="0"/>
        <w:rPr>
          <w:lang w:eastAsia="en-US"/>
        </w:rPr>
      </w:pPr>
    </w:p>
    <w:p w14:paraId="6ABDA7F1" w14:textId="77777777" w:rsidR="00740067" w:rsidRPr="00267F53" w:rsidRDefault="00464997" w:rsidP="003C0C8C">
      <w:pPr>
        <w:pStyle w:val="Bullet1"/>
        <w:autoSpaceDE w:val="0"/>
        <w:autoSpaceDN w:val="0"/>
        <w:adjustRightInd w:val="0"/>
      </w:pPr>
      <w:r w:rsidRPr="00267F53">
        <w:rPr>
          <w:rFonts w:cstheme="minorHAnsi"/>
          <w:b/>
        </w:rPr>
        <w:t>Food safety practices</w:t>
      </w:r>
      <w:r w:rsidRPr="00267F53">
        <w:rPr>
          <w:rFonts w:cstheme="minorHAnsi"/>
        </w:rPr>
        <w:t xml:space="preserve"> </w:t>
      </w:r>
    </w:p>
    <w:p w14:paraId="08E0C96F" w14:textId="77777777" w:rsidR="00E62614" w:rsidRPr="00267F53" w:rsidRDefault="00000000" w:rsidP="00740067">
      <w:pPr>
        <w:pStyle w:val="Bullets2"/>
      </w:pPr>
      <w:hyperlink r:id="rId30" w:history="1">
        <w:r w:rsidR="00464997" w:rsidRPr="00267F53">
          <w:rPr>
            <w:rStyle w:val="Hyperlink"/>
            <w:rFonts w:cstheme="minorHAnsi"/>
          </w:rPr>
          <w:t>Standard 3.2.2 – Food safety practices and general requirements</w:t>
        </w:r>
      </w:hyperlink>
      <w:r w:rsidR="00464997" w:rsidRPr="00267F53">
        <w:t xml:space="preserve"> specifies requirements for food businesses and food handlers to ensure food safety. Stakeholders highlighted that this standard is relatively high-level, and expectations of food businesses can be unclear. For example, section 7 requires a food business to ‘use a process step that is reasonably known to achieve the microbiological safety of the food’. </w:t>
      </w:r>
      <w:r w:rsidR="00A835E0" w:rsidRPr="00267F53">
        <w:t>Some s</w:t>
      </w:r>
      <w:r w:rsidR="00464997" w:rsidRPr="00267F53">
        <w:t xml:space="preserve">takeholders highlighted that for people with limited understanding of food safety, such processes may not be well understood and non-compliance with this can be a key cause for outbreaks of foodborne illness. </w:t>
      </w:r>
    </w:p>
    <w:p w14:paraId="329C5BA0" w14:textId="77777777" w:rsidR="0073550A" w:rsidRPr="00267F53" w:rsidRDefault="0073550A" w:rsidP="0073550A">
      <w:pPr>
        <w:pStyle w:val="ListParagraph"/>
      </w:pPr>
    </w:p>
    <w:p w14:paraId="3373DAB9" w14:textId="77777777" w:rsidR="00740067" w:rsidRPr="00267F53" w:rsidRDefault="0073550A" w:rsidP="00930EBB">
      <w:pPr>
        <w:pStyle w:val="Bullet1"/>
      </w:pPr>
      <w:r w:rsidRPr="00267F53">
        <w:rPr>
          <w:rFonts w:cstheme="minorHAnsi"/>
          <w:b/>
          <w:bCs w:val="0"/>
        </w:rPr>
        <w:t>Sanitation</w:t>
      </w:r>
      <w:r w:rsidRPr="00267F53">
        <w:rPr>
          <w:b/>
          <w:bCs w:val="0"/>
        </w:rPr>
        <w:t xml:space="preserve"> chemicals </w:t>
      </w:r>
    </w:p>
    <w:p w14:paraId="7E9ABDA0" w14:textId="77777777" w:rsidR="0073550A" w:rsidRPr="00267F53" w:rsidRDefault="00000000" w:rsidP="00740067">
      <w:pPr>
        <w:pStyle w:val="Bullets2"/>
      </w:pPr>
      <w:hyperlink r:id="rId31" w:history="1">
        <w:r w:rsidR="0073550A" w:rsidRPr="00267F53">
          <w:rPr>
            <w:rStyle w:val="Hyperlink"/>
            <w:rFonts w:cstheme="minorHAnsi"/>
          </w:rPr>
          <w:t>Standard 4.2.2 – Primary production and processing standard for poultry meat</w:t>
        </w:r>
      </w:hyperlink>
      <w:r w:rsidR="0073550A" w:rsidRPr="00267F53">
        <w:t xml:space="preserve"> specifies that a poultry producer must ‘</w:t>
      </w:r>
      <w:r w:rsidR="0073550A" w:rsidRPr="00267F53">
        <w:rPr>
          <w:rFonts w:asciiTheme="minorHAnsi" w:eastAsiaTheme="minorHAnsi" w:hAnsiTheme="minorHAnsi"/>
        </w:rPr>
        <w:t>systematically examine all of its primary production operations to identify potential hazards and implement control measures to address those hazards</w:t>
      </w:r>
      <w:r w:rsidR="0073550A" w:rsidRPr="00267F53">
        <w:t xml:space="preserve">’. One </w:t>
      </w:r>
      <w:r w:rsidR="00E647A7" w:rsidRPr="00267F53">
        <w:t xml:space="preserve">primary </w:t>
      </w:r>
      <w:r w:rsidR="0073550A" w:rsidRPr="00267F53">
        <w:t xml:space="preserve">producer highlighted that they trialled a new ‘potentially improved, and internationally accepted’ sanitation chemical in its processing operations. However, differences in approach and interpretation between jurisdictions meant that in one jurisdiction all chicken sanitised with the different chemical had to be discarded, which was a large financial loss for the company. However, a different jurisdiction was willing to work with the company to develop and implement a food safety plan for the new chemical and this product was able to be sold. </w:t>
      </w:r>
    </w:p>
    <w:p w14:paraId="11699BD6" w14:textId="77777777" w:rsidR="006457D9" w:rsidRPr="00267F53" w:rsidRDefault="006457D9" w:rsidP="006457D9">
      <w:pPr>
        <w:pStyle w:val="ListParagraph"/>
      </w:pPr>
    </w:p>
    <w:p w14:paraId="1B8C2C33" w14:textId="77777777" w:rsidR="008B63FC" w:rsidRPr="00267F53" w:rsidRDefault="00E647A7" w:rsidP="008B63FC">
      <w:pPr>
        <w:pStyle w:val="Bullet1"/>
        <w:numPr>
          <w:ilvl w:val="0"/>
          <w:numId w:val="0"/>
        </w:numPr>
        <w:autoSpaceDE w:val="0"/>
        <w:autoSpaceDN w:val="0"/>
        <w:adjustRightInd w:val="0"/>
        <w:rPr>
          <w:rFonts w:cstheme="minorHAnsi"/>
        </w:rPr>
      </w:pPr>
      <w:r w:rsidRPr="00267F53">
        <w:rPr>
          <w:rFonts w:cstheme="minorHAnsi"/>
        </w:rPr>
        <w:t>Industry s</w:t>
      </w:r>
      <w:r w:rsidR="006457D9" w:rsidRPr="00267F53">
        <w:rPr>
          <w:rFonts w:cstheme="minorHAnsi"/>
        </w:rPr>
        <w:t xml:space="preserve">takeholders highlighted that different </w:t>
      </w:r>
      <w:r w:rsidR="0073550A" w:rsidRPr="00267F53">
        <w:rPr>
          <w:rFonts w:cstheme="minorHAnsi"/>
        </w:rPr>
        <w:t>interpretations, approaches</w:t>
      </w:r>
      <w:r w:rsidR="006457D9" w:rsidRPr="00267F53">
        <w:rPr>
          <w:rFonts w:cstheme="minorHAnsi"/>
        </w:rPr>
        <w:t xml:space="preserve"> or risk-appetites between </w:t>
      </w:r>
      <w:r w:rsidR="0073550A" w:rsidRPr="00267F53">
        <w:rPr>
          <w:rFonts w:cstheme="minorHAnsi"/>
        </w:rPr>
        <w:t>regulatory agencies</w:t>
      </w:r>
      <w:r w:rsidR="006457D9" w:rsidRPr="00267F53">
        <w:rPr>
          <w:rFonts w:cstheme="minorHAnsi"/>
        </w:rPr>
        <w:t xml:space="preserve"> limit </w:t>
      </w:r>
      <w:r w:rsidRPr="00267F53">
        <w:rPr>
          <w:rFonts w:cstheme="minorHAnsi"/>
        </w:rPr>
        <w:t>the</w:t>
      </w:r>
      <w:r w:rsidR="006457D9" w:rsidRPr="00267F53">
        <w:rPr>
          <w:rFonts w:cstheme="minorHAnsi"/>
        </w:rPr>
        <w:t xml:space="preserve"> willingness and ability </w:t>
      </w:r>
      <w:r w:rsidRPr="00267F53">
        <w:rPr>
          <w:rFonts w:cstheme="minorHAnsi"/>
        </w:rPr>
        <w:t xml:space="preserve">of industry </w:t>
      </w:r>
      <w:r w:rsidR="006457D9" w:rsidRPr="00267F53">
        <w:rPr>
          <w:rFonts w:cstheme="minorHAnsi"/>
        </w:rPr>
        <w:t xml:space="preserve">to innovate to improve food safety management. </w:t>
      </w:r>
      <w:r w:rsidR="008B63FC" w:rsidRPr="00267F53">
        <w:rPr>
          <w:rFonts w:cstheme="minorHAnsi"/>
        </w:rPr>
        <w:t>Such examples also reportedly impact on decisions made by businesses as to which jurisdictions to establish and expand their operations.</w:t>
      </w:r>
    </w:p>
    <w:p w14:paraId="6B8850A1" w14:textId="77777777" w:rsidR="008B63FC" w:rsidRPr="00267F53" w:rsidRDefault="008B63FC" w:rsidP="006457D9">
      <w:pPr>
        <w:pStyle w:val="Bullet1"/>
        <w:numPr>
          <w:ilvl w:val="0"/>
          <w:numId w:val="0"/>
        </w:numPr>
        <w:autoSpaceDE w:val="0"/>
        <w:autoSpaceDN w:val="0"/>
        <w:adjustRightInd w:val="0"/>
        <w:rPr>
          <w:rFonts w:cstheme="minorHAnsi"/>
        </w:rPr>
      </w:pPr>
    </w:p>
    <w:p w14:paraId="678A21DA" w14:textId="77777777" w:rsidR="008B63FC" w:rsidRPr="00267F53" w:rsidRDefault="00E647A7" w:rsidP="008B63FC">
      <w:pPr>
        <w:rPr>
          <w:rFonts w:cstheme="minorHAnsi"/>
        </w:rPr>
      </w:pPr>
      <w:r w:rsidRPr="00267F53">
        <w:rPr>
          <w:rFonts w:cstheme="minorHAnsi"/>
          <w:lang w:eastAsia="en-US"/>
        </w:rPr>
        <w:t>Food b</w:t>
      </w:r>
      <w:r w:rsidR="008B63FC" w:rsidRPr="00267F53">
        <w:rPr>
          <w:rFonts w:cstheme="minorHAnsi"/>
          <w:lang w:eastAsia="en-US"/>
        </w:rPr>
        <w:t>usinesses reported they spend significant resources trying to determine how to interpret regulatory requirements to ensure their compliance</w:t>
      </w:r>
      <w:r w:rsidRPr="00267F53">
        <w:rPr>
          <w:rFonts w:cstheme="minorHAnsi"/>
          <w:lang w:eastAsia="en-US"/>
        </w:rPr>
        <w:t xml:space="preserve"> – </w:t>
      </w:r>
      <w:r w:rsidR="008B63FC" w:rsidRPr="00267F53">
        <w:rPr>
          <w:rFonts w:cstheme="minorHAnsi"/>
        </w:rPr>
        <w:t>highlight</w:t>
      </w:r>
      <w:r w:rsidRPr="00267F53">
        <w:rPr>
          <w:rFonts w:cstheme="minorHAnsi"/>
        </w:rPr>
        <w:t xml:space="preserve">ing </w:t>
      </w:r>
      <w:r w:rsidR="008B63FC" w:rsidRPr="00267F53">
        <w:rPr>
          <w:rFonts w:cstheme="minorHAnsi"/>
        </w:rPr>
        <w:t xml:space="preserve">that while large food businesses </w:t>
      </w:r>
      <w:r w:rsidRPr="00267F53">
        <w:rPr>
          <w:rFonts w:cstheme="minorHAnsi"/>
        </w:rPr>
        <w:t xml:space="preserve">may </w:t>
      </w:r>
      <w:r w:rsidR="008B63FC" w:rsidRPr="00267F53">
        <w:rPr>
          <w:rFonts w:cstheme="minorHAnsi"/>
        </w:rPr>
        <w:t xml:space="preserve">have the resources to ensure their compliance with standards that are outcomes-based or less prescriptive, small to medium businesses don’t always have the skills and knowledge to interpret standards and apply these requirements to their business effectively. It was suggested that more detailed guidance be provided for industry and for regulatory agencies, particularly around standards that are a common source of non-compliance or food safety issues. </w:t>
      </w:r>
    </w:p>
    <w:p w14:paraId="3941A1A8" w14:textId="77777777" w:rsidR="008B63FC" w:rsidRPr="00267F53" w:rsidRDefault="008B63FC" w:rsidP="008B63FC">
      <w:pPr>
        <w:rPr>
          <w:rFonts w:cstheme="minorHAnsi"/>
          <w:lang w:eastAsia="en-US"/>
        </w:rPr>
      </w:pPr>
    </w:p>
    <w:p w14:paraId="25E36E5E" w14:textId="77777777" w:rsidR="008B63FC" w:rsidRPr="00267F53" w:rsidRDefault="008B63FC" w:rsidP="008B63FC">
      <w:pPr>
        <w:rPr>
          <w:rFonts w:cstheme="minorHAnsi"/>
          <w:lang w:eastAsia="en-US"/>
        </w:rPr>
      </w:pPr>
      <w:r w:rsidRPr="00267F53">
        <w:rPr>
          <w:rFonts w:cstheme="minorHAnsi"/>
          <w:lang w:eastAsia="en-US"/>
        </w:rPr>
        <w:t>Where the Code fails to keep pace with international practice, industry innovation is limited, placing Australian and New Zealand manufacturers at a disadvantage. This also impacts on consumers by limiting the availability of certain products in the Australia and New Zealand markets.</w:t>
      </w:r>
    </w:p>
    <w:p w14:paraId="210DD8CD" w14:textId="77777777" w:rsidR="00EF6FA2" w:rsidRPr="00267F53" w:rsidRDefault="00EF6FA2" w:rsidP="008B63FC">
      <w:pPr>
        <w:rPr>
          <w:rFonts w:cstheme="minorHAnsi"/>
          <w:lang w:eastAsia="en-US"/>
        </w:rPr>
      </w:pPr>
    </w:p>
    <w:tbl>
      <w:tblPr>
        <w:tblStyle w:val="TableGrid"/>
        <w:tblW w:w="0" w:type="auto"/>
        <w:tblLook w:val="04A0" w:firstRow="1" w:lastRow="0" w:firstColumn="1" w:lastColumn="0" w:noHBand="0" w:noVBand="1"/>
      </w:tblPr>
      <w:tblGrid>
        <w:gridCol w:w="9736"/>
      </w:tblGrid>
      <w:tr w:rsidR="00EF6FA2" w:rsidRPr="00267F53" w14:paraId="44E41CC3" w14:textId="77777777" w:rsidTr="00EF6FA2">
        <w:trPr>
          <w:trHeight w:val="1153"/>
        </w:trPr>
        <w:tc>
          <w:tcPr>
            <w:tcW w:w="9736" w:type="dxa"/>
            <w:shd w:val="clear" w:color="auto" w:fill="DEEAF6" w:themeFill="accent1" w:themeFillTint="33"/>
            <w:vAlign w:val="center"/>
          </w:tcPr>
          <w:p w14:paraId="2B430358" w14:textId="77777777" w:rsidR="00EF6FA2" w:rsidRPr="00267F53" w:rsidRDefault="00EF6FA2" w:rsidP="00EF6FA2">
            <w:pPr>
              <w:autoSpaceDE w:val="0"/>
              <w:autoSpaceDN w:val="0"/>
              <w:adjustRightInd w:val="0"/>
              <w:jc w:val="center"/>
              <w:rPr>
                <w:rFonts w:asciiTheme="minorHAnsi" w:hAnsiTheme="minorHAnsi" w:cstheme="minorHAnsi"/>
                <w:i/>
                <w:iCs/>
                <w:sz w:val="24"/>
                <w:szCs w:val="24"/>
                <w:lang w:eastAsia="en-US"/>
              </w:rPr>
            </w:pPr>
            <w:r w:rsidRPr="00267F53">
              <w:rPr>
                <w:rFonts w:asciiTheme="minorHAnsi" w:hAnsiTheme="minorHAnsi" w:cstheme="minorHAnsi"/>
                <w:i/>
                <w:iCs/>
                <w:sz w:val="24"/>
                <w:szCs w:val="24"/>
                <w:lang w:eastAsia="en-US"/>
              </w:rPr>
              <w:t>“</w:t>
            </w:r>
            <w:r w:rsidRPr="00267F53">
              <w:rPr>
                <w:rFonts w:asciiTheme="minorHAnsi" w:eastAsiaTheme="minorHAnsi" w:hAnsiTheme="minorHAnsi" w:cstheme="minorHAnsi"/>
                <w:i/>
                <w:iCs/>
                <w:sz w:val="24"/>
                <w:szCs w:val="24"/>
                <w:lang w:eastAsia="en-US"/>
              </w:rPr>
              <w:t>Often the lack of clarity can result in products not being launched here or</w:t>
            </w:r>
            <w:r w:rsidRPr="00267F53">
              <w:rPr>
                <w:rFonts w:eastAsiaTheme="minorHAnsi" w:cstheme="minorHAnsi"/>
                <w:i/>
                <w:iCs/>
                <w:lang w:eastAsia="en-US"/>
              </w:rPr>
              <w:t xml:space="preserve"> </w:t>
            </w:r>
            <w:r w:rsidRPr="00267F53">
              <w:rPr>
                <w:rFonts w:asciiTheme="minorHAnsi" w:eastAsiaTheme="minorHAnsi" w:hAnsiTheme="minorHAnsi" w:cstheme="minorHAnsi"/>
                <w:i/>
                <w:iCs/>
                <w:sz w:val="24"/>
                <w:szCs w:val="24"/>
                <w:lang w:eastAsia="en-US"/>
              </w:rPr>
              <w:t>being prohibitively expensive. These are frequently products that provide specific nutrition benefits to compromised populations.</w:t>
            </w:r>
            <w:r w:rsidRPr="00267F53">
              <w:rPr>
                <w:rFonts w:eastAsiaTheme="minorHAnsi" w:cstheme="minorHAnsi"/>
                <w:i/>
                <w:iCs/>
                <w:lang w:eastAsia="en-US"/>
              </w:rPr>
              <w:t>”</w:t>
            </w:r>
          </w:p>
        </w:tc>
      </w:tr>
    </w:tbl>
    <w:p w14:paraId="7E303DDA" w14:textId="77777777" w:rsidR="008B63FC" w:rsidRPr="00267F53" w:rsidRDefault="008B63FC" w:rsidP="006457D9"/>
    <w:p w14:paraId="1BC1CC4F" w14:textId="77777777" w:rsidR="006457D9" w:rsidRPr="00267F53" w:rsidRDefault="006457D9" w:rsidP="00E647A7">
      <w:r w:rsidRPr="00267F53">
        <w:br w:type="column"/>
      </w:r>
    </w:p>
    <w:p w14:paraId="74C7ACC4" w14:textId="77777777" w:rsidR="008A1589" w:rsidRPr="00267F53" w:rsidRDefault="006457D9" w:rsidP="00171075">
      <w:pPr>
        <w:pStyle w:val="Heading2"/>
        <w:keepNext w:val="0"/>
        <w:shd w:val="clear" w:color="auto" w:fill="368A72"/>
      </w:pPr>
      <w:bookmarkStart w:id="37" w:name="_Toc65059142"/>
      <w:r w:rsidRPr="00267F53">
        <w:t xml:space="preserve">Inconsistencies </w:t>
      </w:r>
      <w:r w:rsidR="008A1589" w:rsidRPr="00267F53">
        <w:t>with international approaches</w:t>
      </w:r>
      <w:bookmarkEnd w:id="37"/>
      <w:r w:rsidR="008A1589" w:rsidRPr="00267F53">
        <w:t xml:space="preserve"> </w:t>
      </w:r>
    </w:p>
    <w:p w14:paraId="2B3BD2A4" w14:textId="77777777" w:rsidR="006457D9" w:rsidRPr="00267F53" w:rsidRDefault="006457D9" w:rsidP="00E647A7">
      <w:pPr>
        <w:rPr>
          <w:rFonts w:cstheme="minorHAnsi"/>
        </w:rPr>
      </w:pPr>
    </w:p>
    <w:p w14:paraId="310CA5BC" w14:textId="77777777" w:rsidR="006D0C62" w:rsidRPr="00267F53" w:rsidRDefault="00E974D6" w:rsidP="00E647A7">
      <w:pPr>
        <w:rPr>
          <w:rFonts w:cstheme="minorHAnsi"/>
        </w:rPr>
      </w:pPr>
      <w:r w:rsidRPr="00267F53">
        <w:rPr>
          <w:rFonts w:cstheme="minorHAnsi"/>
        </w:rPr>
        <w:t xml:space="preserve">While the review is not focusing specifically on </w:t>
      </w:r>
      <w:r w:rsidR="006D0C62" w:rsidRPr="00267F53">
        <w:rPr>
          <w:rFonts w:cstheme="minorHAnsi"/>
        </w:rPr>
        <w:t>inconsistencies</w:t>
      </w:r>
      <w:r w:rsidRPr="00267F53">
        <w:rPr>
          <w:rFonts w:cstheme="minorHAnsi"/>
        </w:rPr>
        <w:t xml:space="preserve"> between </w:t>
      </w:r>
      <w:r w:rsidR="006D0C62" w:rsidRPr="00267F53">
        <w:rPr>
          <w:rFonts w:cstheme="minorHAnsi"/>
        </w:rPr>
        <w:t xml:space="preserve">the joint </w:t>
      </w:r>
      <w:r w:rsidRPr="00267F53">
        <w:rPr>
          <w:rFonts w:cstheme="minorHAnsi"/>
        </w:rPr>
        <w:t>Australia</w:t>
      </w:r>
      <w:r w:rsidR="006D0C62" w:rsidRPr="00267F53">
        <w:rPr>
          <w:rFonts w:cstheme="minorHAnsi"/>
        </w:rPr>
        <w:t xml:space="preserve">n and </w:t>
      </w:r>
      <w:r w:rsidRPr="00267F53">
        <w:rPr>
          <w:rFonts w:cstheme="minorHAnsi"/>
        </w:rPr>
        <w:t xml:space="preserve">New Zealand </w:t>
      </w:r>
      <w:r w:rsidR="006D0C62" w:rsidRPr="00267F53">
        <w:rPr>
          <w:rFonts w:cstheme="minorHAnsi"/>
        </w:rPr>
        <w:t xml:space="preserve">food regulatory system </w:t>
      </w:r>
      <w:r w:rsidRPr="00267F53">
        <w:rPr>
          <w:rFonts w:cstheme="minorHAnsi"/>
        </w:rPr>
        <w:t xml:space="preserve">and other countries, a number of </w:t>
      </w:r>
      <w:r w:rsidR="00E647A7" w:rsidRPr="00267F53">
        <w:rPr>
          <w:rFonts w:cstheme="minorHAnsi"/>
        </w:rPr>
        <w:t xml:space="preserve">industry </w:t>
      </w:r>
      <w:r w:rsidRPr="00267F53">
        <w:rPr>
          <w:rFonts w:cstheme="minorHAnsi"/>
        </w:rPr>
        <w:t xml:space="preserve">stakeholders described </w:t>
      </w:r>
      <w:r w:rsidR="006D0C62" w:rsidRPr="00267F53">
        <w:rPr>
          <w:rFonts w:cstheme="minorHAnsi"/>
        </w:rPr>
        <w:t>areas where the bi-national regulatory requirements do not align with international standards and approaches.</w:t>
      </w:r>
    </w:p>
    <w:p w14:paraId="4D3EF410" w14:textId="77777777" w:rsidR="008A1589" w:rsidRPr="00267F53" w:rsidRDefault="008A1589" w:rsidP="00E647A7">
      <w:pPr>
        <w:rPr>
          <w:lang w:eastAsia="en-US"/>
        </w:rPr>
      </w:pPr>
    </w:p>
    <w:p w14:paraId="0325F0B1" w14:textId="77777777" w:rsidR="008A1589" w:rsidRPr="00267F53" w:rsidRDefault="008A1589" w:rsidP="00E647A7">
      <w:pPr>
        <w:pStyle w:val="Default"/>
        <w:rPr>
          <w:rFonts w:asciiTheme="minorHAnsi" w:hAnsiTheme="minorHAnsi" w:cstheme="minorHAnsi"/>
          <w:lang w:val="en-AU"/>
        </w:rPr>
      </w:pPr>
      <w:r w:rsidRPr="00267F53">
        <w:rPr>
          <w:rFonts w:asciiTheme="minorHAnsi" w:hAnsiTheme="minorHAnsi" w:cstheme="minorHAnsi"/>
          <w:lang w:val="en-AU"/>
        </w:rPr>
        <w:t>Some specific areas that industry raised included:</w:t>
      </w:r>
    </w:p>
    <w:p w14:paraId="618F78D6" w14:textId="77777777" w:rsidR="00EA2E39" w:rsidRPr="00267F53" w:rsidRDefault="00EA2E39" w:rsidP="008A1589">
      <w:pPr>
        <w:pStyle w:val="Default"/>
        <w:rPr>
          <w:rFonts w:asciiTheme="minorHAnsi" w:hAnsiTheme="minorHAnsi" w:cstheme="minorHAnsi"/>
          <w:lang w:val="en-AU"/>
        </w:rPr>
      </w:pPr>
    </w:p>
    <w:p w14:paraId="581B8EF9" w14:textId="77777777" w:rsidR="00D06DAD" w:rsidRPr="00267F53" w:rsidRDefault="00D06DAD" w:rsidP="008A1589">
      <w:pPr>
        <w:pStyle w:val="Bullet1"/>
        <w:rPr>
          <w:b/>
          <w:bCs w:val="0"/>
        </w:rPr>
      </w:pPr>
      <w:r w:rsidRPr="00267F53">
        <w:rPr>
          <w:b/>
          <w:bCs w:val="0"/>
        </w:rPr>
        <w:t>Novel foods</w:t>
      </w:r>
      <w:r w:rsidRPr="00267F53">
        <w:t xml:space="preserve"> </w:t>
      </w:r>
    </w:p>
    <w:p w14:paraId="3448C026" w14:textId="77777777" w:rsidR="00D06DAD" w:rsidRPr="00267F53" w:rsidRDefault="00D06DAD" w:rsidP="00667C32">
      <w:pPr>
        <w:pStyle w:val="Bullets2"/>
        <w:rPr>
          <w:b/>
        </w:rPr>
      </w:pPr>
      <w:r w:rsidRPr="00267F53">
        <w:t>While it was acknowledged that FSANZ has regard to international standards (such as those developed by the Codex Alimentarius and the WHO’s Joint Expert Committee on Food Additives) in its assessment and standard development processes, it was suggested that international evidence should be considered when FSANZ is assessing novel foods as this may ‘help facilitate speed to market for innovation and reduce regulatory burden and duplication’.</w:t>
      </w:r>
    </w:p>
    <w:p w14:paraId="6600358A" w14:textId="77777777" w:rsidR="00D06DAD" w:rsidRPr="00267F53" w:rsidRDefault="00D06DAD" w:rsidP="00667C32">
      <w:pPr>
        <w:pStyle w:val="Bullets2"/>
        <w:numPr>
          <w:ilvl w:val="0"/>
          <w:numId w:val="0"/>
        </w:numPr>
        <w:ind w:left="851"/>
      </w:pPr>
    </w:p>
    <w:p w14:paraId="3112D0C4" w14:textId="77777777" w:rsidR="008A1589" w:rsidRPr="00267F53" w:rsidRDefault="008A1589" w:rsidP="008A1589">
      <w:pPr>
        <w:pStyle w:val="Bullet1"/>
        <w:rPr>
          <w:b/>
          <w:bCs w:val="0"/>
        </w:rPr>
      </w:pPr>
      <w:r w:rsidRPr="00267F53">
        <w:rPr>
          <w:b/>
          <w:bCs w:val="0"/>
        </w:rPr>
        <w:t xml:space="preserve">Allulose status </w:t>
      </w:r>
    </w:p>
    <w:p w14:paraId="39DFBCAE" w14:textId="77777777" w:rsidR="008A1589" w:rsidRPr="00267F53" w:rsidRDefault="008A1589" w:rsidP="00667C32">
      <w:pPr>
        <w:pStyle w:val="Bullets2"/>
      </w:pPr>
      <w:r w:rsidRPr="00267F53">
        <w:t>Allulose is widely used as a sugar substitute as it has ‘the bulk and the mouth feel of table sugar with reduced caloric content’ but contains fewer calories (approx. 0.4cal/gram)</w:t>
      </w:r>
      <w:r w:rsidRPr="00267F53">
        <w:rPr>
          <w:vertAlign w:val="superscript"/>
        </w:rPr>
        <w:footnoteReference w:id="3"/>
      </w:r>
      <w:r w:rsidRPr="00267F53">
        <w:t xml:space="preserve">. In Australia and New Zealand, allulose is considered a ‘sugar’ for the purposes of preparing nutrition information panels and ingredients lists. The FDA released </w:t>
      </w:r>
      <w:hyperlink r:id="rId32" w:history="1">
        <w:r w:rsidRPr="00267F53">
          <w:rPr>
            <w:rStyle w:val="Hyperlink"/>
            <w:i/>
            <w:iCs w:val="0"/>
            <w:color w:val="auto"/>
            <w:u w:val="none"/>
          </w:rPr>
          <w:t>The Declaration of Allulose and Calories from Allulose on Nutrition and Supplement Facts Labels: Guidance for Industry</w:t>
        </w:r>
      </w:hyperlink>
      <w:r w:rsidRPr="00267F53">
        <w:t xml:space="preserve"> in October 2020 stating that it intends to ‘exercise enforcement discretion with respect to the exclusion of allulose from the amount of “Total Sugars” declared on the label pending future rulemaking regarding amending the definition of “Total Sugars”’. Some stakeholders </w:t>
      </w:r>
      <w:r w:rsidR="008E4A33" w:rsidRPr="00267F53">
        <w:t xml:space="preserve">(particularly those in </w:t>
      </w:r>
      <w:r w:rsidR="000332EA" w:rsidRPr="00267F53">
        <w:t>the beverage and confectionary</w:t>
      </w:r>
      <w:r w:rsidR="008E4A33" w:rsidRPr="00267F53">
        <w:t xml:space="preserve"> industries) </w:t>
      </w:r>
      <w:r w:rsidRPr="00267F53">
        <w:t>are seeking similar guidance from FSANZ, noting ‘this uncertainty locally, and the complexity of making an Application to address this, continues to limit the beverage industry’s ability to bring products to these markets as the size of the potential market does not justify the cost and delay in seeking an amendment to the Code’.</w:t>
      </w:r>
    </w:p>
    <w:p w14:paraId="57563201" w14:textId="77777777" w:rsidR="008A1589" w:rsidRPr="00267F53" w:rsidRDefault="008A1589" w:rsidP="00667C32">
      <w:pPr>
        <w:pStyle w:val="Bullets2"/>
        <w:numPr>
          <w:ilvl w:val="0"/>
          <w:numId w:val="0"/>
        </w:numPr>
        <w:ind w:left="851"/>
      </w:pPr>
    </w:p>
    <w:p w14:paraId="20C9458E" w14:textId="77777777" w:rsidR="008A1589" w:rsidRPr="00267F53" w:rsidRDefault="008A1589" w:rsidP="008A1589">
      <w:pPr>
        <w:pStyle w:val="Boldbullet1"/>
        <w:rPr>
          <w:lang w:bidi="th-TH"/>
        </w:rPr>
      </w:pPr>
      <w:r w:rsidRPr="00267F53">
        <w:rPr>
          <w:lang w:bidi="th-TH"/>
        </w:rPr>
        <w:t xml:space="preserve">Maximum residue limits </w:t>
      </w:r>
    </w:p>
    <w:p w14:paraId="647E0F5B" w14:textId="77777777" w:rsidR="008A1589" w:rsidRPr="00267F53" w:rsidRDefault="00000000" w:rsidP="00667C32">
      <w:pPr>
        <w:pStyle w:val="Bullets2"/>
      </w:pPr>
      <w:hyperlink r:id="rId33" w:history="1">
        <w:r w:rsidR="008A1589" w:rsidRPr="00267F53">
          <w:rPr>
            <w:rStyle w:val="Hyperlink"/>
            <w:rFonts w:cstheme="minorHAnsi"/>
          </w:rPr>
          <w:t>Schedule 20 – Maximum residue limits</w:t>
        </w:r>
      </w:hyperlink>
      <w:r w:rsidR="008A1589" w:rsidRPr="00267F53">
        <w:rPr>
          <w:i/>
        </w:rPr>
        <w:t xml:space="preserve"> </w:t>
      </w:r>
      <w:r w:rsidR="008A1589" w:rsidRPr="00267F53">
        <w:t xml:space="preserve">sets out the agricultural and veterinary chemicals, and their permitted residues, that may be contained in a food for sale in Australia. In New Zealand, maximum residue limits (MRLs) for agricultural compounds are set out in </w:t>
      </w:r>
      <w:hyperlink r:id="rId34" w:history="1">
        <w:r w:rsidR="008A1589" w:rsidRPr="00267F53">
          <w:rPr>
            <w:rStyle w:val="Hyperlink"/>
            <w:rFonts w:cstheme="minorHAnsi"/>
          </w:rPr>
          <w:t>Food Notice: Maximum Residue Levels for Agricultural Compounds</w:t>
        </w:r>
      </w:hyperlink>
      <w:r w:rsidR="008A1589" w:rsidRPr="00267F53">
        <w:t>. For those not listed, it sets an MRL of 0.1 mg/kg. Other trading partners of Australia have also established a process for recognising default MRLs to manage low levels of residues occurring in foods which present no safety risk to consumers but do not have a specified MRL.</w:t>
      </w:r>
    </w:p>
    <w:p w14:paraId="53200DCB" w14:textId="77777777" w:rsidR="008A1589" w:rsidRPr="00267F53" w:rsidRDefault="00E647A7" w:rsidP="00667C32">
      <w:pPr>
        <w:pStyle w:val="Bullets2"/>
      </w:pPr>
      <w:r w:rsidRPr="00267F53">
        <w:t>A number of industry peak bodies</w:t>
      </w:r>
      <w:r w:rsidR="008A1589" w:rsidRPr="00267F53">
        <w:t xml:space="preserve"> identified that:</w:t>
      </w:r>
    </w:p>
    <w:p w14:paraId="0FBE08A1" w14:textId="77777777" w:rsidR="008A1589" w:rsidRPr="00267F53" w:rsidRDefault="008A1589" w:rsidP="008A1589">
      <w:pPr>
        <w:pStyle w:val="Bullets3"/>
      </w:pPr>
      <w:r w:rsidRPr="00267F53">
        <w:lastRenderedPageBreak/>
        <w:t>Australia does not have a process for recognising default MRLs, and importers are prohibited from importing ingredients/food containing chemicals that are not listed in Schedule 20 of the Code into Australia</w:t>
      </w:r>
    </w:p>
    <w:p w14:paraId="085DC0D7" w14:textId="77777777" w:rsidR="008A1589" w:rsidRPr="00267F53" w:rsidRDefault="008A1589" w:rsidP="008A1589">
      <w:pPr>
        <w:pStyle w:val="Bullets3"/>
      </w:pPr>
      <w:r w:rsidRPr="00267F53">
        <w:t xml:space="preserve">while FSANZ has adopted a risk assessment approach to establishing ‘all other foods except animal food commodities MRLs’, FSANZ has not determined a process or priority list for establishing MRLs for the remaining chemicals listed in Schedule 20 of the Code. </w:t>
      </w:r>
    </w:p>
    <w:p w14:paraId="0FBB9C00" w14:textId="77777777" w:rsidR="008A1589" w:rsidRPr="00267F53" w:rsidRDefault="008A1589" w:rsidP="008A1589">
      <w:pPr>
        <w:pStyle w:val="Bullets3"/>
      </w:pPr>
      <w:r w:rsidRPr="00267F53">
        <w:t>these chemicals are frequently present at the lowest levels of detection and represent no incremental risk to consumers. Some industry stakeholders noted this has been an ongoing issue that can be costly to manage and makes it challenging for Australian manufacturers to participate equally in the global market</w:t>
      </w:r>
    </w:p>
    <w:p w14:paraId="2B5C5FB4" w14:textId="77777777" w:rsidR="008A1589" w:rsidRPr="00267F53" w:rsidRDefault="008A1589" w:rsidP="008A1589">
      <w:pPr>
        <w:pStyle w:val="Bullets3"/>
        <w:rPr>
          <w:rFonts w:cstheme="minorHAnsi"/>
        </w:rPr>
      </w:pPr>
      <w:r w:rsidRPr="00267F53">
        <w:rPr>
          <w:rFonts w:cstheme="minorHAnsi"/>
        </w:rPr>
        <w:t>the need for Australia to develop a more ‘comprehensive, innovative and timely’ approach to the management of low levels of agricultural and veterinary chemicals to better support industry to operate in the global market. It was suggested that Australia could adopt similar arrangements and default MRLs as New Zealand, Canada and other trading partner countries.</w:t>
      </w:r>
    </w:p>
    <w:p w14:paraId="11D03C9B" w14:textId="77777777" w:rsidR="008A1589" w:rsidRPr="00267F53" w:rsidRDefault="008A1589" w:rsidP="008A1589">
      <w:pPr>
        <w:rPr>
          <w:lang w:eastAsia="en-US" w:bidi="th-TH"/>
        </w:rPr>
      </w:pPr>
    </w:p>
    <w:p w14:paraId="7CB1D355" w14:textId="77777777" w:rsidR="00160AE3" w:rsidRPr="00267F53" w:rsidRDefault="00160AE3" w:rsidP="00160AE3">
      <w:pPr>
        <w:pStyle w:val="Bullet1"/>
        <w:rPr>
          <w:b/>
          <w:bCs w:val="0"/>
        </w:rPr>
      </w:pPr>
      <w:r w:rsidRPr="00267F53">
        <w:rPr>
          <w:b/>
          <w:bCs w:val="0"/>
        </w:rPr>
        <w:t>Formulated supplementary foods for young children</w:t>
      </w:r>
    </w:p>
    <w:p w14:paraId="4D055997" w14:textId="77777777" w:rsidR="00160AE3" w:rsidRPr="00267F53" w:rsidRDefault="00160AE3" w:rsidP="00667C32">
      <w:pPr>
        <w:pStyle w:val="Bullets2"/>
        <w:rPr>
          <w:rFonts w:cstheme="minorHAnsi"/>
        </w:rPr>
      </w:pPr>
      <w:r w:rsidRPr="00267F53">
        <w:t xml:space="preserve">Formulated supplementary food for young children (FSFYC) are defined under </w:t>
      </w:r>
      <w:hyperlink r:id="rId35" w:history="1">
        <w:r w:rsidRPr="00267F53">
          <w:rPr>
            <w:rStyle w:val="Hyperlink"/>
          </w:rPr>
          <w:t xml:space="preserve">Standard 1.1.2 – </w:t>
        </w:r>
        <w:r w:rsidR="00E66F7E" w:rsidRPr="00267F53">
          <w:rPr>
            <w:rStyle w:val="Hyperlink"/>
          </w:rPr>
          <w:t>Definitions used throughout the Code</w:t>
        </w:r>
      </w:hyperlink>
      <w:r w:rsidRPr="00267F53">
        <w:t xml:space="preserve"> and </w:t>
      </w:r>
      <w:hyperlink r:id="rId36" w:history="1">
        <w:r w:rsidRPr="00267F53">
          <w:rPr>
            <w:rStyle w:val="Hyperlink"/>
          </w:rPr>
          <w:t xml:space="preserve">Standard 2.9.3 </w:t>
        </w:r>
        <w:r w:rsidR="00E66F7E" w:rsidRPr="00267F53">
          <w:rPr>
            <w:rStyle w:val="Hyperlink"/>
          </w:rPr>
          <w:t>– Formulated meal replacements and formulated supplementary foods</w:t>
        </w:r>
      </w:hyperlink>
      <w:r w:rsidRPr="00267F53">
        <w:t xml:space="preserve"> as ‘a formulated supplementary food for children aged 1 to 3 years’. </w:t>
      </w:r>
    </w:p>
    <w:p w14:paraId="614ADD7B" w14:textId="77777777" w:rsidR="00AA21BC" w:rsidRPr="00267F53" w:rsidRDefault="00160AE3" w:rsidP="00667C32">
      <w:pPr>
        <w:pStyle w:val="Bullets2"/>
      </w:pPr>
      <w:r w:rsidRPr="00267F53">
        <w:t>Codex stipulates this age range as ‘12 to 36 months’. One stakeholder suggested that as the Code does not specify the age range in months, this creates ambiguity as to whether it extends to immediately before the child’s fourth birthday, or whether it stops at age 36 months. It was suggested that this inconsistency has potential to create challenges for businesses wishing to trade FSFYC internationally.</w:t>
      </w:r>
    </w:p>
    <w:p w14:paraId="101F998B" w14:textId="77777777" w:rsidR="00EF6FA2" w:rsidRPr="00267F53" w:rsidRDefault="00EF6FA2" w:rsidP="00EF6FA2">
      <w:pPr>
        <w:rPr>
          <w:rFonts w:cstheme="minorHAnsi"/>
        </w:rPr>
      </w:pPr>
    </w:p>
    <w:p w14:paraId="27522584" w14:textId="77777777" w:rsidR="00EF6FA2" w:rsidRPr="00267F53" w:rsidRDefault="00EF6FA2" w:rsidP="00EF6FA2">
      <w:pPr>
        <w:rPr>
          <w:rFonts w:cstheme="minorHAnsi"/>
        </w:rPr>
      </w:pPr>
      <w:r w:rsidRPr="00267F53">
        <w:rPr>
          <w:rFonts w:cstheme="minorHAnsi"/>
        </w:rPr>
        <w:t>Stakeholders felt that such inconsistencies:</w:t>
      </w:r>
    </w:p>
    <w:p w14:paraId="1575FF63" w14:textId="77777777" w:rsidR="00EF6FA2" w:rsidRPr="00267F53" w:rsidRDefault="00EF6FA2" w:rsidP="00EF6FA2">
      <w:pPr>
        <w:rPr>
          <w:rFonts w:cstheme="minorHAnsi"/>
        </w:rPr>
      </w:pPr>
    </w:p>
    <w:p w14:paraId="6AD348E9" w14:textId="77777777" w:rsidR="00EF6FA2" w:rsidRPr="00267F53" w:rsidRDefault="00EF6FA2" w:rsidP="00EF6FA2">
      <w:pPr>
        <w:pStyle w:val="Bullet1"/>
      </w:pPr>
      <w:r w:rsidRPr="00267F53">
        <w:t>acted as a brake on innovation</w:t>
      </w:r>
    </w:p>
    <w:p w14:paraId="46A10B94" w14:textId="77777777" w:rsidR="00EF6FA2" w:rsidRPr="00267F53" w:rsidRDefault="00EF6FA2" w:rsidP="00EF6FA2">
      <w:pPr>
        <w:pStyle w:val="Bullet1"/>
      </w:pPr>
      <w:r w:rsidRPr="00267F53">
        <w:t>presented a barrier to participation in world markets</w:t>
      </w:r>
    </w:p>
    <w:p w14:paraId="2B460D33" w14:textId="77777777" w:rsidR="00EF6FA2" w:rsidRPr="00267F53" w:rsidRDefault="00EF6FA2" w:rsidP="00EF6FA2">
      <w:pPr>
        <w:pStyle w:val="Bullet1"/>
      </w:pPr>
      <w:r w:rsidRPr="00267F53">
        <w:t>resulted in duplication of effort (for those applying for amendments to the Code and for regulators)</w:t>
      </w:r>
    </w:p>
    <w:p w14:paraId="39752E9A" w14:textId="77777777" w:rsidR="00EF6FA2" w:rsidRPr="00267F53" w:rsidRDefault="00EF6FA2" w:rsidP="00667C32">
      <w:pPr>
        <w:pStyle w:val="Bullets2"/>
      </w:pPr>
      <w:r w:rsidRPr="00267F53">
        <w:t>It was suggested that the lack of consistency with regard to reference of international standards and risk assessments means that FSANZ sometimes duplicates work that has already taken place overseas. Some stakeholders highlighted that this is not cost-effective or risk-proportionate and limits the ability of Australian and New Zealand industry to innovate.</w:t>
      </w:r>
    </w:p>
    <w:p w14:paraId="5F8991F3" w14:textId="77777777" w:rsidR="00EF6FA2" w:rsidRPr="00267F53" w:rsidRDefault="00EF6FA2" w:rsidP="00667C32">
      <w:pPr>
        <w:pStyle w:val="Bullets2"/>
      </w:pPr>
      <w:r w:rsidRPr="00267F53">
        <w:t>It was also suggested that other countries (such as the US Food and Drug Administration (FDA), Health Canada and the European Food Safety Authority (EFSA)) have articulated processes for risk assessment in food regulation that could be reliably used as an evidence base for adopting standards or making changes to the Code</w:t>
      </w:r>
    </w:p>
    <w:p w14:paraId="3BB10679" w14:textId="77777777" w:rsidR="00EF6FA2" w:rsidRPr="00267F53" w:rsidRDefault="00EF6FA2" w:rsidP="00667C32">
      <w:pPr>
        <w:pStyle w:val="Bullets2"/>
        <w:numPr>
          <w:ilvl w:val="0"/>
          <w:numId w:val="0"/>
        </w:numPr>
      </w:pPr>
    </w:p>
    <w:p w14:paraId="115218B7" w14:textId="77777777" w:rsidR="001C0606" w:rsidRPr="00267F53" w:rsidRDefault="00104E8E" w:rsidP="00171075">
      <w:pPr>
        <w:pStyle w:val="Heading2"/>
        <w:shd w:val="clear" w:color="auto" w:fill="368A72"/>
      </w:pPr>
      <w:bookmarkStart w:id="38" w:name="_Toc65059143"/>
      <w:r w:rsidRPr="00267F53">
        <w:lastRenderedPageBreak/>
        <w:t xml:space="preserve">Inconsistent approaches to the </w:t>
      </w:r>
      <w:r w:rsidR="001F1CA2" w:rsidRPr="00267F53">
        <w:t xml:space="preserve">regulation of food </w:t>
      </w:r>
      <w:r w:rsidR="008E4A33" w:rsidRPr="00267F53">
        <w:t xml:space="preserve">businesses </w:t>
      </w:r>
      <w:r w:rsidR="00F03E8B" w:rsidRPr="00267F53">
        <w:t xml:space="preserve">across </w:t>
      </w:r>
      <w:r w:rsidR="00930EBB" w:rsidRPr="00267F53">
        <w:t xml:space="preserve">Australian </w:t>
      </w:r>
      <w:r w:rsidR="00D140FE" w:rsidRPr="00267F53">
        <w:t>jurisdictions</w:t>
      </w:r>
      <w:bookmarkEnd w:id="38"/>
    </w:p>
    <w:p w14:paraId="158AE645" w14:textId="77777777" w:rsidR="008A6991" w:rsidRPr="00267F53" w:rsidRDefault="008A6991" w:rsidP="00E66F7E">
      <w:pPr>
        <w:keepNext/>
      </w:pPr>
    </w:p>
    <w:p w14:paraId="0CB0AAFA" w14:textId="77777777" w:rsidR="001F1CA2" w:rsidRPr="00267F53" w:rsidRDefault="001F1CA2" w:rsidP="00E66F7E">
      <w:pPr>
        <w:keepNext/>
        <w:pBdr>
          <w:top w:val="single" w:sz="4" w:space="1" w:color="auto"/>
          <w:left w:val="single" w:sz="4" w:space="4" w:color="auto"/>
          <w:bottom w:val="single" w:sz="4" w:space="1" w:color="auto"/>
          <w:right w:val="single" w:sz="4" w:space="4" w:color="auto"/>
        </w:pBdr>
        <w:rPr>
          <w:b/>
          <w:bCs/>
        </w:rPr>
      </w:pPr>
      <w:r w:rsidRPr="00267F53">
        <w:rPr>
          <w:b/>
          <w:bCs/>
        </w:rPr>
        <w:t>Registration and classification of food businesses</w:t>
      </w:r>
    </w:p>
    <w:p w14:paraId="709BFE5A" w14:textId="77777777" w:rsidR="00E647A7" w:rsidRPr="00267F53" w:rsidRDefault="00E647A7" w:rsidP="00E647A7"/>
    <w:p w14:paraId="2B79B21E" w14:textId="77777777" w:rsidR="00104E8E" w:rsidRPr="00267F53" w:rsidRDefault="00E647A7" w:rsidP="00E647A7">
      <w:r w:rsidRPr="00267F53">
        <w:t xml:space="preserve">Food businesses and some Australian State/Territory and local governments raised the following issues </w:t>
      </w:r>
      <w:r w:rsidR="00104E8E" w:rsidRPr="00267F53">
        <w:t>in relation to the reg</w:t>
      </w:r>
      <w:r w:rsidR="003C0C8C" w:rsidRPr="00267F53">
        <w:t xml:space="preserve">istration and classification of </w:t>
      </w:r>
      <w:r w:rsidR="00104E8E" w:rsidRPr="00267F53">
        <w:t>food businesses:</w:t>
      </w:r>
    </w:p>
    <w:p w14:paraId="76B2E044" w14:textId="77777777" w:rsidR="003C0C8C" w:rsidRPr="00267F53" w:rsidRDefault="003C0C8C" w:rsidP="007E60DF">
      <w:pPr>
        <w:pStyle w:val="Bullet1"/>
        <w:numPr>
          <w:ilvl w:val="0"/>
          <w:numId w:val="0"/>
        </w:numPr>
      </w:pPr>
    </w:p>
    <w:p w14:paraId="475299D2" w14:textId="77777777" w:rsidR="00104E8E" w:rsidRPr="00267F53" w:rsidRDefault="00104E8E" w:rsidP="0070222A">
      <w:pPr>
        <w:pStyle w:val="Bullet1"/>
      </w:pPr>
      <w:r w:rsidRPr="00267F53">
        <w:rPr>
          <w:b/>
          <w:bCs w:val="0"/>
        </w:rPr>
        <w:t>the process and fees for notifying or registering a food business differs between jurisdictions (and even within some jurisdictions),</w:t>
      </w:r>
      <w:r w:rsidRPr="00267F53">
        <w:rPr>
          <w:rFonts w:asciiTheme="minorHAnsi" w:hAnsiTheme="minorHAnsi"/>
          <w:b/>
          <w:bCs w:val="0"/>
        </w:rPr>
        <w:t xml:space="preserve"> creating confusion for business owners and for some regulators</w:t>
      </w:r>
      <w:r w:rsidRPr="00267F53">
        <w:rPr>
          <w:rFonts w:asciiTheme="minorHAnsi" w:hAnsiTheme="minorHAnsi"/>
        </w:rPr>
        <w:t>.</w:t>
      </w:r>
      <w:r w:rsidRPr="00267F53">
        <w:t xml:space="preserve"> For example:</w:t>
      </w:r>
    </w:p>
    <w:p w14:paraId="46E3F6B7" w14:textId="77777777" w:rsidR="00104E8E" w:rsidRPr="00267F53" w:rsidRDefault="00104E8E" w:rsidP="00667C32">
      <w:pPr>
        <w:pStyle w:val="Bullets2"/>
      </w:pPr>
      <w:r w:rsidRPr="00267F53">
        <w:t xml:space="preserve">In the </w:t>
      </w:r>
      <w:hyperlink r:id="rId37" w:history="1">
        <w:r w:rsidRPr="00267F53">
          <w:rPr>
            <w:rStyle w:val="Hyperlink"/>
          </w:rPr>
          <w:t>Northern Territory</w:t>
        </w:r>
      </w:hyperlink>
      <w:r w:rsidRPr="00267F53">
        <w:t>, all food businesses need to be registered with the NT Department of Health. Registration can cost up to $217 and must be renewed annually for a fee of up to $175.</w:t>
      </w:r>
    </w:p>
    <w:p w14:paraId="327C93C3" w14:textId="77777777" w:rsidR="00104E8E" w:rsidRPr="00267F53" w:rsidRDefault="00104E8E" w:rsidP="00667C32">
      <w:pPr>
        <w:pStyle w:val="Bullets2"/>
      </w:pPr>
      <w:r w:rsidRPr="00267F53">
        <w:t xml:space="preserve">In </w:t>
      </w:r>
      <w:hyperlink r:id="rId38" w:history="1">
        <w:r w:rsidRPr="00267F53">
          <w:rPr>
            <w:rStyle w:val="Hyperlink"/>
          </w:rPr>
          <w:t>Western Australia</w:t>
        </w:r>
      </w:hyperlink>
      <w:r w:rsidRPr="00267F53">
        <w:t>, food businesses are required to pay a one-off registration fee of $228 to register with WA Department of Health.</w:t>
      </w:r>
    </w:p>
    <w:p w14:paraId="703D6C0A" w14:textId="77777777" w:rsidR="00104E8E" w:rsidRPr="00267F53" w:rsidRDefault="00104E8E" w:rsidP="00667C32">
      <w:pPr>
        <w:pStyle w:val="Bullets2"/>
      </w:pPr>
      <w:r w:rsidRPr="00267F53">
        <w:t xml:space="preserve">In </w:t>
      </w:r>
      <w:hyperlink r:id="rId39" w:history="1">
        <w:r w:rsidRPr="00267F53">
          <w:rPr>
            <w:rStyle w:val="Hyperlink"/>
          </w:rPr>
          <w:t>Victoria</w:t>
        </w:r>
      </w:hyperlink>
      <w:r w:rsidRPr="00267F53">
        <w:t>, all food Class 1, 2 and 3 businesses must register with their local council and pay an annual registration fee. These differ significantly between local councils but can be more than $1,000. Class 4 businesses must notify their local council.</w:t>
      </w:r>
    </w:p>
    <w:p w14:paraId="7F66B16B" w14:textId="77777777" w:rsidR="00104E8E" w:rsidRPr="00267F53" w:rsidRDefault="00104E8E" w:rsidP="00667C32">
      <w:pPr>
        <w:pStyle w:val="Bullets2"/>
      </w:pPr>
      <w:r w:rsidRPr="00267F53">
        <w:t xml:space="preserve">In </w:t>
      </w:r>
      <w:hyperlink r:id="rId40" w:history="1">
        <w:r w:rsidRPr="00267F53">
          <w:rPr>
            <w:rStyle w:val="Hyperlink"/>
          </w:rPr>
          <w:t>South Australia</w:t>
        </w:r>
      </w:hyperlink>
      <w:r w:rsidRPr="00267F53">
        <w:t>, food businesses must notify their local council. There is no registration fee.</w:t>
      </w:r>
    </w:p>
    <w:p w14:paraId="21B14464" w14:textId="77777777" w:rsidR="00B66AE6" w:rsidRPr="00267F53" w:rsidRDefault="00B66AE6" w:rsidP="00667C32">
      <w:pPr>
        <w:pStyle w:val="Bullets2"/>
      </w:pPr>
      <w:r w:rsidRPr="00267F53">
        <w:t xml:space="preserve">In </w:t>
      </w:r>
      <w:hyperlink r:id="rId41" w:history="1">
        <w:r w:rsidRPr="00267F53">
          <w:rPr>
            <w:rStyle w:val="Hyperlink"/>
          </w:rPr>
          <w:t>Queensland</w:t>
        </w:r>
      </w:hyperlink>
      <w:r w:rsidRPr="00267F53">
        <w:t>, food businesses are licensed by local governments, with the fee structure varying across local government areas.</w:t>
      </w:r>
    </w:p>
    <w:p w14:paraId="2899872C" w14:textId="77777777" w:rsidR="00104E8E" w:rsidRPr="00267F53" w:rsidRDefault="00104E8E" w:rsidP="00667C32">
      <w:pPr>
        <w:pStyle w:val="Bullets2"/>
      </w:pPr>
      <w:r w:rsidRPr="00267F53">
        <w:t xml:space="preserve">In </w:t>
      </w:r>
      <w:hyperlink r:id="rId42" w:history="1">
        <w:r w:rsidRPr="00267F53">
          <w:rPr>
            <w:rStyle w:val="Hyperlink"/>
          </w:rPr>
          <w:t>Tasmania</w:t>
        </w:r>
      </w:hyperlink>
      <w:r w:rsidRPr="00267F53">
        <w:t>, Priority 1, 2 and 3 business must register with their local council and pay an annual registration fee, which differs between local councils. Priority 3N and 4 businesses must notify their local council.</w:t>
      </w:r>
    </w:p>
    <w:p w14:paraId="24E36A78" w14:textId="77777777" w:rsidR="00104E8E" w:rsidRPr="00267F53" w:rsidRDefault="00104E8E" w:rsidP="00667C32">
      <w:pPr>
        <w:pStyle w:val="Bullets2"/>
      </w:pPr>
      <w:r w:rsidRPr="00267F53">
        <w:t xml:space="preserve">In the </w:t>
      </w:r>
      <w:hyperlink r:id="rId43" w:history="1">
        <w:r w:rsidRPr="00267F53">
          <w:rPr>
            <w:rStyle w:val="Hyperlink"/>
          </w:rPr>
          <w:t>ACT</w:t>
        </w:r>
      </w:hyperlink>
      <w:r w:rsidRPr="00267F53">
        <w:t>, most food businesses must be registered with the Health Protection Service. Registration can last up to three years and costs up to $828.</w:t>
      </w:r>
    </w:p>
    <w:p w14:paraId="43783C02" w14:textId="77777777" w:rsidR="00104E8E" w:rsidRPr="00267F53" w:rsidRDefault="00104E8E" w:rsidP="00667C32">
      <w:pPr>
        <w:pStyle w:val="Bullets2"/>
      </w:pPr>
      <w:r w:rsidRPr="00267F53">
        <w:t xml:space="preserve">In </w:t>
      </w:r>
      <w:hyperlink r:id="rId44" w:history="1">
        <w:r w:rsidRPr="00267F53">
          <w:rPr>
            <w:rStyle w:val="Hyperlink"/>
          </w:rPr>
          <w:t>New South Wales</w:t>
        </w:r>
      </w:hyperlink>
      <w:r w:rsidRPr="00267F53">
        <w:t xml:space="preserve">, </w:t>
      </w:r>
      <w:r w:rsidR="001C0C68" w:rsidRPr="00267F53">
        <w:t xml:space="preserve">food </w:t>
      </w:r>
      <w:r w:rsidRPr="00267F53">
        <w:t xml:space="preserve">businesses need to notify </w:t>
      </w:r>
      <w:r w:rsidR="00101538" w:rsidRPr="00267F53">
        <w:t xml:space="preserve">either </w:t>
      </w:r>
      <w:r w:rsidRPr="00267F53">
        <w:t>the NSW Food Authority</w:t>
      </w:r>
      <w:r w:rsidR="001C0C68" w:rsidRPr="00267F53">
        <w:t xml:space="preserve"> or local government. Certain</w:t>
      </w:r>
      <w:r w:rsidRPr="00267F53">
        <w:t xml:space="preserve"> food industries need to apply for a licence through the NSW Food Authority</w:t>
      </w:r>
      <w:r w:rsidR="002D37CA" w:rsidRPr="00267F53">
        <w:t>. The fees for licenced industries are based on the business’ number of fulltime employees</w:t>
      </w:r>
      <w:r w:rsidR="00101538" w:rsidRPr="00267F53">
        <w:t>, while the fees charged by local governments can vary</w:t>
      </w:r>
      <w:r w:rsidR="002D37CA" w:rsidRPr="00267F53">
        <w:t>.</w:t>
      </w:r>
      <w:r w:rsidRPr="00267F53">
        <w:t xml:space="preserve"> </w:t>
      </w:r>
    </w:p>
    <w:p w14:paraId="76A2FE54" w14:textId="77777777" w:rsidR="00104E8E" w:rsidRPr="00267F53" w:rsidRDefault="00104E8E" w:rsidP="00667C32">
      <w:pPr>
        <w:pStyle w:val="Bullets2"/>
      </w:pPr>
      <w:r w:rsidRPr="00267F53">
        <w:t xml:space="preserve">In </w:t>
      </w:r>
      <w:hyperlink r:id="rId45" w:history="1">
        <w:r w:rsidRPr="00267F53">
          <w:rPr>
            <w:rStyle w:val="Hyperlink"/>
          </w:rPr>
          <w:t>New Zealand</w:t>
        </w:r>
      </w:hyperlink>
      <w:r w:rsidRPr="00267F53">
        <w:t>, food businesses must register with their local council, or with the MPI if operating in more than one local council area.</w:t>
      </w:r>
    </w:p>
    <w:p w14:paraId="6603C20B" w14:textId="77777777" w:rsidR="00104E8E" w:rsidRPr="00267F53" w:rsidRDefault="00104E8E" w:rsidP="00667C32">
      <w:pPr>
        <w:pStyle w:val="Bullets2"/>
        <w:numPr>
          <w:ilvl w:val="0"/>
          <w:numId w:val="0"/>
        </w:numPr>
        <w:ind w:left="851"/>
      </w:pPr>
    </w:p>
    <w:p w14:paraId="3937FEA2" w14:textId="77777777" w:rsidR="001C0606" w:rsidRPr="00267F53" w:rsidRDefault="00104E8E" w:rsidP="003C0C8C">
      <w:pPr>
        <w:pStyle w:val="Bullet1"/>
      </w:pPr>
      <w:r w:rsidRPr="00267F53">
        <w:rPr>
          <w:b/>
          <w:bCs w:val="0"/>
        </w:rPr>
        <w:t>different</w:t>
      </w:r>
      <w:r w:rsidR="001C0606" w:rsidRPr="00267F53">
        <w:rPr>
          <w:b/>
          <w:bCs w:val="0"/>
        </w:rPr>
        <w:t xml:space="preserve"> jurisdictions use different approaches to classify food businesses according to the level of risk their food handling activities pose</w:t>
      </w:r>
      <w:r w:rsidR="001C0606" w:rsidRPr="00267F53">
        <w:t>.</w:t>
      </w:r>
      <w:r w:rsidR="0087391E" w:rsidRPr="00267F53">
        <w:t xml:space="preserve"> </w:t>
      </w:r>
      <w:r w:rsidRPr="00267F53">
        <w:t>It was suggested that t</w:t>
      </w:r>
      <w:r w:rsidR="0087391E" w:rsidRPr="00267F53">
        <w:t xml:space="preserve">his can result in businesses undertaking the same types of activities and selling the same types of food products being categorised differently in different jurisdictions </w:t>
      </w:r>
      <w:r w:rsidRPr="00267F53">
        <w:t xml:space="preserve">(resulting </w:t>
      </w:r>
      <w:r w:rsidR="0087391E" w:rsidRPr="00267F53">
        <w:t>in an increased compliance burden for some food businesses based on their location</w:t>
      </w:r>
      <w:r w:rsidRPr="00267F53">
        <w:t>)</w:t>
      </w:r>
      <w:r w:rsidR="0087391E" w:rsidRPr="00267F53">
        <w:t>.</w:t>
      </w:r>
    </w:p>
    <w:p w14:paraId="34305023" w14:textId="77777777" w:rsidR="00104E8E" w:rsidRPr="00267F53" w:rsidRDefault="0087391E" w:rsidP="00667C32">
      <w:pPr>
        <w:pStyle w:val="Bullets2"/>
      </w:pPr>
      <w:r w:rsidRPr="00267F53">
        <w:t xml:space="preserve">While </w:t>
      </w:r>
      <w:r w:rsidR="006B2A74" w:rsidRPr="00267F53">
        <w:t>many</w:t>
      </w:r>
      <w:r w:rsidRPr="00267F53">
        <w:t xml:space="preserve"> jurisdictions </w:t>
      </w:r>
      <w:r w:rsidR="006B2A74" w:rsidRPr="00267F53">
        <w:t>have adopted</w:t>
      </w:r>
      <w:r w:rsidRPr="00267F53">
        <w:t xml:space="preserve"> the national risk profiling tool and </w:t>
      </w:r>
      <w:hyperlink r:id="rId46" w:history="1">
        <w:r w:rsidRPr="00267F53">
          <w:rPr>
            <w:rStyle w:val="Hyperlink"/>
          </w:rPr>
          <w:t>Risk Profiling Framework</w:t>
        </w:r>
      </w:hyperlink>
      <w:r w:rsidRPr="00267F53">
        <w:t xml:space="preserve"> endorsed by </w:t>
      </w:r>
      <w:r w:rsidR="00104E8E" w:rsidRPr="00267F53">
        <w:t xml:space="preserve">FRSC </w:t>
      </w:r>
      <w:r w:rsidR="006B2A74" w:rsidRPr="00267F53">
        <w:t>(with varying degrees of modifications)</w:t>
      </w:r>
      <w:r w:rsidRPr="00267F53">
        <w:t xml:space="preserve">, </w:t>
      </w:r>
      <w:r w:rsidR="00755C8C" w:rsidRPr="00267F53">
        <w:t>others have a ‘Class 1-4’ system and others still use a ‘High – Low’ risk system</w:t>
      </w:r>
      <w:r w:rsidRPr="00267F53">
        <w:t xml:space="preserve">. </w:t>
      </w:r>
    </w:p>
    <w:p w14:paraId="3C7F2CE6" w14:textId="77777777" w:rsidR="00104E8E" w:rsidRPr="00267F53" w:rsidRDefault="00104E8E" w:rsidP="00667C32">
      <w:pPr>
        <w:pStyle w:val="Bullets2"/>
      </w:pPr>
      <w:r w:rsidRPr="00267F53">
        <w:rPr>
          <w:rFonts w:asciiTheme="minorHAnsi" w:hAnsiTheme="minorHAnsi"/>
        </w:rPr>
        <w:t xml:space="preserve">The impact is that additional regulatory </w:t>
      </w:r>
      <w:r w:rsidRPr="00267F53">
        <w:t xml:space="preserve">requirements may be implemented on different business sectors across jurisdictions and create inconsistencies, especially where a </w:t>
      </w:r>
      <w:r w:rsidRPr="00267F53">
        <w:lastRenderedPageBreak/>
        <w:t>business is a national organisation. Inconsistencies of this nature also reduce the ability for jurisdictions to share resources or systems and better manage limited resources.</w:t>
      </w:r>
    </w:p>
    <w:p w14:paraId="75EA59C1" w14:textId="77777777" w:rsidR="00740067" w:rsidRPr="00267F53" w:rsidRDefault="00740067" w:rsidP="00667C32">
      <w:pPr>
        <w:pStyle w:val="Bullets2"/>
      </w:pPr>
      <w:r w:rsidRPr="00267F53">
        <w:t xml:space="preserve">Where similar businesses are classified at a different risk level based on the jurisdiction the business is located, this can creates commercial disadvantage for businesses classified as higher risk (for example, where registration/audit fees might be higher, and the compliance burden may be greater). </w:t>
      </w:r>
    </w:p>
    <w:p w14:paraId="3A823806" w14:textId="77777777" w:rsidR="00E647A7" w:rsidRPr="00267F53" w:rsidRDefault="00E647A7" w:rsidP="001F1CA2"/>
    <w:p w14:paraId="30AC2236" w14:textId="77777777" w:rsidR="00BD1DE7" w:rsidRPr="00267F53" w:rsidRDefault="001F1CA2" w:rsidP="001F1CA2">
      <w:pPr>
        <w:pBdr>
          <w:top w:val="single" w:sz="4" w:space="1" w:color="auto"/>
          <w:left w:val="single" w:sz="4" w:space="4" w:color="auto"/>
          <w:bottom w:val="single" w:sz="4" w:space="1" w:color="auto"/>
          <w:right w:val="single" w:sz="4" w:space="4" w:color="auto"/>
        </w:pBdr>
        <w:rPr>
          <w:b/>
          <w:bCs/>
        </w:rPr>
      </w:pPr>
      <w:r w:rsidRPr="00267F53">
        <w:rPr>
          <w:b/>
          <w:bCs/>
        </w:rPr>
        <w:t>Foo</w:t>
      </w:r>
      <w:r w:rsidR="00BD1DE7" w:rsidRPr="00267F53">
        <w:rPr>
          <w:b/>
          <w:bCs/>
        </w:rPr>
        <w:t xml:space="preserve">d </w:t>
      </w:r>
      <w:r w:rsidR="00E43631" w:rsidRPr="00267F53">
        <w:rPr>
          <w:b/>
          <w:bCs/>
        </w:rPr>
        <w:t>safety programs</w:t>
      </w:r>
      <w:r w:rsidR="00AD1174" w:rsidRPr="00267F53">
        <w:rPr>
          <w:b/>
          <w:bCs/>
        </w:rPr>
        <w:t xml:space="preserve"> </w:t>
      </w:r>
      <w:r w:rsidR="003C0C8C" w:rsidRPr="00267F53">
        <w:rPr>
          <w:b/>
          <w:bCs/>
        </w:rPr>
        <w:t xml:space="preserve">and </w:t>
      </w:r>
      <w:r w:rsidR="00A34868" w:rsidRPr="00267F53">
        <w:rPr>
          <w:b/>
          <w:bCs/>
        </w:rPr>
        <w:t>supervisors</w:t>
      </w:r>
    </w:p>
    <w:p w14:paraId="56A937E6" w14:textId="77777777" w:rsidR="00BD1DE7" w:rsidRPr="00267F53" w:rsidRDefault="00BD1DE7" w:rsidP="001F1CA2"/>
    <w:p w14:paraId="34D25AEE" w14:textId="77777777" w:rsidR="00A34868" w:rsidRPr="00267F53" w:rsidRDefault="00101538" w:rsidP="00BD1DE7">
      <w:r w:rsidRPr="00267F53">
        <w:t xml:space="preserve">The Code </w:t>
      </w:r>
      <w:r w:rsidR="00BD1DE7" w:rsidRPr="00267F53">
        <w:t>requires certain high-risk businesses to maintain a food safety program</w:t>
      </w:r>
      <w:r w:rsidRPr="00267F53">
        <w:t xml:space="preserve"> (to be developed in accordance with </w:t>
      </w:r>
      <w:hyperlink r:id="rId47" w:history="1">
        <w:r w:rsidRPr="00267F53">
          <w:rPr>
            <w:rStyle w:val="Hyperlink"/>
          </w:rPr>
          <w:t>Standard 3.2.1 – Food Safety Programs</w:t>
        </w:r>
      </w:hyperlink>
      <w:r w:rsidRPr="00267F53">
        <w:rPr>
          <w:rStyle w:val="Hyperlink"/>
        </w:rPr>
        <w:t>)</w:t>
      </w:r>
      <w:r w:rsidR="00BD1DE7" w:rsidRPr="00267F53">
        <w:t xml:space="preserve">. A Food Safety Program is </w:t>
      </w:r>
      <w:r w:rsidR="00A34868" w:rsidRPr="00267F53">
        <w:t xml:space="preserve">a </w:t>
      </w:r>
      <w:r w:rsidR="00BD1DE7" w:rsidRPr="00267F53">
        <w:t xml:space="preserve">written document indicating how a food business will control the food safety hazards associated with the food handling activities of the business. </w:t>
      </w:r>
    </w:p>
    <w:p w14:paraId="04F73747" w14:textId="77777777" w:rsidR="00A34868" w:rsidRPr="00267F53" w:rsidRDefault="00A34868" w:rsidP="00BD1DE7"/>
    <w:p w14:paraId="1B1057F7" w14:textId="77777777" w:rsidR="00A34868" w:rsidRPr="00267F53" w:rsidRDefault="00A34868" w:rsidP="00BD1DE7">
      <w:r w:rsidRPr="00267F53">
        <w:t>It was suggested that jurisdictions have different approaches to:</w:t>
      </w:r>
    </w:p>
    <w:p w14:paraId="5D0B68E8" w14:textId="77777777" w:rsidR="00A34868" w:rsidRPr="00267F53" w:rsidRDefault="00A34868" w:rsidP="00BD1DE7"/>
    <w:p w14:paraId="19C485BE" w14:textId="77777777" w:rsidR="00A34868" w:rsidRPr="00267F53" w:rsidRDefault="00A34868" w:rsidP="003C0C8C">
      <w:pPr>
        <w:pStyle w:val="Bullet1"/>
      </w:pPr>
      <w:r w:rsidRPr="00267F53">
        <w:rPr>
          <w:b/>
          <w:bCs w:val="0"/>
        </w:rPr>
        <w:t xml:space="preserve">food safety </w:t>
      </w:r>
      <w:r w:rsidR="00AD1174" w:rsidRPr="00267F53">
        <w:rPr>
          <w:b/>
          <w:bCs w:val="0"/>
        </w:rPr>
        <w:t>programs</w:t>
      </w:r>
      <w:r w:rsidR="003C0C8C" w:rsidRPr="00267F53">
        <w:t xml:space="preserve"> </w:t>
      </w:r>
      <w:r w:rsidR="0088419A" w:rsidRPr="00267F53">
        <w:t>–</w:t>
      </w:r>
      <w:r w:rsidR="003C0C8C" w:rsidRPr="00267F53">
        <w:t xml:space="preserve"> </w:t>
      </w:r>
      <w:r w:rsidRPr="00267F53">
        <w:t>For</w:t>
      </w:r>
      <w:r w:rsidR="0088419A" w:rsidRPr="00267F53">
        <w:t xml:space="preserve"> </w:t>
      </w:r>
      <w:r w:rsidRPr="00267F53">
        <w:t xml:space="preserve">businesses with outlets in multiple jurisdictions, this can result in confusion and duplication of work – for example where a business is required to tailor food safety </w:t>
      </w:r>
      <w:r w:rsidR="00AD1174" w:rsidRPr="00267F53">
        <w:t>programs/plans</w:t>
      </w:r>
      <w:r w:rsidRPr="00267F53">
        <w:t xml:space="preserve"> to the requirements of each jurisdiction and must submit them to multiple regulators for review.</w:t>
      </w:r>
    </w:p>
    <w:p w14:paraId="234B8E5C" w14:textId="77777777" w:rsidR="000B76C0" w:rsidRPr="00267F53" w:rsidRDefault="000B76C0" w:rsidP="000B76C0"/>
    <w:tbl>
      <w:tblPr>
        <w:tblStyle w:val="TableGrid"/>
        <w:tblW w:w="0" w:type="auto"/>
        <w:tblLook w:val="04A0" w:firstRow="1" w:lastRow="0" w:firstColumn="1" w:lastColumn="0" w:noHBand="0" w:noVBand="1"/>
      </w:tblPr>
      <w:tblGrid>
        <w:gridCol w:w="9736"/>
      </w:tblGrid>
      <w:tr w:rsidR="000B76C0" w:rsidRPr="00267F53" w14:paraId="6949F274" w14:textId="77777777" w:rsidTr="000B76C0">
        <w:tc>
          <w:tcPr>
            <w:tcW w:w="9736" w:type="dxa"/>
            <w:shd w:val="clear" w:color="auto" w:fill="DEEAF6" w:themeFill="accent1" w:themeFillTint="33"/>
          </w:tcPr>
          <w:p w14:paraId="24A12C13" w14:textId="77777777" w:rsidR="000B76C0" w:rsidRPr="00267F53" w:rsidRDefault="000B76C0" w:rsidP="000B76C0">
            <w:pPr>
              <w:rPr>
                <w:rFonts w:asciiTheme="minorHAnsi" w:hAnsiTheme="minorHAnsi" w:cstheme="minorHAnsi"/>
                <w:b/>
                <w:bCs/>
                <w:sz w:val="24"/>
                <w:szCs w:val="24"/>
              </w:rPr>
            </w:pPr>
            <w:r w:rsidRPr="00267F53">
              <w:rPr>
                <w:rFonts w:asciiTheme="minorHAnsi" w:hAnsiTheme="minorHAnsi" w:cstheme="minorHAnsi"/>
                <w:b/>
                <w:bCs/>
                <w:sz w:val="24"/>
                <w:szCs w:val="24"/>
              </w:rPr>
              <w:t xml:space="preserve">Case study – food safety </w:t>
            </w:r>
            <w:r w:rsidR="00AD1174" w:rsidRPr="00267F53">
              <w:rPr>
                <w:rFonts w:asciiTheme="minorHAnsi" w:hAnsiTheme="minorHAnsi" w:cstheme="minorHAnsi"/>
                <w:b/>
                <w:bCs/>
                <w:sz w:val="24"/>
                <w:szCs w:val="24"/>
              </w:rPr>
              <w:t>programs</w:t>
            </w:r>
          </w:p>
          <w:p w14:paraId="5624A7C6" w14:textId="77777777" w:rsidR="000B76C0" w:rsidRPr="00267F53" w:rsidRDefault="000B76C0" w:rsidP="000B76C0">
            <w:pPr>
              <w:pStyle w:val="TableofAuthorities"/>
              <w:rPr>
                <w:rFonts w:asciiTheme="minorHAnsi" w:hAnsiTheme="minorHAnsi" w:cstheme="minorHAnsi"/>
                <w:sz w:val="24"/>
                <w:szCs w:val="24"/>
              </w:rPr>
            </w:pPr>
          </w:p>
          <w:p w14:paraId="57452CB9" w14:textId="77777777" w:rsidR="000B76C0" w:rsidRPr="00267F53" w:rsidRDefault="000B76C0" w:rsidP="000B76C0">
            <w:pPr>
              <w:rPr>
                <w:rFonts w:asciiTheme="minorHAnsi" w:hAnsiTheme="minorHAnsi" w:cstheme="minorHAnsi"/>
                <w:sz w:val="24"/>
                <w:szCs w:val="24"/>
              </w:rPr>
            </w:pPr>
            <w:r w:rsidRPr="00267F53">
              <w:rPr>
                <w:rFonts w:asciiTheme="minorHAnsi" w:hAnsiTheme="minorHAnsi" w:cstheme="minorHAnsi"/>
                <w:sz w:val="24"/>
                <w:szCs w:val="24"/>
              </w:rPr>
              <w:t xml:space="preserve">One stakeholder provided an example where their business employs staff in each of the states it operates with the sole purpose of maintaining the food safety program and government reporting for that state. The business owner noted that the inability to implement a single food safety program across all its operations ‘due to the vast differences in how the jurisdictions interpret the Food Standards’. The business owner highlighted that if a single food safety plan was able to be implemented nationally, these staff could be redeployed to improving the business’ food safety management. They also highlighted that the inability to implement a national food safety </w:t>
            </w:r>
            <w:r w:rsidR="00CA62A7" w:rsidRPr="00267F53">
              <w:rPr>
                <w:rFonts w:asciiTheme="minorHAnsi" w:hAnsiTheme="minorHAnsi" w:cstheme="minorHAnsi"/>
                <w:sz w:val="24"/>
                <w:szCs w:val="24"/>
              </w:rPr>
              <w:t>program/</w:t>
            </w:r>
            <w:r w:rsidRPr="00267F53">
              <w:rPr>
                <w:rFonts w:asciiTheme="minorHAnsi" w:hAnsiTheme="minorHAnsi" w:cstheme="minorHAnsi"/>
                <w:sz w:val="24"/>
                <w:szCs w:val="24"/>
              </w:rPr>
              <w:t>plan and different reporting requirements means that food safety management cannot be effectively compared between different operations, which limits a business’ ability to identify areas for improvement in food safety management and adopt streamlined systems to manage food safety as the requirements differ jurisdictions.</w:t>
            </w:r>
          </w:p>
          <w:p w14:paraId="13D18E3A" w14:textId="77777777" w:rsidR="000B76C0" w:rsidRPr="00267F53" w:rsidRDefault="000B76C0" w:rsidP="00BD1DE7">
            <w:pPr>
              <w:rPr>
                <w:rFonts w:asciiTheme="minorHAnsi" w:hAnsiTheme="minorHAnsi" w:cstheme="minorHAnsi"/>
                <w:sz w:val="24"/>
                <w:szCs w:val="24"/>
              </w:rPr>
            </w:pPr>
          </w:p>
        </w:tc>
      </w:tr>
    </w:tbl>
    <w:p w14:paraId="54E72C7F" w14:textId="77777777" w:rsidR="000B76C0" w:rsidRPr="00267F53" w:rsidRDefault="000B76C0" w:rsidP="00BD1DE7"/>
    <w:p w14:paraId="43A2F49B" w14:textId="77777777" w:rsidR="00BD1DE7" w:rsidRPr="00267F53" w:rsidRDefault="003C0C8C" w:rsidP="00AD1174">
      <w:pPr>
        <w:pStyle w:val="Bullet1"/>
      </w:pPr>
      <w:r w:rsidRPr="00267F53">
        <w:rPr>
          <w:b/>
          <w:bCs w:val="0"/>
        </w:rPr>
        <w:t>f</w:t>
      </w:r>
      <w:r w:rsidR="00A34868" w:rsidRPr="00267F53">
        <w:rPr>
          <w:b/>
          <w:bCs w:val="0"/>
        </w:rPr>
        <w:t>ood safety management statements</w:t>
      </w:r>
      <w:r w:rsidR="00A34868" w:rsidRPr="00267F53">
        <w:rPr>
          <w:rFonts w:eastAsia="Times New Roman"/>
          <w:bCs w:val="0"/>
          <w:iCs w:val="0"/>
          <w:lang w:eastAsia="en-GB"/>
        </w:rPr>
        <w:t xml:space="preserve"> </w:t>
      </w:r>
      <w:r w:rsidR="00111B9E" w:rsidRPr="00267F53">
        <w:rPr>
          <w:rFonts w:eastAsia="Times New Roman"/>
          <w:bCs w:val="0"/>
          <w:iCs w:val="0"/>
          <w:lang w:eastAsia="en-GB"/>
        </w:rPr>
        <w:t>–</w:t>
      </w:r>
      <w:r w:rsidR="00A34868" w:rsidRPr="00267F53">
        <w:rPr>
          <w:rFonts w:eastAsia="Times New Roman"/>
          <w:bCs w:val="0"/>
          <w:iCs w:val="0"/>
          <w:lang w:eastAsia="en-GB"/>
        </w:rPr>
        <w:t xml:space="preserve"> </w:t>
      </w:r>
      <w:hyperlink r:id="rId48" w:history="1">
        <w:r w:rsidR="00796114" w:rsidRPr="00267F53">
          <w:rPr>
            <w:rStyle w:val="Hyperlink"/>
          </w:rPr>
          <w:t xml:space="preserve">Standard 4.1.1 – Primary production and processing standards – preliminary provisions </w:t>
        </w:r>
      </w:hyperlink>
      <w:r w:rsidR="00796114" w:rsidRPr="00267F53">
        <w:t xml:space="preserve">specifies that certain businesses must have a food safety management statement (FSMS). It provides that a FSMS must be approved by a regulatory authority and is subject to ongoing verification by the relevant authority. </w:t>
      </w:r>
      <w:r w:rsidR="000332EA" w:rsidRPr="00267F53">
        <w:t>T</w:t>
      </w:r>
      <w:r w:rsidR="00AD1174" w:rsidRPr="00267F53">
        <w:t xml:space="preserve">he model food provisions do not cover primary production and processing. As such, </w:t>
      </w:r>
      <w:r w:rsidR="000332EA" w:rsidRPr="00267F53">
        <w:t xml:space="preserve">some government stakeholders noted </w:t>
      </w:r>
      <w:r w:rsidR="00AD1174" w:rsidRPr="00267F53">
        <w:t>it can become problematic when primary processing standards stray into jurisdictional administrative arrangements</w:t>
      </w:r>
      <w:r w:rsidR="000332EA" w:rsidRPr="00267F53">
        <w:t xml:space="preserve"> in relation to primary production and processing</w:t>
      </w:r>
      <w:r w:rsidR="00AD1174" w:rsidRPr="00267F53">
        <w:t xml:space="preserve"> </w:t>
      </w:r>
      <w:r w:rsidR="000332EA" w:rsidRPr="00267F53">
        <w:t xml:space="preserve">(for example, </w:t>
      </w:r>
      <w:r w:rsidR="00AD1174" w:rsidRPr="00267F53">
        <w:t>by specifying the need for approval by a relevant authority</w:t>
      </w:r>
      <w:r w:rsidR="000332EA" w:rsidRPr="00267F53">
        <w:t>)</w:t>
      </w:r>
      <w:r w:rsidR="00AD1174" w:rsidRPr="00267F53">
        <w:t xml:space="preserve">. </w:t>
      </w:r>
      <w:r w:rsidR="00796114" w:rsidRPr="00267F53">
        <w:t>Regulatory agencies noted this can be problematic when undertaking monitoring and enforcement activities.</w:t>
      </w:r>
    </w:p>
    <w:p w14:paraId="5D8EAA6F" w14:textId="77777777" w:rsidR="001A4B60" w:rsidRPr="00267F53" w:rsidRDefault="001A4B60" w:rsidP="003C0C8C">
      <w:pPr>
        <w:pStyle w:val="Bullet1"/>
        <w:numPr>
          <w:ilvl w:val="0"/>
          <w:numId w:val="0"/>
        </w:numPr>
        <w:ind w:left="360"/>
      </w:pPr>
    </w:p>
    <w:p w14:paraId="452D5325" w14:textId="77777777" w:rsidR="001A4B60" w:rsidRPr="00267F53" w:rsidRDefault="007E60DF" w:rsidP="003C0C8C">
      <w:pPr>
        <w:pStyle w:val="Bullet1"/>
      </w:pPr>
      <w:r w:rsidRPr="00267F53">
        <w:rPr>
          <w:b/>
        </w:rPr>
        <w:lastRenderedPageBreak/>
        <w:t>f</w:t>
      </w:r>
      <w:r w:rsidR="00A34868" w:rsidRPr="00267F53">
        <w:rPr>
          <w:b/>
        </w:rPr>
        <w:t xml:space="preserve">ood safety supervisors </w:t>
      </w:r>
      <w:r w:rsidR="00111B9E" w:rsidRPr="00267F53">
        <w:rPr>
          <w:bCs w:val="0"/>
        </w:rPr>
        <w:t>–</w:t>
      </w:r>
      <w:r w:rsidR="00A34868" w:rsidRPr="00267F53">
        <w:rPr>
          <w:b/>
        </w:rPr>
        <w:t xml:space="preserve"> </w:t>
      </w:r>
      <w:r w:rsidR="001A4B60" w:rsidRPr="00267F53">
        <w:t>Some</w:t>
      </w:r>
      <w:r w:rsidR="00111B9E" w:rsidRPr="00267F53">
        <w:t xml:space="preserve"> </w:t>
      </w:r>
      <w:r w:rsidR="001A4B60" w:rsidRPr="00267F53">
        <w:t xml:space="preserve">jurisdictions require that businesses of a certain risk level/classification employ a food safety supervisor (FSS), which requires a food business to have employed a nominated person who has completed a food safety training course. </w:t>
      </w:r>
    </w:p>
    <w:p w14:paraId="76DB7EB7" w14:textId="77777777" w:rsidR="001A4B60" w:rsidRPr="00267F53" w:rsidRDefault="001A4B60" w:rsidP="00667C32">
      <w:pPr>
        <w:pStyle w:val="Bullets2"/>
      </w:pPr>
      <w:r w:rsidRPr="00267F53">
        <w:t>New South Wales, Victoria, Queensland and the ACT mandate the appointment of a</w:t>
      </w:r>
      <w:r w:rsidR="00E61B66" w:rsidRPr="00267F53">
        <w:t>n</w:t>
      </w:r>
      <w:r w:rsidRPr="00267F53">
        <w:t xml:space="preserve"> FSS for businesses that serve ready-to-eat food, potentially hazardous food or food not sold and served in its original packaging. However, there are differences between the way this requirement is implemented in each State.</w:t>
      </w:r>
    </w:p>
    <w:p w14:paraId="5D992F3C" w14:textId="77777777" w:rsidR="001A4B60" w:rsidRPr="00267F53" w:rsidRDefault="001A4B60" w:rsidP="00667C32">
      <w:pPr>
        <w:pStyle w:val="Bullets2"/>
      </w:pPr>
      <w:r w:rsidRPr="00267F53">
        <w:t xml:space="preserve">In </w:t>
      </w:r>
      <w:hyperlink r:id="rId49" w:history="1">
        <w:r w:rsidRPr="00267F53">
          <w:rPr>
            <w:rStyle w:val="Hyperlink"/>
          </w:rPr>
          <w:t>New South Wales</w:t>
        </w:r>
      </w:hyperlink>
      <w:r w:rsidRPr="00267F53">
        <w:t xml:space="preserve">, </w:t>
      </w:r>
      <w:r w:rsidR="00E61B66" w:rsidRPr="00267F53">
        <w:t xml:space="preserve">an </w:t>
      </w:r>
      <w:r w:rsidRPr="00267F53">
        <w:t>FSS</w:t>
      </w:r>
      <w:r w:rsidR="00E61B66" w:rsidRPr="00267F53">
        <w:t xml:space="preserve"> is</w:t>
      </w:r>
      <w:r w:rsidRPr="00267F53">
        <w:t xml:space="preserve"> required for food businesses that prepare and serve food. The NSW Food Authority publishes a list of approved RTOs that can deliver FSS training and FSS certificates must be renewed every five years. </w:t>
      </w:r>
    </w:p>
    <w:p w14:paraId="58B5FB45" w14:textId="77777777" w:rsidR="001A4B60" w:rsidRPr="00267F53" w:rsidRDefault="001A4B60" w:rsidP="00667C32">
      <w:pPr>
        <w:pStyle w:val="Bullets2"/>
      </w:pPr>
      <w:r w:rsidRPr="00267F53">
        <w:t xml:space="preserve">In </w:t>
      </w:r>
      <w:hyperlink r:id="rId50" w:history="1">
        <w:r w:rsidRPr="00267F53">
          <w:rPr>
            <w:rStyle w:val="Hyperlink"/>
          </w:rPr>
          <w:t>Victoria</w:t>
        </w:r>
      </w:hyperlink>
      <w:r w:rsidRPr="00267F53">
        <w:t xml:space="preserve">, all Class 1 and </w:t>
      </w:r>
      <w:r w:rsidR="00834BCE" w:rsidRPr="00267F53">
        <w:t xml:space="preserve">most </w:t>
      </w:r>
      <w:r w:rsidRPr="00267F53">
        <w:t>Class 2 food businesses must have a</w:t>
      </w:r>
      <w:r w:rsidR="00E61B66" w:rsidRPr="00267F53">
        <w:t>n</w:t>
      </w:r>
      <w:r w:rsidRPr="00267F53">
        <w:t xml:space="preserve"> FSS, who must </w:t>
      </w:r>
      <w:r w:rsidRPr="00267F53">
        <w:rPr>
          <w:rFonts w:eastAsia="Times New Roman"/>
        </w:rPr>
        <w:t xml:space="preserve">have completed </w:t>
      </w:r>
      <w:r w:rsidRPr="00267F53">
        <w:t>specified minimum competency standards in</w:t>
      </w:r>
      <w:r w:rsidRPr="00267F53">
        <w:rPr>
          <w:rFonts w:eastAsia="Times New Roman"/>
        </w:rPr>
        <w:t xml:space="preserve"> food safety training for the food sector that they are currently working in</w:t>
      </w:r>
      <w:r w:rsidRPr="00267F53">
        <w:t xml:space="preserve"> through any RTO</w:t>
      </w:r>
      <w:r w:rsidRPr="00267F53">
        <w:rPr>
          <w:rFonts w:eastAsia="Times New Roman"/>
        </w:rPr>
        <w:t>.</w:t>
      </w:r>
      <w:r w:rsidRPr="00267F53">
        <w:t xml:space="preserve"> </w:t>
      </w:r>
    </w:p>
    <w:p w14:paraId="5875642D" w14:textId="77777777" w:rsidR="001A4B60" w:rsidRPr="00267F53" w:rsidRDefault="001A4B60" w:rsidP="00667C32">
      <w:pPr>
        <w:pStyle w:val="Bullets2"/>
      </w:pPr>
      <w:r w:rsidRPr="00267F53">
        <w:t xml:space="preserve">In the </w:t>
      </w:r>
      <w:hyperlink r:id="rId51" w:history="1">
        <w:r w:rsidRPr="00267F53">
          <w:rPr>
            <w:rStyle w:val="Hyperlink"/>
          </w:rPr>
          <w:t>ACT</w:t>
        </w:r>
      </w:hyperlink>
      <w:r w:rsidRPr="00267F53">
        <w:t>, all registered businesses must appoint a</w:t>
      </w:r>
      <w:r w:rsidR="00E61B66" w:rsidRPr="00267F53">
        <w:t>n</w:t>
      </w:r>
      <w:r w:rsidRPr="00267F53">
        <w:t xml:space="preserve"> FSS and provide the Health Protection Service with a copy of the completion certificate and proof of completing all training modules.</w:t>
      </w:r>
    </w:p>
    <w:p w14:paraId="2A90F195" w14:textId="77777777" w:rsidR="001A4B60" w:rsidRPr="00267F53" w:rsidRDefault="001A4B60" w:rsidP="00667C32">
      <w:pPr>
        <w:pStyle w:val="Bullets2"/>
      </w:pPr>
      <w:r w:rsidRPr="00267F53">
        <w:t xml:space="preserve">In </w:t>
      </w:r>
      <w:hyperlink r:id="rId52" w:history="1">
        <w:r w:rsidRPr="00267F53">
          <w:rPr>
            <w:rStyle w:val="Hyperlink"/>
          </w:rPr>
          <w:t>Queensland</w:t>
        </w:r>
      </w:hyperlink>
      <w:r w:rsidRPr="00267F53">
        <w:t xml:space="preserve">, every licensable food business must have </w:t>
      </w:r>
      <w:r w:rsidR="00C573F4" w:rsidRPr="00267F53">
        <w:t>an</w:t>
      </w:r>
      <w:r w:rsidRPr="00267F53">
        <w:t xml:space="preserve"> FSS. Specified FSS training is recommended but not mandated and the FSS must be notified to the local government.</w:t>
      </w:r>
    </w:p>
    <w:p w14:paraId="1590B5CD" w14:textId="77777777" w:rsidR="00A34868" w:rsidRPr="00267F53" w:rsidRDefault="001A4B60" w:rsidP="00667C32">
      <w:pPr>
        <w:pStyle w:val="Bullets2"/>
      </w:pPr>
      <w:r w:rsidRPr="00267F53">
        <w:t>Western Australia, South Australia, Northern Territory and Tasmania do not mandate the appointment of a</w:t>
      </w:r>
      <w:r w:rsidR="00E61B66" w:rsidRPr="00267F53">
        <w:t>n</w:t>
      </w:r>
      <w:r w:rsidRPr="00267F53">
        <w:t xml:space="preserve"> FSS. However, generally a food business needs to be able to demonstrate that someone employed in the business has the skills and knowledge to implement a food safety program.</w:t>
      </w:r>
    </w:p>
    <w:p w14:paraId="6B9B36B0" w14:textId="77777777" w:rsidR="00796114" w:rsidRPr="00267F53" w:rsidRDefault="00796114" w:rsidP="002D03BF">
      <w:pPr>
        <w:pStyle w:val="mpcbullets1"/>
        <w:numPr>
          <w:ilvl w:val="0"/>
          <w:numId w:val="0"/>
        </w:numPr>
      </w:pPr>
    </w:p>
    <w:p w14:paraId="3C8DE723" w14:textId="77777777" w:rsidR="00834BCE" w:rsidRPr="00267F53" w:rsidRDefault="001A4B60" w:rsidP="00834BCE">
      <w:r w:rsidRPr="00267F53">
        <w:t xml:space="preserve">These differing requirements can be confusing for business owners who have food businesses across multiple jurisdictions and make it challenging for employees to determine the level of training required to demonstrate that the skills and knowledge requirement has been met. </w:t>
      </w:r>
      <w:r w:rsidR="00834BCE" w:rsidRPr="00267F53">
        <w:t xml:space="preserve">FSANZ is currently progressing </w:t>
      </w:r>
      <w:hyperlink r:id="rId53" w:history="1">
        <w:r w:rsidR="00834BCE" w:rsidRPr="00267F53">
          <w:rPr>
            <w:rStyle w:val="Hyperlink"/>
          </w:rPr>
          <w:t>Proposal P1053 – Food Safety Management Tools</w:t>
        </w:r>
      </w:hyperlink>
      <w:r w:rsidR="00834BCE" w:rsidRPr="00267F53">
        <w:t xml:space="preserve"> (P1053) to </w:t>
      </w:r>
      <w:r w:rsidR="00441984" w:rsidRPr="00267F53">
        <w:t>explore</w:t>
      </w:r>
      <w:r w:rsidR="00834BCE" w:rsidRPr="00267F53">
        <w:t xml:space="preserve"> food safety tools </w:t>
      </w:r>
      <w:r w:rsidR="00441984" w:rsidRPr="00267F53">
        <w:t>to</w:t>
      </w:r>
      <w:r w:rsidR="00834BCE" w:rsidRPr="00267F53">
        <w:t xml:space="preserve"> </w:t>
      </w:r>
      <w:r w:rsidR="00441984" w:rsidRPr="00267F53">
        <w:t>support</w:t>
      </w:r>
      <w:r w:rsidR="00834BCE" w:rsidRPr="00267F53">
        <w:t xml:space="preserve"> food service and retail businesses to better manage foodborne illness risks.</w:t>
      </w:r>
    </w:p>
    <w:p w14:paraId="2AE90474" w14:textId="77777777" w:rsidR="001A4B60" w:rsidRPr="00267F53" w:rsidRDefault="001A4B60" w:rsidP="001A4B60">
      <w:pPr>
        <w:pStyle w:val="mpcbullets1"/>
        <w:numPr>
          <w:ilvl w:val="0"/>
          <w:numId w:val="0"/>
        </w:numPr>
      </w:pPr>
    </w:p>
    <w:p w14:paraId="485CAEB5" w14:textId="77777777" w:rsidR="003C0C8C" w:rsidRPr="00267F53" w:rsidRDefault="001F1CA2" w:rsidP="001F1CA2">
      <w:pPr>
        <w:pStyle w:val="Bullet1"/>
        <w:numPr>
          <w:ilvl w:val="0"/>
          <w:numId w:val="0"/>
        </w:numPr>
        <w:pBdr>
          <w:top w:val="single" w:sz="4" w:space="1" w:color="auto"/>
          <w:left w:val="single" w:sz="4" w:space="4" w:color="auto"/>
          <w:bottom w:val="single" w:sz="4" w:space="1" w:color="auto"/>
          <w:right w:val="single" w:sz="4" w:space="4" w:color="auto"/>
        </w:pBdr>
        <w:rPr>
          <w:b/>
          <w:bCs w:val="0"/>
        </w:rPr>
      </w:pPr>
      <w:r w:rsidRPr="00267F53">
        <w:rPr>
          <w:b/>
          <w:bCs w:val="0"/>
        </w:rPr>
        <w:t>A</w:t>
      </w:r>
      <w:r w:rsidR="003C0C8C" w:rsidRPr="00267F53">
        <w:rPr>
          <w:b/>
          <w:bCs w:val="0"/>
        </w:rPr>
        <w:t xml:space="preserve">udit </w:t>
      </w:r>
      <w:r w:rsidR="00834BCE" w:rsidRPr="00267F53">
        <w:rPr>
          <w:b/>
          <w:bCs w:val="0"/>
        </w:rPr>
        <w:t xml:space="preserve">and inspection </w:t>
      </w:r>
      <w:r w:rsidR="003C0C8C" w:rsidRPr="00267F53">
        <w:rPr>
          <w:b/>
          <w:bCs w:val="0"/>
        </w:rPr>
        <w:t>of food businesses</w:t>
      </w:r>
    </w:p>
    <w:p w14:paraId="26A7240E" w14:textId="77777777" w:rsidR="003C0C8C" w:rsidRPr="00267F53" w:rsidRDefault="003C0C8C" w:rsidP="001F1CA2">
      <w:pPr>
        <w:pStyle w:val="Bullet1"/>
        <w:numPr>
          <w:ilvl w:val="0"/>
          <w:numId w:val="0"/>
        </w:numPr>
      </w:pPr>
    </w:p>
    <w:p w14:paraId="751EFFCE" w14:textId="77777777" w:rsidR="0070222A" w:rsidRPr="00267F53" w:rsidRDefault="008E4A33" w:rsidP="0070222A">
      <w:pPr>
        <w:pStyle w:val="Bullet1"/>
        <w:numPr>
          <w:ilvl w:val="0"/>
          <w:numId w:val="0"/>
        </w:numPr>
        <w:rPr>
          <w:rFonts w:asciiTheme="minorHAnsi" w:hAnsiTheme="minorHAnsi"/>
        </w:rPr>
      </w:pPr>
      <w:r w:rsidRPr="00267F53">
        <w:t xml:space="preserve">Some </w:t>
      </w:r>
      <w:r w:rsidR="006F52C1" w:rsidRPr="00267F53">
        <w:t>food businesses and government regulators provided examples of</w:t>
      </w:r>
      <w:r w:rsidRPr="00267F53">
        <w:t xml:space="preserve"> </w:t>
      </w:r>
      <w:r w:rsidR="00277CE0" w:rsidRPr="00267F53">
        <w:t>differences</w:t>
      </w:r>
      <w:r w:rsidRPr="00267F53">
        <w:t xml:space="preserve"> between jurisdictions with respect to </w:t>
      </w:r>
      <w:r w:rsidR="003C0C8C" w:rsidRPr="00267F53">
        <w:t xml:space="preserve">audit </w:t>
      </w:r>
      <w:r w:rsidR="00441984" w:rsidRPr="00267F53">
        <w:t xml:space="preserve">and inspection </w:t>
      </w:r>
      <w:r w:rsidR="003C0C8C" w:rsidRPr="00267F53">
        <w:t>arrangements, frequency of audits</w:t>
      </w:r>
      <w:r w:rsidR="00441984" w:rsidRPr="00267F53">
        <w:t>/inspections</w:t>
      </w:r>
      <w:r w:rsidR="003C0C8C" w:rsidRPr="00267F53">
        <w:t xml:space="preserve"> and fees. </w:t>
      </w:r>
      <w:r w:rsidR="003C0C8C" w:rsidRPr="00267F53">
        <w:rPr>
          <w:rFonts w:asciiTheme="minorHAnsi" w:hAnsiTheme="minorHAnsi"/>
        </w:rPr>
        <w:t>For example, it was noted that</w:t>
      </w:r>
      <w:r w:rsidR="0070222A" w:rsidRPr="00267F53">
        <w:rPr>
          <w:rFonts w:asciiTheme="minorHAnsi" w:hAnsiTheme="minorHAnsi"/>
        </w:rPr>
        <w:t>:</w:t>
      </w:r>
    </w:p>
    <w:p w14:paraId="4148700E" w14:textId="77777777" w:rsidR="0070222A" w:rsidRPr="00267F53" w:rsidRDefault="0070222A" w:rsidP="0070222A">
      <w:pPr>
        <w:pStyle w:val="Bullet1"/>
        <w:numPr>
          <w:ilvl w:val="0"/>
          <w:numId w:val="0"/>
        </w:numPr>
      </w:pPr>
    </w:p>
    <w:p w14:paraId="12FFAA6C" w14:textId="77777777" w:rsidR="0070222A" w:rsidRPr="00267F53" w:rsidRDefault="003C0C8C" w:rsidP="0070222A">
      <w:pPr>
        <w:pStyle w:val="Bullet1"/>
      </w:pPr>
      <w:r w:rsidRPr="00267F53">
        <w:rPr>
          <w:rFonts w:asciiTheme="minorHAnsi" w:hAnsiTheme="minorHAnsi"/>
        </w:rPr>
        <w:t>in</w:t>
      </w:r>
      <w:r w:rsidRPr="00267F53">
        <w:t xml:space="preserve"> some jurisdictions the </w:t>
      </w:r>
      <w:r w:rsidRPr="00267F53">
        <w:rPr>
          <w:b/>
          <w:bCs w:val="0"/>
        </w:rPr>
        <w:t>cost of surveillance audits</w:t>
      </w:r>
      <w:r w:rsidRPr="00267F53">
        <w:t xml:space="preserve"> is part of the business registration cost and in others, food businesses are invoiced for each audit</w:t>
      </w:r>
    </w:p>
    <w:p w14:paraId="7539A2D6" w14:textId="77777777" w:rsidR="007E60DF" w:rsidRPr="00267F53" w:rsidRDefault="007E60DF" w:rsidP="007E60DF">
      <w:pPr>
        <w:pStyle w:val="Bullet1"/>
        <w:numPr>
          <w:ilvl w:val="0"/>
          <w:numId w:val="0"/>
        </w:numPr>
        <w:ind w:left="360"/>
      </w:pPr>
    </w:p>
    <w:p w14:paraId="3F28CF06" w14:textId="77777777" w:rsidR="0070222A" w:rsidRPr="00267F53" w:rsidRDefault="0070222A" w:rsidP="0070222A">
      <w:pPr>
        <w:pStyle w:val="Bullet1"/>
      </w:pPr>
      <w:r w:rsidRPr="00267F53">
        <w:rPr>
          <w:b/>
          <w:bCs w:val="0"/>
        </w:rPr>
        <w:t>arrangements for the use of third party auditors differ across j</w:t>
      </w:r>
      <w:r w:rsidR="003C0C8C" w:rsidRPr="00267F53">
        <w:rPr>
          <w:b/>
          <w:bCs w:val="0"/>
        </w:rPr>
        <w:t>urisdictions</w:t>
      </w:r>
    </w:p>
    <w:p w14:paraId="1B9AE695" w14:textId="77777777" w:rsidR="003C0C8C" w:rsidRPr="00267F53" w:rsidRDefault="003C0C8C" w:rsidP="00667C32">
      <w:pPr>
        <w:pStyle w:val="Bullets2"/>
      </w:pPr>
      <w:r w:rsidRPr="00267F53">
        <w:t>Some industry stakeholders preferred the ability to have third party auditors undertake food safety audits, whereas some government stakeholders highlighted that this can carry risk (referring to previous examples where third party auditors have not undertaken audits in line with the government’s regulatory requirements, resulting in outbreaks of foodborne illness).</w:t>
      </w:r>
    </w:p>
    <w:p w14:paraId="208CADF5" w14:textId="77777777" w:rsidR="007E60DF" w:rsidRPr="00267F53" w:rsidRDefault="007E60DF" w:rsidP="00667C32">
      <w:pPr>
        <w:pStyle w:val="Bullets2"/>
        <w:numPr>
          <w:ilvl w:val="0"/>
          <w:numId w:val="0"/>
        </w:numPr>
        <w:ind w:left="426"/>
      </w:pPr>
    </w:p>
    <w:p w14:paraId="4FFA62F3" w14:textId="77777777" w:rsidR="003C0C8C" w:rsidRPr="00267F53" w:rsidRDefault="007E60DF" w:rsidP="0070222A">
      <w:pPr>
        <w:pStyle w:val="Bullet1"/>
      </w:pPr>
      <w:r w:rsidRPr="00267F53">
        <w:t>e</w:t>
      </w:r>
      <w:r w:rsidR="003C0C8C" w:rsidRPr="00267F53">
        <w:t xml:space="preserve">ach jurisdiction has </w:t>
      </w:r>
      <w:r w:rsidR="003C0C8C" w:rsidRPr="00267F53">
        <w:rPr>
          <w:b/>
          <w:bCs w:val="0"/>
        </w:rPr>
        <w:t>different approaches to audit</w:t>
      </w:r>
      <w:r w:rsidR="005C696D" w:rsidRPr="00267F53">
        <w:rPr>
          <w:b/>
          <w:bCs w:val="0"/>
        </w:rPr>
        <w:t xml:space="preserve"> and inspection</w:t>
      </w:r>
      <w:r w:rsidR="003C0C8C" w:rsidRPr="00267F53">
        <w:t>:</w:t>
      </w:r>
    </w:p>
    <w:p w14:paraId="53B2E10A" w14:textId="77777777" w:rsidR="003C0C8C" w:rsidRPr="00267F53" w:rsidRDefault="003C0C8C" w:rsidP="00667C32">
      <w:pPr>
        <w:pStyle w:val="Bullets2"/>
      </w:pPr>
      <w:r w:rsidRPr="00267F53">
        <w:lastRenderedPageBreak/>
        <w:t xml:space="preserve">In </w:t>
      </w:r>
      <w:hyperlink r:id="rId54" w:history="1">
        <w:r w:rsidRPr="00267F53">
          <w:rPr>
            <w:rStyle w:val="Hyperlink"/>
          </w:rPr>
          <w:t>New South Wales</w:t>
        </w:r>
      </w:hyperlink>
      <w:r w:rsidRPr="00267F53">
        <w:t xml:space="preserve">, all licensed food businesses are required to undergo regular audits or inspections. </w:t>
      </w:r>
      <w:r w:rsidR="005C696D" w:rsidRPr="00267F53">
        <w:t>In general, an inspection activity looks at compliance with Standards 3.2.2 and 3.2.3 of the Code. A regulatory audit review</w:t>
      </w:r>
      <w:r w:rsidR="00227E96" w:rsidRPr="00267F53">
        <w:t>s</w:t>
      </w:r>
      <w:r w:rsidR="005C696D" w:rsidRPr="00267F53">
        <w:t xml:space="preserve"> an approved food safety program. </w:t>
      </w:r>
      <w:r w:rsidRPr="00267F53">
        <w:t xml:space="preserve">The majority of councils in NSW inspect retail food premises using a standard checklist for compliance with the Code called the </w:t>
      </w:r>
      <w:hyperlink r:id="rId55" w:history="1">
        <w:r w:rsidRPr="00267F53">
          <w:rPr>
            <w:rStyle w:val="Hyperlink"/>
            <w:color w:val="auto"/>
            <w:u w:val="none"/>
          </w:rPr>
          <w:t>Food Premises Assessment Report</w:t>
        </w:r>
      </w:hyperlink>
      <w:r w:rsidRPr="00267F53">
        <w:t xml:space="preserve"> (FPAR). </w:t>
      </w:r>
      <w:r w:rsidR="005C696D" w:rsidRPr="00267F53">
        <w:t>Audits are conducted by an authorised officer of the NSW Food Authority or by a</w:t>
      </w:r>
      <w:r w:rsidR="001221E0" w:rsidRPr="00267F53">
        <w:t>n approved</w:t>
      </w:r>
      <w:r w:rsidR="005C696D" w:rsidRPr="00267F53">
        <w:t xml:space="preserve"> third party auditor. </w:t>
      </w:r>
      <w:r w:rsidRPr="00267F53">
        <w:t xml:space="preserve">The NSW Food Authority has a </w:t>
      </w:r>
      <w:hyperlink r:id="rId56" w:history="1">
        <w:r w:rsidRPr="00267F53">
          <w:rPr>
            <w:rStyle w:val="Hyperlink"/>
            <w:color w:val="auto"/>
            <w:u w:val="none"/>
          </w:rPr>
          <w:t>Regulatory Food Safety Auditor System</w:t>
        </w:r>
      </w:hyperlink>
      <w:r w:rsidRPr="00267F53">
        <w:t xml:space="preserve"> to enable third party auditors to conduct regulatory food safety audits of licensed food businesses in NSW.</w:t>
      </w:r>
    </w:p>
    <w:p w14:paraId="10701188" w14:textId="77777777" w:rsidR="003C0C8C" w:rsidRPr="00267F53" w:rsidRDefault="003C0C8C" w:rsidP="00667C32">
      <w:pPr>
        <w:pStyle w:val="Bullets2"/>
      </w:pPr>
      <w:r w:rsidRPr="00267F53">
        <w:t xml:space="preserve">In the </w:t>
      </w:r>
      <w:hyperlink r:id="rId57" w:history="1">
        <w:r w:rsidRPr="00267F53">
          <w:rPr>
            <w:rStyle w:val="Hyperlink"/>
          </w:rPr>
          <w:t>ACT</w:t>
        </w:r>
      </w:hyperlink>
      <w:r w:rsidRPr="00267F53">
        <w:t xml:space="preserve">, all registered food businesses must undergo </w:t>
      </w:r>
      <w:r w:rsidR="007F0D07" w:rsidRPr="00267F53">
        <w:t xml:space="preserve">regular inspections </w:t>
      </w:r>
      <w:r w:rsidRPr="00267F53">
        <w:t>by Public Health Officer</w:t>
      </w:r>
      <w:r w:rsidR="007F0D07" w:rsidRPr="00267F53">
        <w:t>s</w:t>
      </w:r>
      <w:r w:rsidRPr="00267F53">
        <w:t xml:space="preserve"> from the Health Protection Service. The ACT has developed a </w:t>
      </w:r>
      <w:hyperlink r:id="rId58" w:history="1">
        <w:r w:rsidRPr="00267F53">
          <w:rPr>
            <w:rStyle w:val="Hyperlink"/>
            <w:color w:val="auto"/>
            <w:u w:val="none"/>
          </w:rPr>
          <w:t>Food Business Inspection Manual</w:t>
        </w:r>
      </w:hyperlink>
      <w:r w:rsidRPr="00267F53">
        <w:t xml:space="preserve"> to assist Public Health Officers adopt a consistent and transparent approach to food business inspections. </w:t>
      </w:r>
    </w:p>
    <w:p w14:paraId="365D3A2A" w14:textId="77777777" w:rsidR="003C0C8C" w:rsidRPr="00267F53" w:rsidRDefault="003C0C8C" w:rsidP="00667C32">
      <w:pPr>
        <w:pStyle w:val="Bullets2"/>
      </w:pPr>
      <w:r w:rsidRPr="00267F53">
        <w:t xml:space="preserve">In </w:t>
      </w:r>
      <w:hyperlink r:id="rId59" w:history="1">
        <w:r w:rsidRPr="00267F53">
          <w:rPr>
            <w:rStyle w:val="Hyperlink"/>
          </w:rPr>
          <w:t>South Australia</w:t>
        </w:r>
      </w:hyperlink>
      <w:r w:rsidRPr="00267F53">
        <w:t xml:space="preserve">, </w:t>
      </w:r>
      <w:r w:rsidR="0041565D" w:rsidRPr="00267F53">
        <w:t>most food businesses are not audited and only undergo an inspection by local council environmental health officers (EHOs). Vulnerable population businesses (</w:t>
      </w:r>
      <w:r w:rsidR="00C573F4" w:rsidRPr="00267F53">
        <w:t>e.g.,</w:t>
      </w:r>
      <w:r w:rsidR="0041565D" w:rsidRPr="00267F53">
        <w:t xml:space="preserve"> hospitals, aged care facilities) are audited by approved SA Health and local council auditors </w:t>
      </w:r>
      <w:r w:rsidR="00441984" w:rsidRPr="00267F53">
        <w:t>through</w:t>
      </w:r>
      <w:r w:rsidR="0041565D" w:rsidRPr="00267F53">
        <w:t xml:space="preserve"> a second-party audit system. PIRSA accredited primary </w:t>
      </w:r>
      <w:r w:rsidRPr="00267F53">
        <w:t>food</w:t>
      </w:r>
      <w:r w:rsidR="001A3B05" w:rsidRPr="00267F53">
        <w:t xml:space="preserve"> production</w:t>
      </w:r>
      <w:r w:rsidRPr="00267F53">
        <w:t xml:space="preserve"> businesses</w:t>
      </w:r>
      <w:r w:rsidR="001A3B05" w:rsidRPr="00267F53">
        <w:t xml:space="preserve"> are also required to be audited</w:t>
      </w:r>
      <w:r w:rsidR="00441984" w:rsidRPr="00267F53">
        <w:t>.</w:t>
      </w:r>
      <w:r w:rsidR="001A3B05" w:rsidRPr="00267F53">
        <w:t xml:space="preserve"> PIRSA</w:t>
      </w:r>
      <w:r w:rsidRPr="00267F53">
        <w:t xml:space="preserve"> accepts specific third-party audits in lieu of additional government compliance checks</w:t>
      </w:r>
      <w:r w:rsidR="001A3B05" w:rsidRPr="00267F53">
        <w:t xml:space="preserve"> in some cases</w:t>
      </w:r>
      <w:r w:rsidRPr="00267F53">
        <w:t xml:space="preserve">. </w:t>
      </w:r>
    </w:p>
    <w:p w14:paraId="318D3A18" w14:textId="77777777" w:rsidR="003C0C8C" w:rsidRPr="00267F53" w:rsidRDefault="003C0C8C" w:rsidP="00667C32">
      <w:pPr>
        <w:pStyle w:val="Bullets2"/>
      </w:pPr>
      <w:r w:rsidRPr="00267F53">
        <w:t xml:space="preserve">In </w:t>
      </w:r>
      <w:hyperlink r:id="rId60" w:history="1">
        <w:r w:rsidRPr="00267F53">
          <w:rPr>
            <w:rStyle w:val="Hyperlink"/>
          </w:rPr>
          <w:t>Victoria</w:t>
        </w:r>
      </w:hyperlink>
      <w:r w:rsidRPr="00267F53">
        <w:t xml:space="preserve">, all Class 1 and some Class 2 businesses are required to have their food safety programs audited to register as a food business (and renew registration). The Victorian Department of Health and Human Services (DHHS) maintains a </w:t>
      </w:r>
      <w:hyperlink r:id="rId61" w:history="1">
        <w:r w:rsidRPr="00267F53">
          <w:rPr>
            <w:rStyle w:val="Hyperlink"/>
            <w:color w:val="auto"/>
            <w:u w:val="none"/>
          </w:rPr>
          <w:t>list of approved third party auditors</w:t>
        </w:r>
      </w:hyperlink>
      <w:r w:rsidRPr="00267F53">
        <w:t xml:space="preserve">. Class 2 business that use a department-registered food safety program require an annual desktop assessment by their Local Council. Class 3 and 4 businesses do not undergo regular audit/assessment. DHHS publishes a </w:t>
      </w:r>
      <w:hyperlink r:id="rId62" w:history="1">
        <w:r w:rsidRPr="00267F53">
          <w:rPr>
            <w:rStyle w:val="Hyperlink"/>
            <w:color w:val="auto"/>
            <w:u w:val="none"/>
          </w:rPr>
          <w:t>Food Safety Auditor Handbook</w:t>
        </w:r>
      </w:hyperlink>
      <w:r w:rsidRPr="00267F53">
        <w:t xml:space="preserve"> to support auditors assess compliance.</w:t>
      </w:r>
    </w:p>
    <w:p w14:paraId="11FA8695" w14:textId="77777777" w:rsidR="0070222A" w:rsidRPr="00267F53" w:rsidRDefault="0070222A" w:rsidP="0070222A">
      <w:pPr>
        <w:pStyle w:val="Bullet1"/>
        <w:numPr>
          <w:ilvl w:val="0"/>
          <w:numId w:val="0"/>
        </w:numPr>
      </w:pPr>
    </w:p>
    <w:p w14:paraId="5309D021" w14:textId="77777777" w:rsidR="003C0C8C" w:rsidRPr="00267F53" w:rsidRDefault="003C0C8C" w:rsidP="0070222A">
      <w:pPr>
        <w:pStyle w:val="Bullet1"/>
        <w:numPr>
          <w:ilvl w:val="0"/>
          <w:numId w:val="0"/>
        </w:numPr>
      </w:pPr>
      <w:r w:rsidRPr="00267F53">
        <w:t xml:space="preserve">It was suggested that these variable arrangements can be confusing for food businesses and can result in inefficiencies across (and within) jurisdictions. Stakeholders reported that, for business owners operating food businesses across different LGAs </w:t>
      </w:r>
      <w:r w:rsidR="006026BF" w:rsidRPr="00267F53">
        <w:t xml:space="preserve">within the same jurisdiction </w:t>
      </w:r>
      <w:r w:rsidRPr="00267F53">
        <w:t xml:space="preserve">or different jurisdictions, regulators may have different expectations regarding how a business demonstrates its compliance with certain requirements or ‘what may be tolerated in one Council area may not be tolerated in another’, which can result in both the inconsistent application of requirements and increased operating costs to businesses. A number of stakeholders highlighted that </w:t>
      </w:r>
      <w:r w:rsidR="007F1EBB" w:rsidRPr="00267F53">
        <w:t>inconsistent assessment of compliance</w:t>
      </w:r>
      <w:r w:rsidRPr="00267F53">
        <w:t xml:space="preserve"> can also occur between different individuals </w:t>
      </w:r>
      <w:r w:rsidR="007F1EBB" w:rsidRPr="00267F53">
        <w:t>within a single regulatory agency</w:t>
      </w:r>
      <w:r w:rsidRPr="00267F53">
        <w:t xml:space="preserve">. </w:t>
      </w:r>
    </w:p>
    <w:p w14:paraId="3A825F33" w14:textId="77777777" w:rsidR="007F1EBB" w:rsidRPr="00267F53" w:rsidRDefault="007F1EBB" w:rsidP="0070222A">
      <w:pPr>
        <w:pStyle w:val="Bullet1"/>
        <w:numPr>
          <w:ilvl w:val="0"/>
          <w:numId w:val="0"/>
        </w:numPr>
      </w:pPr>
    </w:p>
    <w:p w14:paraId="368AFFDE" w14:textId="77777777" w:rsidR="007F1EBB" w:rsidRPr="00267F53" w:rsidRDefault="007F1EBB" w:rsidP="0070222A">
      <w:pPr>
        <w:pStyle w:val="Bullet1"/>
        <w:numPr>
          <w:ilvl w:val="0"/>
          <w:numId w:val="0"/>
        </w:numPr>
      </w:pPr>
      <w:r w:rsidRPr="00267F53">
        <w:t>While</w:t>
      </w:r>
      <w:r w:rsidR="008E4A33" w:rsidRPr="00267F53">
        <w:t xml:space="preserve"> it is recognised that</w:t>
      </w:r>
      <w:r w:rsidRPr="00267F53">
        <w:t xml:space="preserve"> audit is </w:t>
      </w:r>
      <w:r w:rsidR="008E4A33" w:rsidRPr="00267F53">
        <w:t xml:space="preserve">not the </w:t>
      </w:r>
      <w:r w:rsidRPr="00267F53">
        <w:t xml:space="preserve">only monitoring tool available to regulatory agencies, </w:t>
      </w:r>
      <w:r w:rsidR="008E4A33" w:rsidRPr="00267F53">
        <w:t xml:space="preserve">stakeholders tended to focus on audit as having </w:t>
      </w:r>
      <w:r w:rsidRPr="00267F53">
        <w:t xml:space="preserve">the most </w:t>
      </w:r>
      <w:r w:rsidR="00A608FE" w:rsidRPr="00267F53">
        <w:t xml:space="preserve">significant </w:t>
      </w:r>
      <w:r w:rsidRPr="00267F53">
        <w:t>impact</w:t>
      </w:r>
      <w:r w:rsidR="00A608FE" w:rsidRPr="00267F53">
        <w:t xml:space="preserve"> on food businesses.</w:t>
      </w:r>
    </w:p>
    <w:p w14:paraId="0D86C769" w14:textId="77777777" w:rsidR="001C0606" w:rsidRPr="00267F53" w:rsidRDefault="001C0606" w:rsidP="001C0606"/>
    <w:p w14:paraId="069CBFDE" w14:textId="77777777" w:rsidR="001C0606" w:rsidRPr="00267F53" w:rsidRDefault="001F1CA2" w:rsidP="001F1CA2">
      <w:pPr>
        <w:pStyle w:val="mpcbullets1"/>
        <w:numPr>
          <w:ilvl w:val="0"/>
          <w:numId w:val="0"/>
        </w:numPr>
        <w:pBdr>
          <w:top w:val="single" w:sz="4" w:space="1" w:color="auto"/>
          <w:left w:val="single" w:sz="4" w:space="4" w:color="auto"/>
          <w:bottom w:val="single" w:sz="4" w:space="1" w:color="auto"/>
          <w:right w:val="single" w:sz="4" w:space="4" w:color="auto"/>
        </w:pBdr>
        <w:rPr>
          <w:b/>
          <w:bCs/>
        </w:rPr>
      </w:pPr>
      <w:r w:rsidRPr="00267F53">
        <w:rPr>
          <w:b/>
          <w:bCs/>
        </w:rPr>
        <w:t>R</w:t>
      </w:r>
      <w:r w:rsidR="000C6042" w:rsidRPr="00267F53">
        <w:rPr>
          <w:b/>
          <w:bCs/>
        </w:rPr>
        <w:t>eporting of non-compliance</w:t>
      </w:r>
    </w:p>
    <w:p w14:paraId="46796E61" w14:textId="77777777" w:rsidR="00D41FFA" w:rsidRPr="00267F53" w:rsidRDefault="00D41FFA" w:rsidP="00D41FFA">
      <w:pPr>
        <w:pStyle w:val="TableofAuthorities"/>
      </w:pPr>
    </w:p>
    <w:p w14:paraId="3B8C6B10" w14:textId="77777777" w:rsidR="00D41FFA" w:rsidRDefault="00054824" w:rsidP="0070222A">
      <w:pPr>
        <w:pStyle w:val="mpcbullets1"/>
        <w:numPr>
          <w:ilvl w:val="0"/>
          <w:numId w:val="0"/>
        </w:numPr>
      </w:pPr>
      <w:r w:rsidRPr="00267F53">
        <w:t xml:space="preserve">Stakeholders highlighted that there are </w:t>
      </w:r>
      <w:r w:rsidR="000C6042" w:rsidRPr="00267F53">
        <w:t>inconsistent approaches to reporting information</w:t>
      </w:r>
      <w:r w:rsidRPr="00267F53">
        <w:t xml:space="preserve"> </w:t>
      </w:r>
      <w:r w:rsidR="0062378C" w:rsidRPr="00267F53">
        <w:t>about business’s non-compliance</w:t>
      </w:r>
      <w:r w:rsidR="00D71755" w:rsidRPr="00267F53">
        <w:t xml:space="preserve"> (or level of compliance</w:t>
      </w:r>
      <w:r w:rsidR="0062378C" w:rsidRPr="00267F53">
        <w:t xml:space="preserve">) </w:t>
      </w:r>
      <w:r w:rsidRPr="00267F53">
        <w:t>across jurisdictions.</w:t>
      </w:r>
      <w:r w:rsidR="0070222A" w:rsidRPr="00267F53">
        <w:t xml:space="preserve"> </w:t>
      </w:r>
      <w:r w:rsidR="001C0606" w:rsidRPr="00267F53">
        <w:t>For example</w:t>
      </w:r>
      <w:r w:rsidR="00D41FFA" w:rsidRPr="00267F53">
        <w:t>:</w:t>
      </w:r>
    </w:p>
    <w:p w14:paraId="14F406E7" w14:textId="77777777" w:rsidR="00E06319" w:rsidRPr="00267F53" w:rsidRDefault="00E06319" w:rsidP="0070222A">
      <w:pPr>
        <w:pStyle w:val="mpcbullets1"/>
        <w:numPr>
          <w:ilvl w:val="0"/>
          <w:numId w:val="0"/>
        </w:numPr>
      </w:pPr>
    </w:p>
    <w:p w14:paraId="70B98755" w14:textId="77777777" w:rsidR="00D41FFA" w:rsidRPr="00267F53" w:rsidRDefault="00D41FFA" w:rsidP="001C0606"/>
    <w:p w14:paraId="1889C9A8" w14:textId="77777777" w:rsidR="00817E6C" w:rsidRPr="00267F53" w:rsidRDefault="0070222A" w:rsidP="00817E6C">
      <w:pPr>
        <w:pStyle w:val="Bullet1"/>
      </w:pPr>
      <w:r w:rsidRPr="00267F53">
        <w:lastRenderedPageBreak/>
        <w:t>i</w:t>
      </w:r>
      <w:r w:rsidR="00D41FFA" w:rsidRPr="00267F53">
        <w:t xml:space="preserve">n NSW, food businesses that have been prosecuted (as well as businesses that have received a penalty notice) have their names published via a public </w:t>
      </w:r>
      <w:hyperlink r:id="rId63" w:history="1">
        <w:r w:rsidR="00D41FFA" w:rsidRPr="00267F53">
          <w:rPr>
            <w:rStyle w:val="Hyperlink"/>
          </w:rPr>
          <w:t>'Name &amp; Shame' list</w:t>
        </w:r>
      </w:hyperlink>
      <w:r w:rsidR="00D41FFA" w:rsidRPr="00267F53">
        <w:t>.</w:t>
      </w:r>
      <w:r w:rsidR="00817E6C" w:rsidRPr="00267F53">
        <w:t xml:space="preserve"> </w:t>
      </w:r>
      <w:r w:rsidR="005B1CB3" w:rsidRPr="00267F53">
        <w:t xml:space="preserve">Generally, prosecutions are published for 24 months and penalty notices for 12 months. </w:t>
      </w:r>
      <w:r w:rsidR="00817E6C" w:rsidRPr="00267F53">
        <w:t>NSW also operates a</w:t>
      </w:r>
      <w:r w:rsidR="00CC0D44" w:rsidRPr="00267F53">
        <w:t xml:space="preserve"> voluntary</w:t>
      </w:r>
      <w:r w:rsidR="00817E6C" w:rsidRPr="00267F53">
        <w:t xml:space="preserve"> </w:t>
      </w:r>
      <w:hyperlink r:id="rId64" w:history="1">
        <w:r w:rsidR="00817E6C" w:rsidRPr="00267F53">
          <w:rPr>
            <w:rStyle w:val="Hyperlink"/>
          </w:rPr>
          <w:t>‘Scores on Doors’ program</w:t>
        </w:r>
      </w:hyperlink>
      <w:r w:rsidR="00817E6C" w:rsidRPr="00267F53">
        <w:t xml:space="preserve"> </w:t>
      </w:r>
      <w:r w:rsidR="002835A3" w:rsidRPr="00267F53">
        <w:t xml:space="preserve">for local government and businesses </w:t>
      </w:r>
      <w:r w:rsidR="00817E6C" w:rsidRPr="00267F53">
        <w:t>that displays the results of regular inspections of food premises.</w:t>
      </w:r>
    </w:p>
    <w:p w14:paraId="7909FC95" w14:textId="77777777" w:rsidR="00D41FFA" w:rsidRPr="00267F53" w:rsidRDefault="001C0606" w:rsidP="004427D2">
      <w:pPr>
        <w:pStyle w:val="Bullet1"/>
      </w:pPr>
      <w:r w:rsidRPr="00267F53">
        <w:t xml:space="preserve">Victoria </w:t>
      </w:r>
      <w:r w:rsidR="00DC005F" w:rsidRPr="00267F53">
        <w:t xml:space="preserve">maintains </w:t>
      </w:r>
      <w:r w:rsidRPr="00267F53">
        <w:t xml:space="preserve">a </w:t>
      </w:r>
      <w:hyperlink r:id="rId65" w:history="1">
        <w:r w:rsidR="00817E6C" w:rsidRPr="00267F53">
          <w:rPr>
            <w:rStyle w:val="Hyperlink"/>
          </w:rPr>
          <w:t>food safety register of convictions</w:t>
        </w:r>
      </w:hyperlink>
      <w:r w:rsidR="00817E6C" w:rsidRPr="00267F53">
        <w:t>, where any breaches under the Victorian Food Act are published for 12 months</w:t>
      </w:r>
    </w:p>
    <w:p w14:paraId="0F2BD612" w14:textId="77777777" w:rsidR="00DC005F" w:rsidRPr="00267F53" w:rsidRDefault="0070222A" w:rsidP="00DC005F">
      <w:pPr>
        <w:pStyle w:val="Bullet1"/>
      </w:pPr>
      <w:r w:rsidRPr="00267F53">
        <w:t>w</w:t>
      </w:r>
      <w:r w:rsidR="00DC005F" w:rsidRPr="00267F53">
        <w:t xml:space="preserve">hile at the State level, Queensland does not publicly report non-compliance, certain local councils publish </w:t>
      </w:r>
      <w:r w:rsidR="00817E6C" w:rsidRPr="00267F53">
        <w:t>compliance information. For example, Brisbane City Council operates ‘</w:t>
      </w:r>
      <w:hyperlink r:id="rId66" w:history="1">
        <w:r w:rsidR="00817E6C" w:rsidRPr="00267F53">
          <w:rPr>
            <w:rStyle w:val="Hyperlink"/>
          </w:rPr>
          <w:t>Eat Safe Brisbane</w:t>
        </w:r>
      </w:hyperlink>
      <w:r w:rsidR="00817E6C" w:rsidRPr="00267F53">
        <w:t xml:space="preserve">’ where licenced food businesses receive a star rating based on </w:t>
      </w:r>
      <w:r w:rsidR="00017D82" w:rsidRPr="00C954A1">
        <w:t xml:space="preserve">compliance with the </w:t>
      </w:r>
      <w:r w:rsidR="00017D82" w:rsidRPr="00E77E97">
        <w:rPr>
          <w:i/>
          <w:iCs w:val="0"/>
        </w:rPr>
        <w:t>Food Act 2006</w:t>
      </w:r>
      <w:r w:rsidR="00017D82" w:rsidRPr="00C954A1">
        <w:t>, the Food Safety Standards and good management practices</w:t>
      </w:r>
      <w:r w:rsidR="00017D82">
        <w:t xml:space="preserve"> </w:t>
      </w:r>
      <w:r w:rsidR="00817E6C" w:rsidRPr="00267F53">
        <w:t>and can publicly display their star</w:t>
      </w:r>
    </w:p>
    <w:p w14:paraId="1FC0206C" w14:textId="77777777" w:rsidR="003F53EA" w:rsidRPr="00267F53" w:rsidRDefault="0070222A" w:rsidP="00FA3B7E">
      <w:pPr>
        <w:pStyle w:val="Bullet1"/>
      </w:pPr>
      <w:r w:rsidRPr="00267F53">
        <w:t>i</w:t>
      </w:r>
      <w:r w:rsidR="003F53EA" w:rsidRPr="00267F53">
        <w:t xml:space="preserve">n </w:t>
      </w:r>
      <w:r w:rsidRPr="00267F53">
        <w:t xml:space="preserve">the </w:t>
      </w:r>
      <w:r w:rsidR="003F53EA" w:rsidRPr="00267F53">
        <w:t xml:space="preserve">ACT, a summary of businesses who are convicted of an offence against the ACT Food Act </w:t>
      </w:r>
      <w:r w:rsidR="00173BC6" w:rsidRPr="00267F53">
        <w:t>are published</w:t>
      </w:r>
      <w:r w:rsidR="003F53EA" w:rsidRPr="00267F53">
        <w:t xml:space="preserve"> on the </w:t>
      </w:r>
      <w:hyperlink r:id="rId67" w:history="1">
        <w:r w:rsidR="003F53EA" w:rsidRPr="00267F53">
          <w:rPr>
            <w:rStyle w:val="Hyperlink"/>
          </w:rPr>
          <w:t>Register of Food Offences</w:t>
        </w:r>
      </w:hyperlink>
    </w:p>
    <w:p w14:paraId="28A88556" w14:textId="77777777" w:rsidR="00173BC6" w:rsidRPr="00267F53" w:rsidRDefault="0070222A" w:rsidP="00FA3B7E">
      <w:pPr>
        <w:pStyle w:val="Bullet1"/>
      </w:pPr>
      <w:r w:rsidRPr="00267F53">
        <w:t>i</w:t>
      </w:r>
      <w:r w:rsidR="00173BC6" w:rsidRPr="00267F53">
        <w:t xml:space="preserve">n South Australia, food businesses are rated based on the outcomes of inspections as part of the </w:t>
      </w:r>
      <w:hyperlink r:id="rId68" w:history="1">
        <w:r w:rsidR="00173BC6" w:rsidRPr="00267F53">
          <w:rPr>
            <w:rStyle w:val="Hyperlink"/>
          </w:rPr>
          <w:t>Food Safety Rating Scheme</w:t>
        </w:r>
      </w:hyperlink>
      <w:r w:rsidR="00173BC6" w:rsidRPr="00267F53">
        <w:t xml:space="preserve"> (but participation in this scheme is voluntary for local councils).</w:t>
      </w:r>
    </w:p>
    <w:p w14:paraId="640FED43" w14:textId="77777777" w:rsidR="00173BC6" w:rsidRPr="00267F53" w:rsidRDefault="0070222A" w:rsidP="00FA3B7E">
      <w:pPr>
        <w:pStyle w:val="Bullet1"/>
      </w:pPr>
      <w:r w:rsidRPr="00267F53">
        <w:t>i</w:t>
      </w:r>
      <w:r w:rsidR="00173BC6" w:rsidRPr="00267F53">
        <w:t xml:space="preserve">n Western Australia, the names of offenders convicted in a court of law for breaches against food legislation are published in the </w:t>
      </w:r>
      <w:hyperlink r:id="rId69" w:history="1">
        <w:r w:rsidR="00173BC6" w:rsidRPr="00267F53">
          <w:rPr>
            <w:rStyle w:val="Hyperlink"/>
          </w:rPr>
          <w:t>food offenders list</w:t>
        </w:r>
      </w:hyperlink>
    </w:p>
    <w:p w14:paraId="520E05F2" w14:textId="77777777" w:rsidR="00DC005F" w:rsidRPr="00267F53" w:rsidRDefault="00DC005F" w:rsidP="00DC005F">
      <w:pPr>
        <w:pStyle w:val="Bullet1"/>
      </w:pPr>
      <w:r w:rsidRPr="00267F53">
        <w:t xml:space="preserve">Tasmania does not appear to have a register of either kind. </w:t>
      </w:r>
    </w:p>
    <w:p w14:paraId="7F06F040" w14:textId="77777777" w:rsidR="00D41FFA" w:rsidRPr="00267F53" w:rsidRDefault="00D41FFA" w:rsidP="00D41FFA">
      <w:pPr>
        <w:pStyle w:val="Bullet1"/>
        <w:numPr>
          <w:ilvl w:val="0"/>
          <w:numId w:val="0"/>
        </w:numPr>
      </w:pPr>
    </w:p>
    <w:p w14:paraId="483BB133" w14:textId="77777777" w:rsidR="00CA1BA3" w:rsidRPr="00267F53" w:rsidRDefault="008E4A33" w:rsidP="00D41FFA">
      <w:pPr>
        <w:pStyle w:val="Bullet1"/>
        <w:numPr>
          <w:ilvl w:val="0"/>
          <w:numId w:val="0"/>
        </w:numPr>
      </w:pPr>
      <w:r w:rsidRPr="00267F53">
        <w:t>While t</w:t>
      </w:r>
      <w:r w:rsidR="003525A3" w:rsidRPr="00267F53">
        <w:t xml:space="preserve">his may cause some confusion for food business (and consumers) operating </w:t>
      </w:r>
      <w:r w:rsidR="00CA1BA3" w:rsidRPr="00267F53">
        <w:t xml:space="preserve">food premises </w:t>
      </w:r>
      <w:r w:rsidR="003525A3" w:rsidRPr="00267F53">
        <w:t xml:space="preserve">across jurisdictions </w:t>
      </w:r>
      <w:r w:rsidR="00CA1BA3" w:rsidRPr="00267F53">
        <w:t>(</w:t>
      </w:r>
      <w:r w:rsidR="003525A3" w:rsidRPr="00267F53">
        <w:t xml:space="preserve">and </w:t>
      </w:r>
      <w:r w:rsidR="00CA1BA3" w:rsidRPr="00267F53">
        <w:t xml:space="preserve">some approaches </w:t>
      </w:r>
      <w:r w:rsidR="003525A3" w:rsidRPr="00267F53">
        <w:t xml:space="preserve">may have </w:t>
      </w:r>
      <w:r w:rsidR="00CA1BA3" w:rsidRPr="00267F53">
        <w:t>more success at</w:t>
      </w:r>
      <w:r w:rsidR="003525A3" w:rsidRPr="00267F53">
        <w:t xml:space="preserve"> encouraging c</w:t>
      </w:r>
      <w:r w:rsidR="00CA1BA3" w:rsidRPr="00267F53">
        <w:t>o</w:t>
      </w:r>
      <w:r w:rsidR="003525A3" w:rsidRPr="00267F53">
        <w:t>m</w:t>
      </w:r>
      <w:r w:rsidR="00CA1BA3" w:rsidRPr="00267F53">
        <w:t>pliance)</w:t>
      </w:r>
      <w:r w:rsidRPr="00267F53">
        <w:t xml:space="preserve">, stakeholders did not describe </w:t>
      </w:r>
      <w:r w:rsidR="00E61B66" w:rsidRPr="00267F53">
        <w:t>significant impact</w:t>
      </w:r>
      <w:r w:rsidRPr="00267F53">
        <w:t>s</w:t>
      </w:r>
      <w:r w:rsidR="00E61B66" w:rsidRPr="00267F53">
        <w:t xml:space="preserve"> on food businesses beyond this.</w:t>
      </w:r>
    </w:p>
    <w:p w14:paraId="3509C560" w14:textId="77777777" w:rsidR="008A6991" w:rsidRPr="00267F53" w:rsidRDefault="008A6991" w:rsidP="008A6991"/>
    <w:p w14:paraId="52E5B12A" w14:textId="77777777" w:rsidR="008A6991" w:rsidRPr="00267F53" w:rsidRDefault="008A6991" w:rsidP="00930EBB">
      <w:pPr>
        <w:pStyle w:val="Bullet1"/>
        <w:numPr>
          <w:ilvl w:val="0"/>
          <w:numId w:val="0"/>
        </w:numPr>
        <w:pBdr>
          <w:top w:val="single" w:sz="4" w:space="1" w:color="auto"/>
          <w:left w:val="single" w:sz="4" w:space="4" w:color="auto"/>
          <w:bottom w:val="single" w:sz="4" w:space="1" w:color="auto"/>
          <w:right w:val="single" w:sz="4" w:space="4" w:color="auto"/>
        </w:pBdr>
        <w:rPr>
          <w:b/>
          <w:bCs w:val="0"/>
        </w:rPr>
      </w:pPr>
      <w:r w:rsidRPr="00267F53">
        <w:rPr>
          <w:b/>
          <w:bCs w:val="0"/>
        </w:rPr>
        <w:t xml:space="preserve">Inconsistent application of regulatory requirements </w:t>
      </w:r>
    </w:p>
    <w:p w14:paraId="50CA886D" w14:textId="77777777" w:rsidR="008A6991" w:rsidRPr="00267F53" w:rsidRDefault="008A6991" w:rsidP="008A6991"/>
    <w:p w14:paraId="04E09438" w14:textId="77777777" w:rsidR="008A6991" w:rsidRPr="00267F53" w:rsidRDefault="008A6991" w:rsidP="008A6991">
      <w:pPr>
        <w:keepNext/>
        <w:rPr>
          <w:rFonts w:cstheme="minorHAnsi"/>
        </w:rPr>
      </w:pPr>
      <w:r w:rsidRPr="00267F53">
        <w:t>A number of stakeholders raised examples of different jurisdictions regulating the same sector differently because of different regulatory frameworks</w:t>
      </w:r>
      <w:r w:rsidR="00BE37BD" w:rsidRPr="00267F53">
        <w:t xml:space="preserve"> </w:t>
      </w:r>
      <w:r w:rsidRPr="00267F53">
        <w:t>and/or policy settings.</w:t>
      </w:r>
      <w:r w:rsidRPr="00267F53">
        <w:rPr>
          <w:rFonts w:cstheme="minorHAnsi"/>
        </w:rPr>
        <w:t xml:space="preserve"> </w:t>
      </w:r>
    </w:p>
    <w:p w14:paraId="36A2DAEC" w14:textId="77777777" w:rsidR="008A6991" w:rsidRPr="00267F53" w:rsidRDefault="008A6991" w:rsidP="008A6991">
      <w:pPr>
        <w:pStyle w:val="Bullet1"/>
        <w:numPr>
          <w:ilvl w:val="0"/>
          <w:numId w:val="0"/>
        </w:numPr>
        <w:ind w:left="360"/>
        <w:rPr>
          <w:rFonts w:cstheme="minorHAnsi"/>
        </w:rPr>
      </w:pPr>
    </w:p>
    <w:p w14:paraId="20B55A84" w14:textId="77777777" w:rsidR="008A6991" w:rsidRPr="00267F53" w:rsidRDefault="008A6991" w:rsidP="008A6991">
      <w:r w:rsidRPr="00267F53">
        <w:t>Differing approaches were described in the following areas:</w:t>
      </w:r>
    </w:p>
    <w:p w14:paraId="685E3811" w14:textId="77777777" w:rsidR="008A6991" w:rsidRPr="00267F53" w:rsidRDefault="008A6991" w:rsidP="008A6991"/>
    <w:p w14:paraId="0199D446" w14:textId="77777777" w:rsidR="008A6991" w:rsidRPr="00267F53" w:rsidRDefault="008A6991" w:rsidP="008A6991">
      <w:pPr>
        <w:pStyle w:val="Boldbullet1"/>
      </w:pPr>
      <w:r w:rsidRPr="00267F53">
        <w:t>businesses providing food service to vulnerable persons</w:t>
      </w:r>
    </w:p>
    <w:p w14:paraId="05712AB8" w14:textId="77777777" w:rsidR="00441984" w:rsidRPr="00267F53" w:rsidRDefault="00000000" w:rsidP="00441984">
      <w:pPr>
        <w:pStyle w:val="Bullets2"/>
      </w:pPr>
      <w:hyperlink r:id="rId70" w:history="1">
        <w:r w:rsidR="008A6991" w:rsidRPr="00267F53">
          <w:rPr>
            <w:rStyle w:val="Hyperlink"/>
          </w:rPr>
          <w:t>Standards 3.3.1 – Food safety programs for food service to vulnerable persons</w:t>
        </w:r>
      </w:hyperlink>
      <w:r w:rsidR="008A6991" w:rsidRPr="00267F53">
        <w:t xml:space="preserve"> requires food businesses that process food for service to vulnerable persons to implement a documented and audited food safety program. This standard is generally applied in hospitals and healthcare settings, aged care services, community services and childcare centres.</w:t>
      </w:r>
    </w:p>
    <w:p w14:paraId="61808B8A" w14:textId="77777777" w:rsidR="008A6991" w:rsidRPr="00267F53" w:rsidRDefault="008A6991" w:rsidP="00441984">
      <w:pPr>
        <w:pStyle w:val="Bullets2"/>
      </w:pPr>
      <w:r w:rsidRPr="00267F53">
        <w:t>Currently, New South Wales is the only jurisdiction in Australia that does not apply Standard 3.3.1 to the childcare sector</w:t>
      </w:r>
      <w:r w:rsidR="003A5627" w:rsidRPr="00267F53">
        <w:t xml:space="preserve">. </w:t>
      </w:r>
      <w:r w:rsidR="004F2540" w:rsidRPr="00267F53">
        <w:t xml:space="preserve">The </w:t>
      </w:r>
      <w:r w:rsidR="00441984" w:rsidRPr="00267F53">
        <w:t xml:space="preserve">NSW </w:t>
      </w:r>
      <w:r w:rsidR="004F2540" w:rsidRPr="00267F53">
        <w:t xml:space="preserve">Food Authority provides a food safety program template for children's services businesses wanting to voluntarily enact a program. </w:t>
      </w:r>
      <w:r w:rsidR="003A5627" w:rsidRPr="00267F53">
        <w:t xml:space="preserve">While a food safety program is not mandated, </w:t>
      </w:r>
      <w:r w:rsidR="00441984" w:rsidRPr="00267F53">
        <w:t xml:space="preserve">childcare centres must </w:t>
      </w:r>
      <w:r w:rsidR="003A5627" w:rsidRPr="00267F53">
        <w:t>meet other food safety requirements in the Code</w:t>
      </w:r>
      <w:r w:rsidR="00441984" w:rsidRPr="00267F53">
        <w:t xml:space="preserve"> undergo</w:t>
      </w:r>
      <w:r w:rsidR="003A5627" w:rsidRPr="00267F53">
        <w:t xml:space="preserve"> inspect</w:t>
      </w:r>
      <w:r w:rsidR="00441984" w:rsidRPr="00267F53">
        <w:t>ions</w:t>
      </w:r>
      <w:r w:rsidR="003A5627" w:rsidRPr="00267F53">
        <w:t xml:space="preserve"> by local government</w:t>
      </w:r>
      <w:r w:rsidRPr="00267F53">
        <w:t>. Stakeholders have noted this inconsistency can create confusion for business owners and can make it more difficult for regulators to enforce compliance, for example, where a business has childcare centres across jurisdictions.</w:t>
      </w:r>
      <w:r w:rsidR="00E948EC" w:rsidRPr="00267F53">
        <w:t xml:space="preserve"> </w:t>
      </w:r>
    </w:p>
    <w:p w14:paraId="1B762966" w14:textId="77777777" w:rsidR="00441984" w:rsidRPr="00267F53" w:rsidRDefault="00441984" w:rsidP="00441984">
      <w:pPr>
        <w:pStyle w:val="Bullets2"/>
        <w:numPr>
          <w:ilvl w:val="0"/>
          <w:numId w:val="0"/>
        </w:numPr>
        <w:ind w:left="851" w:hanging="425"/>
      </w:pPr>
    </w:p>
    <w:p w14:paraId="1F1EF6BD" w14:textId="77777777" w:rsidR="008A6991" w:rsidRPr="00267F53" w:rsidRDefault="008A6991" w:rsidP="008A6991">
      <w:pPr>
        <w:pStyle w:val="Bullet1"/>
        <w:rPr>
          <w:b/>
          <w:bCs w:val="0"/>
        </w:rPr>
      </w:pPr>
      <w:r w:rsidRPr="00267F53">
        <w:rPr>
          <w:b/>
          <w:bCs w:val="0"/>
        </w:rPr>
        <w:lastRenderedPageBreak/>
        <w:t>fast food and related businesses</w:t>
      </w:r>
      <w:r w:rsidR="0079735C" w:rsidRPr="00267F53">
        <w:rPr>
          <w:rStyle w:val="FootnoteReference"/>
          <w:b/>
          <w:bCs w:val="0"/>
        </w:rPr>
        <w:footnoteReference w:id="4"/>
      </w:r>
      <w:r w:rsidRPr="00267F53">
        <w:rPr>
          <w:b/>
          <w:bCs w:val="0"/>
        </w:rPr>
        <w:t xml:space="preserve"> </w:t>
      </w:r>
    </w:p>
    <w:p w14:paraId="01EC6B7C" w14:textId="77777777" w:rsidR="008A6991" w:rsidRPr="00267F53" w:rsidRDefault="008A6991" w:rsidP="00667C32">
      <w:pPr>
        <w:pStyle w:val="Bullets2"/>
      </w:pPr>
      <w:r w:rsidRPr="00267F53">
        <w:t xml:space="preserve">Stakeholders noted that some jurisdictions have mandated kilojoule menu labelling for certain food businesses. To date, New South Wales, South Australia, the Australian Capital Territory, Queensland, and most recently Victoria, have introduced legislation for fast food menu labelling schemes. </w:t>
      </w:r>
    </w:p>
    <w:p w14:paraId="65E417B6" w14:textId="77777777" w:rsidR="008A6991" w:rsidRPr="00267F53" w:rsidRDefault="008A6991" w:rsidP="00441984">
      <w:pPr>
        <w:pStyle w:val="Bullets2"/>
      </w:pPr>
      <w:r w:rsidRPr="00267F53">
        <w:t>Some stakeholders highlighted that the lack of clarity regarding whether this initiative will be rolled out nationally (and the staggered rollout across jurisdictions) creates inefficiencies and ambiguity for businesses.</w:t>
      </w:r>
    </w:p>
    <w:p w14:paraId="7A6E8CA3" w14:textId="77777777" w:rsidR="00441984" w:rsidRPr="00267F53" w:rsidRDefault="00441984" w:rsidP="00441984">
      <w:pPr>
        <w:pStyle w:val="Bullets2"/>
      </w:pPr>
      <w:r w:rsidRPr="00267F53">
        <w:t>Ministers have previously agreed that ‘nationally consistent menu labelling is desirable both for the food industry, public health organisations and governments’ and that the most effective way for this to occur would be to develop a food regulatory measure under the Code.</w:t>
      </w:r>
      <w:r w:rsidRPr="00267F53">
        <w:rPr>
          <w:rStyle w:val="FootnoteReference"/>
        </w:rPr>
        <w:footnoteReference w:id="5"/>
      </w:r>
    </w:p>
    <w:p w14:paraId="7E165328" w14:textId="77777777" w:rsidR="008A6991" w:rsidRPr="00267F53" w:rsidRDefault="008A6991" w:rsidP="008A6991">
      <w:pPr>
        <w:pStyle w:val="Boldbullet1"/>
        <w:numPr>
          <w:ilvl w:val="0"/>
          <w:numId w:val="0"/>
        </w:numPr>
        <w:ind w:left="360"/>
      </w:pPr>
    </w:p>
    <w:p w14:paraId="39810ECE" w14:textId="77777777" w:rsidR="008A6991" w:rsidRPr="00267F53" w:rsidRDefault="008A6991" w:rsidP="008A6991">
      <w:pPr>
        <w:pStyle w:val="Boldbullet1"/>
      </w:pPr>
      <w:r w:rsidRPr="00267F53">
        <w:t>school canteens</w:t>
      </w:r>
      <w:r w:rsidR="0079735C" w:rsidRPr="00267F53">
        <w:rPr>
          <w:rStyle w:val="FootnoteReference"/>
        </w:rPr>
        <w:footnoteReference w:id="6"/>
      </w:r>
    </w:p>
    <w:p w14:paraId="2721D69F" w14:textId="77777777" w:rsidR="008A6991" w:rsidRPr="00267F53" w:rsidRDefault="008A6991" w:rsidP="00667C32">
      <w:pPr>
        <w:pStyle w:val="Bullets2"/>
      </w:pPr>
      <w:r w:rsidRPr="00267F53">
        <w:t>A number of stakeholders described the different policy approaches of governments to the sale of foods in school canteens and the impact this has on business (creating confusion and impacting the ability of some business to sell in schools in some jurisdictions and not others</w:t>
      </w:r>
    </w:p>
    <w:p w14:paraId="583346CF" w14:textId="77777777" w:rsidR="008A6991" w:rsidRPr="00267F53" w:rsidRDefault="008A6991" w:rsidP="00667C32">
      <w:pPr>
        <w:pStyle w:val="Bullets2"/>
      </w:pPr>
      <w:r w:rsidRPr="00267F53">
        <w:t xml:space="preserve">While the Australian Department of Health has published </w:t>
      </w:r>
      <w:hyperlink r:id="rId71" w:history="1">
        <w:r w:rsidRPr="00267F53">
          <w:rPr>
            <w:rStyle w:val="Hyperlink"/>
            <w:rFonts w:cstheme="minorHAnsi"/>
          </w:rPr>
          <w:t>National Healthy School Canteens Guidelines</w:t>
        </w:r>
      </w:hyperlink>
      <w:r w:rsidRPr="00267F53">
        <w:t>, each jurisdiction has developed additional detailed guidance, which outlines specific criteria that schools must use to guide all foods and drinks sold in canteens in that jurisdiction.</w:t>
      </w:r>
    </w:p>
    <w:p w14:paraId="4230641E" w14:textId="77777777" w:rsidR="008A6991" w:rsidRPr="00267F53" w:rsidRDefault="008A6991" w:rsidP="008A6991">
      <w:pPr>
        <w:pStyle w:val="TableofAuthorities"/>
      </w:pPr>
    </w:p>
    <w:tbl>
      <w:tblPr>
        <w:tblStyle w:val="TableGrid"/>
        <w:tblW w:w="0" w:type="auto"/>
        <w:tblLook w:val="04A0" w:firstRow="1" w:lastRow="0" w:firstColumn="1" w:lastColumn="0" w:noHBand="0" w:noVBand="1"/>
      </w:tblPr>
      <w:tblGrid>
        <w:gridCol w:w="9736"/>
      </w:tblGrid>
      <w:tr w:rsidR="008A6991" w:rsidRPr="00267F53" w14:paraId="0A823D34" w14:textId="77777777" w:rsidTr="00930EBB">
        <w:tc>
          <w:tcPr>
            <w:tcW w:w="9736" w:type="dxa"/>
            <w:shd w:val="clear" w:color="auto" w:fill="DEEAF6" w:themeFill="accent1" w:themeFillTint="33"/>
          </w:tcPr>
          <w:p w14:paraId="557DA279" w14:textId="77777777" w:rsidR="008A6991" w:rsidRPr="00267F53" w:rsidRDefault="008A6991" w:rsidP="00930EBB">
            <w:pPr>
              <w:rPr>
                <w:rFonts w:asciiTheme="minorHAnsi" w:hAnsiTheme="minorHAnsi" w:cstheme="minorHAnsi"/>
                <w:b/>
                <w:bCs/>
                <w:sz w:val="24"/>
                <w:szCs w:val="24"/>
              </w:rPr>
            </w:pPr>
            <w:r w:rsidRPr="00267F53">
              <w:rPr>
                <w:rFonts w:asciiTheme="minorHAnsi" w:hAnsiTheme="minorHAnsi" w:cstheme="minorHAnsi"/>
                <w:b/>
                <w:bCs/>
                <w:sz w:val="24"/>
                <w:szCs w:val="24"/>
              </w:rPr>
              <w:t>Case study – Unsweetened flavoured waters sold in school canteens</w:t>
            </w:r>
          </w:p>
          <w:p w14:paraId="4FCED20D" w14:textId="77777777" w:rsidR="008A6991" w:rsidRPr="00267F53" w:rsidRDefault="008A6991" w:rsidP="00930EBB">
            <w:pPr>
              <w:pStyle w:val="TableofAuthorities"/>
              <w:rPr>
                <w:rFonts w:asciiTheme="minorHAnsi" w:hAnsiTheme="minorHAnsi" w:cstheme="minorHAnsi"/>
                <w:sz w:val="24"/>
                <w:szCs w:val="24"/>
              </w:rPr>
            </w:pPr>
          </w:p>
          <w:p w14:paraId="4C5D0B3F" w14:textId="77777777" w:rsidR="008A6991" w:rsidRPr="00267F53" w:rsidRDefault="008A6991" w:rsidP="00930EBB">
            <w:pPr>
              <w:rPr>
                <w:rFonts w:asciiTheme="minorHAnsi" w:hAnsiTheme="minorHAnsi" w:cstheme="minorHAnsi"/>
                <w:sz w:val="24"/>
                <w:szCs w:val="24"/>
              </w:rPr>
            </w:pPr>
            <w:r w:rsidRPr="00267F53">
              <w:rPr>
                <w:rFonts w:asciiTheme="minorHAnsi" w:hAnsiTheme="minorHAnsi" w:cstheme="minorHAnsi"/>
                <w:sz w:val="24"/>
                <w:szCs w:val="24"/>
              </w:rPr>
              <w:t xml:space="preserve">Jurisdictions treat products in different ways even within a setting. In school canteens, each </w:t>
            </w:r>
            <w:r w:rsidRPr="00267F53">
              <w:rPr>
                <w:rFonts w:asciiTheme="minorHAnsi" w:eastAsiaTheme="minorHAnsi" w:hAnsiTheme="minorHAnsi"/>
                <w:sz w:val="24"/>
                <w:szCs w:val="24"/>
              </w:rPr>
              <w:t>jurisdiction</w:t>
            </w:r>
            <w:r w:rsidRPr="00267F53">
              <w:rPr>
                <w:rFonts w:asciiTheme="minorHAnsi" w:hAnsiTheme="minorHAnsi" w:cstheme="minorHAnsi"/>
                <w:sz w:val="24"/>
                <w:szCs w:val="24"/>
              </w:rPr>
              <w:t xml:space="preserve"> has developed guidelines regarding what can be sold and how such products should be classified and ‘promoted’. In relation to unsweetened flavoured waters in school canteens:</w:t>
            </w:r>
          </w:p>
          <w:p w14:paraId="28855784" w14:textId="77777777" w:rsidR="008A6991" w:rsidRPr="00267F53" w:rsidRDefault="008A6991" w:rsidP="00930EBB"/>
          <w:p w14:paraId="1E7B1E73" w14:textId="77777777" w:rsidR="008A6991" w:rsidRPr="00267F53" w:rsidRDefault="008A6991" w:rsidP="00930EBB">
            <w:pPr>
              <w:pStyle w:val="Bullet1"/>
              <w:rPr>
                <w:sz w:val="24"/>
                <w:szCs w:val="24"/>
              </w:rPr>
            </w:pPr>
            <w:r w:rsidRPr="00267F53">
              <w:rPr>
                <w:rFonts w:cstheme="minorHAnsi"/>
                <w:sz w:val="24"/>
                <w:szCs w:val="24"/>
              </w:rPr>
              <w:t xml:space="preserve">the </w:t>
            </w:r>
            <w:hyperlink r:id="rId72" w:history="1">
              <w:r w:rsidRPr="00267F53">
                <w:rPr>
                  <w:rStyle w:val="Hyperlink"/>
                  <w:rFonts w:cstheme="minorHAnsi"/>
                  <w:sz w:val="24"/>
                  <w:szCs w:val="24"/>
                </w:rPr>
                <w:t>NSW Healthy School Canteen Strategy</w:t>
              </w:r>
            </w:hyperlink>
            <w:r w:rsidRPr="00267F53">
              <w:rPr>
                <w:rFonts w:cstheme="minorHAnsi"/>
                <w:sz w:val="24"/>
                <w:szCs w:val="24"/>
              </w:rPr>
              <w:t xml:space="preserve">, the </w:t>
            </w:r>
            <w:hyperlink r:id="rId73" w:history="1">
              <w:r w:rsidRPr="00267F53">
                <w:rPr>
                  <w:rStyle w:val="Hyperlink"/>
                  <w:rFonts w:cstheme="minorHAnsi"/>
                  <w:sz w:val="24"/>
                  <w:szCs w:val="24"/>
                </w:rPr>
                <w:t>ACT ‘Go for Green’ Traffic Light System Guide</w:t>
              </w:r>
            </w:hyperlink>
            <w:r w:rsidRPr="00267F53">
              <w:rPr>
                <w:rFonts w:cstheme="minorHAnsi"/>
                <w:sz w:val="24"/>
                <w:szCs w:val="24"/>
              </w:rPr>
              <w:t xml:space="preserve"> and the </w:t>
            </w:r>
            <w:hyperlink r:id="rId74" w:history="1">
              <w:r w:rsidRPr="00267F53">
                <w:rPr>
                  <w:rStyle w:val="Hyperlink"/>
                  <w:rFonts w:cstheme="minorHAnsi"/>
                  <w:sz w:val="24"/>
                  <w:szCs w:val="24"/>
                </w:rPr>
                <w:t>Victorian Healthy Eating Advisory</w:t>
              </w:r>
            </w:hyperlink>
            <w:r w:rsidRPr="00267F53">
              <w:rPr>
                <w:rFonts w:cstheme="minorHAnsi"/>
                <w:sz w:val="24"/>
                <w:szCs w:val="24"/>
              </w:rPr>
              <w:t xml:space="preserve"> Service classify these products as green/everyday</w:t>
            </w:r>
          </w:p>
          <w:p w14:paraId="744BDDCB" w14:textId="77777777" w:rsidR="008A6991" w:rsidRPr="00267F53" w:rsidRDefault="008A6991" w:rsidP="00930EBB">
            <w:pPr>
              <w:pStyle w:val="Bullet1"/>
              <w:rPr>
                <w:sz w:val="24"/>
                <w:szCs w:val="24"/>
              </w:rPr>
            </w:pPr>
            <w:r w:rsidRPr="00267F53">
              <w:rPr>
                <w:sz w:val="24"/>
                <w:szCs w:val="24"/>
              </w:rPr>
              <w:t xml:space="preserve">the </w:t>
            </w:r>
            <w:hyperlink r:id="rId75" w:history="1">
              <w:r w:rsidRPr="00267F53">
                <w:rPr>
                  <w:rStyle w:val="Hyperlink"/>
                  <w:sz w:val="24"/>
                  <w:szCs w:val="24"/>
                </w:rPr>
                <w:t>Tasmanian School Canteen Association</w:t>
              </w:r>
            </w:hyperlink>
            <w:r w:rsidRPr="00267F53">
              <w:rPr>
                <w:sz w:val="24"/>
                <w:szCs w:val="24"/>
              </w:rPr>
              <w:t xml:space="preserve">, the </w:t>
            </w:r>
            <w:hyperlink r:id="rId76" w:history="1">
              <w:r w:rsidRPr="00267F53">
                <w:rPr>
                  <w:rStyle w:val="Hyperlink"/>
                  <w:sz w:val="24"/>
                  <w:szCs w:val="24"/>
                </w:rPr>
                <w:t>Queensland Healthy Food and Drink Supply Strategy</w:t>
              </w:r>
            </w:hyperlink>
            <w:r w:rsidRPr="00267F53">
              <w:rPr>
                <w:sz w:val="24"/>
                <w:szCs w:val="24"/>
              </w:rPr>
              <w:t xml:space="preserve">, the </w:t>
            </w:r>
            <w:hyperlink r:id="rId77" w:history="1">
              <w:r w:rsidRPr="00267F53">
                <w:rPr>
                  <w:rStyle w:val="Hyperlink"/>
                  <w:sz w:val="24"/>
                  <w:szCs w:val="24"/>
                </w:rPr>
                <w:t>Northern Territory School Nutrition and Healthy Eating Guidelines</w:t>
              </w:r>
            </w:hyperlink>
            <w:r w:rsidRPr="00267F53">
              <w:rPr>
                <w:sz w:val="24"/>
                <w:szCs w:val="24"/>
              </w:rPr>
              <w:t xml:space="preserve"> and the </w:t>
            </w:r>
            <w:hyperlink r:id="rId78" w:history="1">
              <w:r w:rsidRPr="00267F53">
                <w:rPr>
                  <w:rStyle w:val="Hyperlink"/>
                  <w:sz w:val="24"/>
                  <w:szCs w:val="24"/>
                </w:rPr>
                <w:t>Western Australian Healthy Food and Drink Policy</w:t>
              </w:r>
            </w:hyperlink>
            <w:r w:rsidRPr="00267F53">
              <w:rPr>
                <w:sz w:val="24"/>
                <w:szCs w:val="24"/>
              </w:rPr>
              <w:t xml:space="preserve"> classifies these products as red/avoid.</w:t>
            </w:r>
          </w:p>
          <w:p w14:paraId="1D88A18B" w14:textId="77777777" w:rsidR="008A6991" w:rsidRPr="00267F53" w:rsidRDefault="008A6991" w:rsidP="00930EBB">
            <w:pPr>
              <w:pStyle w:val="Bullet1"/>
              <w:numPr>
                <w:ilvl w:val="0"/>
                <w:numId w:val="0"/>
              </w:numPr>
              <w:ind w:left="360" w:hanging="360"/>
              <w:rPr>
                <w:sz w:val="24"/>
                <w:szCs w:val="24"/>
              </w:rPr>
            </w:pPr>
          </w:p>
          <w:p w14:paraId="1DAA2172" w14:textId="77777777" w:rsidR="008A6991" w:rsidRPr="00267F53" w:rsidRDefault="008A6991" w:rsidP="00930EBB">
            <w:pPr>
              <w:rPr>
                <w:rFonts w:asciiTheme="minorHAnsi" w:hAnsiTheme="minorHAnsi" w:cstheme="minorHAnsi"/>
                <w:sz w:val="24"/>
                <w:szCs w:val="24"/>
              </w:rPr>
            </w:pPr>
            <w:r w:rsidRPr="00267F53">
              <w:rPr>
                <w:rFonts w:asciiTheme="minorHAnsi" w:hAnsiTheme="minorHAnsi" w:cstheme="minorHAnsi"/>
                <w:sz w:val="24"/>
                <w:szCs w:val="24"/>
              </w:rPr>
              <w:t>Similar issues occur with flavoured milks.</w:t>
            </w:r>
          </w:p>
          <w:p w14:paraId="22D1E4FD" w14:textId="77777777" w:rsidR="008A6991" w:rsidRPr="00267F53" w:rsidRDefault="008A6991" w:rsidP="00930EBB">
            <w:pPr>
              <w:rPr>
                <w:rFonts w:asciiTheme="minorHAnsi" w:hAnsiTheme="minorHAnsi" w:cstheme="minorHAnsi"/>
                <w:sz w:val="24"/>
                <w:szCs w:val="24"/>
              </w:rPr>
            </w:pPr>
          </w:p>
          <w:p w14:paraId="694A77D4" w14:textId="77777777" w:rsidR="008A6991" w:rsidRPr="00267F53" w:rsidRDefault="008A6991" w:rsidP="00930EBB">
            <w:pPr>
              <w:rPr>
                <w:rFonts w:asciiTheme="minorHAnsi" w:hAnsiTheme="minorHAnsi" w:cstheme="minorHAnsi"/>
                <w:sz w:val="24"/>
                <w:szCs w:val="24"/>
              </w:rPr>
            </w:pPr>
            <w:r w:rsidRPr="00267F53">
              <w:rPr>
                <w:rFonts w:asciiTheme="minorHAnsi" w:hAnsiTheme="minorHAnsi" w:cstheme="minorHAnsi"/>
                <w:sz w:val="24"/>
                <w:szCs w:val="24"/>
              </w:rPr>
              <w:t>Stakeholders note that this case study also highlights a lack of coordination across government initiatives. For example, where products that receive a high Health Star Rating are categorised as red/avoid, or vice versa.</w:t>
            </w:r>
          </w:p>
          <w:p w14:paraId="68E3E983" w14:textId="77777777" w:rsidR="008A6991" w:rsidRPr="00267F53" w:rsidRDefault="008A6991" w:rsidP="00930EBB">
            <w:pPr>
              <w:pStyle w:val="Default"/>
              <w:rPr>
                <w:rFonts w:asciiTheme="minorHAnsi" w:hAnsiTheme="minorHAnsi" w:cstheme="minorHAnsi"/>
                <w:sz w:val="24"/>
                <w:szCs w:val="24"/>
                <w:lang w:val="en-AU"/>
              </w:rPr>
            </w:pPr>
          </w:p>
        </w:tc>
      </w:tr>
    </w:tbl>
    <w:p w14:paraId="4172BBF9" w14:textId="77777777" w:rsidR="008A6991" w:rsidRPr="00267F53" w:rsidRDefault="008A6991" w:rsidP="008A6991">
      <w:pPr>
        <w:pStyle w:val="Bullet1"/>
        <w:numPr>
          <w:ilvl w:val="0"/>
          <w:numId w:val="0"/>
        </w:numPr>
      </w:pPr>
    </w:p>
    <w:p w14:paraId="69A20F41" w14:textId="77777777" w:rsidR="001F1CA2" w:rsidRPr="00267F53" w:rsidRDefault="008A6991" w:rsidP="001F1CA2">
      <w:pPr>
        <w:pStyle w:val="Bullet1"/>
        <w:numPr>
          <w:ilvl w:val="0"/>
          <w:numId w:val="0"/>
        </w:numPr>
      </w:pPr>
      <w:r w:rsidRPr="00267F53">
        <w:lastRenderedPageBreak/>
        <w:t>Industry stakeholders highlighted that different requirements placed on products or businesses based on the jurisdiction and the setting in which they are sold/operate means it is challenging for manufacturers to ensure their products meet all the relevant regulatory requirements. It also limits the ability of (and incentives for) manufacturers to innovate to develop products tailored for specific settings, as requirements are not necessarily consistent even within a setting.</w:t>
      </w:r>
    </w:p>
    <w:p w14:paraId="09301B9D" w14:textId="77777777" w:rsidR="00930EBB" w:rsidRPr="00267F53" w:rsidRDefault="00930EBB"/>
    <w:p w14:paraId="15A01833" w14:textId="77777777" w:rsidR="00930EBB" w:rsidRPr="00267F53" w:rsidRDefault="00930EBB" w:rsidP="006F52C1">
      <w:pPr>
        <w:pStyle w:val="Bullet1"/>
        <w:keepNext/>
        <w:numPr>
          <w:ilvl w:val="0"/>
          <w:numId w:val="0"/>
        </w:numPr>
        <w:pBdr>
          <w:top w:val="single" w:sz="4" w:space="1" w:color="auto"/>
          <w:left w:val="single" w:sz="4" w:space="4" w:color="auto"/>
          <w:bottom w:val="single" w:sz="4" w:space="1" w:color="auto"/>
          <w:right w:val="single" w:sz="4" w:space="4" w:color="auto"/>
        </w:pBdr>
        <w:rPr>
          <w:b/>
          <w:bCs w:val="0"/>
        </w:rPr>
      </w:pPr>
      <w:r w:rsidRPr="00267F53">
        <w:rPr>
          <w:b/>
          <w:bCs w:val="0"/>
        </w:rPr>
        <w:t xml:space="preserve">Inconsistent thresholds </w:t>
      </w:r>
      <w:r w:rsidR="00BE37BD" w:rsidRPr="00267F53">
        <w:rPr>
          <w:b/>
          <w:bCs w:val="0"/>
        </w:rPr>
        <w:t>for market entry</w:t>
      </w:r>
    </w:p>
    <w:p w14:paraId="39CD1EEA" w14:textId="77777777" w:rsidR="00930EBB" w:rsidRPr="00267F53" w:rsidRDefault="00930EBB" w:rsidP="006F52C1">
      <w:pPr>
        <w:keepNext/>
      </w:pPr>
    </w:p>
    <w:p w14:paraId="0D27CE4D" w14:textId="77777777" w:rsidR="00930EBB" w:rsidRPr="00267F53" w:rsidRDefault="00930EBB" w:rsidP="006F52C1">
      <w:pPr>
        <w:keepNext/>
        <w:rPr>
          <w:rFonts w:cstheme="minorHAnsi"/>
        </w:rPr>
      </w:pPr>
      <w:r w:rsidRPr="00267F53">
        <w:rPr>
          <w:rFonts w:cstheme="minorHAnsi"/>
        </w:rPr>
        <w:t>Market entry requirements are set by each jurisdiction as part of their processes for food business registration/licencing. A number of stakeholders reported that market entry thresholds can differ between jurisdictions, meaning that, based on the jurisdiction in which a business is located, it may or may not have to be registered (and meet the array of regulatory requirements associated with that registration).</w:t>
      </w:r>
    </w:p>
    <w:p w14:paraId="4B222AE7" w14:textId="77777777" w:rsidR="00930EBB" w:rsidRPr="00267F53" w:rsidRDefault="00930EBB" w:rsidP="00930EBB">
      <w:pPr>
        <w:autoSpaceDE w:val="0"/>
        <w:autoSpaceDN w:val="0"/>
        <w:adjustRightInd w:val="0"/>
        <w:rPr>
          <w:rFonts w:cstheme="minorHAnsi"/>
          <w:lang w:eastAsia="en-US"/>
        </w:rPr>
      </w:pPr>
    </w:p>
    <w:p w14:paraId="78D4ABF8" w14:textId="77777777" w:rsidR="00930EBB" w:rsidRPr="00267F53" w:rsidRDefault="00930EBB" w:rsidP="00930EBB">
      <w:pPr>
        <w:autoSpaceDE w:val="0"/>
        <w:autoSpaceDN w:val="0"/>
        <w:adjustRightInd w:val="0"/>
        <w:rPr>
          <w:rFonts w:cstheme="minorHAnsi"/>
        </w:rPr>
      </w:pPr>
      <w:r w:rsidRPr="00267F53">
        <w:rPr>
          <w:rFonts w:cstheme="minorHAnsi"/>
        </w:rPr>
        <w:t>Two specific examples of this were raised:</w:t>
      </w:r>
    </w:p>
    <w:p w14:paraId="11D630F3" w14:textId="77777777" w:rsidR="00930EBB" w:rsidRPr="00267F53" w:rsidRDefault="00930EBB" w:rsidP="00930EBB"/>
    <w:p w14:paraId="61208476" w14:textId="77777777" w:rsidR="00930EBB" w:rsidRPr="00267F53" w:rsidRDefault="00930EBB" w:rsidP="00930EBB">
      <w:pPr>
        <w:pStyle w:val="Boldbullet1"/>
      </w:pPr>
      <w:r w:rsidRPr="00267F53">
        <w:t xml:space="preserve">egg producers </w:t>
      </w:r>
    </w:p>
    <w:p w14:paraId="378686D3" w14:textId="77777777" w:rsidR="00930EBB" w:rsidRPr="00267F53" w:rsidRDefault="00000000" w:rsidP="00667C32">
      <w:pPr>
        <w:pStyle w:val="Bullets2"/>
        <w:rPr>
          <w:rFonts w:cstheme="minorBidi"/>
        </w:rPr>
      </w:pPr>
      <w:hyperlink r:id="rId79" w:history="1">
        <w:r w:rsidR="00930EBB" w:rsidRPr="00267F53">
          <w:rPr>
            <w:rStyle w:val="Hyperlink"/>
          </w:rPr>
          <w:t>Standard 4.2.5 – Primary production and processing standards for eggs and eggs products</w:t>
        </w:r>
      </w:hyperlink>
      <w:r w:rsidR="00930EBB" w:rsidRPr="00267F53">
        <w:t xml:space="preserve"> defines an ‘egg producer’ as a business that ‘involves the production of eggs </w:t>
      </w:r>
      <w:r w:rsidR="00930EBB" w:rsidRPr="00267F53">
        <w:rPr>
          <w:rFonts w:cstheme="minorHAnsi"/>
        </w:rPr>
        <w:t>whether or not the business grades, packs, washes, candles or assesses for cracks, oils, pulps for supply to the processor for pasteurisation or stores or transports eggs or egg pulp’. However, jurisdictions further define this term in different ways.</w:t>
      </w:r>
    </w:p>
    <w:p w14:paraId="3EEF0BF8" w14:textId="77777777" w:rsidR="00930EBB" w:rsidRPr="00267F53" w:rsidRDefault="00930EBB" w:rsidP="00930EBB">
      <w:pPr>
        <w:pStyle w:val="Bullets3"/>
      </w:pPr>
      <w:r w:rsidRPr="00267F53">
        <w:t>in Queensland and Western Australia, individuals or food businesses with one or more egg producing hens are considered egg producers</w:t>
      </w:r>
    </w:p>
    <w:p w14:paraId="73AAEF39" w14:textId="77777777" w:rsidR="00EE3841" w:rsidRPr="00267F53" w:rsidRDefault="00930EBB" w:rsidP="00930EBB">
      <w:pPr>
        <w:pStyle w:val="Bullets3"/>
      </w:pPr>
      <w:r w:rsidRPr="00267F53">
        <w:t xml:space="preserve">in New South Wales </w:t>
      </w:r>
      <w:r w:rsidR="007A6C8E" w:rsidRPr="00267F53">
        <w:t xml:space="preserve">all egg food businesses </w:t>
      </w:r>
      <w:r w:rsidR="00EE3841" w:rsidRPr="00267F53">
        <w:t>need to meet food safety and labelling requirements</w:t>
      </w:r>
      <w:r w:rsidR="00F72A3C" w:rsidRPr="00267F53">
        <w:t xml:space="preserve"> and are categorised by </w:t>
      </w:r>
      <w:hyperlink r:id="rId80" w:history="1">
        <w:r w:rsidR="00F72A3C" w:rsidRPr="00267F53">
          <w:rPr>
            <w:rStyle w:val="Hyperlink"/>
          </w:rPr>
          <w:t>business</w:t>
        </w:r>
      </w:hyperlink>
      <w:r w:rsidR="00F72A3C" w:rsidRPr="00267F53">
        <w:t xml:space="preserve"> types covering</w:t>
      </w:r>
      <w:r w:rsidR="007A6C8E" w:rsidRPr="00267F53">
        <w:t xml:space="preserve"> the definition of ‘egg </w:t>
      </w:r>
      <w:r w:rsidR="00BF4D2B" w:rsidRPr="00267F53">
        <w:t xml:space="preserve">producer’ activities </w:t>
      </w:r>
    </w:p>
    <w:p w14:paraId="7FA85E81" w14:textId="77777777" w:rsidR="00930EBB" w:rsidRPr="00267F53" w:rsidRDefault="00EE3841" w:rsidP="00930EBB">
      <w:pPr>
        <w:pStyle w:val="Bullets3"/>
      </w:pPr>
      <w:r w:rsidRPr="00267F53">
        <w:t>in</w:t>
      </w:r>
      <w:r w:rsidR="00930EBB" w:rsidRPr="00267F53">
        <w:t xml:space="preserve"> the Australian Capital Territory, individuals or food businesses with hen(s) that lay 240 or more eggs per week are considered egg producers</w:t>
      </w:r>
    </w:p>
    <w:p w14:paraId="793E845B" w14:textId="77777777" w:rsidR="00930EBB" w:rsidRPr="00267F53" w:rsidRDefault="00930EBB" w:rsidP="00930EBB">
      <w:pPr>
        <w:pStyle w:val="Bullets3"/>
      </w:pPr>
      <w:r w:rsidRPr="00267F53">
        <w:t>in Victoria and South Australia, individuals or food businesses with more than 50 egg producing hens are considered egg producers</w:t>
      </w:r>
    </w:p>
    <w:p w14:paraId="6E687CE2" w14:textId="77777777" w:rsidR="00930EBB" w:rsidRPr="00267F53" w:rsidRDefault="00930EBB" w:rsidP="00930EBB">
      <w:pPr>
        <w:pStyle w:val="Bullets3"/>
      </w:pPr>
      <w:r w:rsidRPr="00267F53">
        <w:t>in Tasmania, any individuals or food businesses that sell eggs to the public or businesses are considered egg producers.</w:t>
      </w:r>
    </w:p>
    <w:p w14:paraId="398BE49C" w14:textId="77777777" w:rsidR="00930EBB" w:rsidRPr="00267F53" w:rsidRDefault="00930EBB" w:rsidP="00930EBB">
      <w:pPr>
        <w:pStyle w:val="Bullet1"/>
        <w:numPr>
          <w:ilvl w:val="0"/>
          <w:numId w:val="0"/>
        </w:numPr>
        <w:rPr>
          <w:b/>
          <w:bCs w:val="0"/>
        </w:rPr>
      </w:pPr>
    </w:p>
    <w:p w14:paraId="46CE0DE9" w14:textId="77777777" w:rsidR="00930EBB" w:rsidRPr="00267F53" w:rsidRDefault="00930EBB" w:rsidP="00930EBB">
      <w:pPr>
        <w:pStyle w:val="Boldbullet1"/>
        <w:keepNext/>
      </w:pPr>
      <w:r w:rsidRPr="00267F53">
        <w:t>businesses selling low alcohol beverages</w:t>
      </w:r>
    </w:p>
    <w:p w14:paraId="69F88A4B" w14:textId="77777777" w:rsidR="00930EBB" w:rsidRPr="00267F53" w:rsidRDefault="00930EBB" w:rsidP="00667C32">
      <w:pPr>
        <w:pStyle w:val="Bullets2"/>
        <w:rPr>
          <w:rFonts w:cstheme="minorBidi"/>
        </w:rPr>
      </w:pPr>
      <w:r w:rsidRPr="00267F53">
        <w:t xml:space="preserve">Under some State and Territory Liquor Licensing Acts, beverages with greater than 1.15% ethanol by volume are considered ‘alcoholic beverages’ or ‘liquor’, triggering alcoholic content labelling and the need for business stocking such products to hold a liquor licence. Under others, the threshold is 0.5% ethanol by volume. For example, while </w:t>
      </w:r>
      <w:hyperlink r:id="rId81" w:anchor="sec.4" w:history="1">
        <w:r w:rsidRPr="00267F53">
          <w:rPr>
            <w:rStyle w:val="Hyperlink"/>
            <w:rFonts w:cstheme="minorHAnsi"/>
          </w:rPr>
          <w:t>New South Wales</w:t>
        </w:r>
      </w:hyperlink>
      <w:r w:rsidRPr="00267F53">
        <w:t xml:space="preserve"> and </w:t>
      </w:r>
      <w:hyperlink r:id="rId82" w:history="1">
        <w:r w:rsidRPr="00267F53">
          <w:rPr>
            <w:rStyle w:val="Hyperlink"/>
            <w:rFonts w:cstheme="minorHAnsi"/>
          </w:rPr>
          <w:t>Western Australia</w:t>
        </w:r>
      </w:hyperlink>
      <w:r w:rsidRPr="00267F53">
        <w:t xml:space="preserve"> specify a level of more than 1.15% ethanol by volume at 20</w:t>
      </w:r>
      <w:r w:rsidRPr="00267F53">
        <w:rPr>
          <w:vertAlign w:val="superscript"/>
        </w:rPr>
        <w:t>o</w:t>
      </w:r>
      <w:r w:rsidRPr="00267F53">
        <w:t xml:space="preserve">C, </w:t>
      </w:r>
      <w:hyperlink r:id="rId83" w:history="1">
        <w:r w:rsidRPr="00267F53">
          <w:rPr>
            <w:rStyle w:val="Hyperlink"/>
            <w:rFonts w:cstheme="minorHAnsi"/>
          </w:rPr>
          <w:t>Queensland</w:t>
        </w:r>
      </w:hyperlink>
      <w:r w:rsidRPr="00267F53">
        <w:t xml:space="preserve"> and </w:t>
      </w:r>
      <w:hyperlink r:id="rId84" w:history="1">
        <w:r w:rsidRPr="00267F53">
          <w:rPr>
            <w:rStyle w:val="Hyperlink"/>
            <w:rFonts w:cstheme="minorHAnsi"/>
          </w:rPr>
          <w:t>Victoria</w:t>
        </w:r>
      </w:hyperlink>
      <w:r w:rsidRPr="00267F53">
        <w:t xml:space="preserve"> specify a level of ethyl alcohol (ethanol) of more than 0.5% by volume at 20</w:t>
      </w:r>
      <w:r w:rsidRPr="00267F53">
        <w:rPr>
          <w:vertAlign w:val="superscript"/>
        </w:rPr>
        <w:t>o</w:t>
      </w:r>
      <w:r w:rsidRPr="00267F53">
        <w:t>C.</w:t>
      </w:r>
    </w:p>
    <w:p w14:paraId="7EDE599A" w14:textId="77777777" w:rsidR="00930EBB" w:rsidRPr="00267F53" w:rsidRDefault="00930EBB" w:rsidP="00930EBB"/>
    <w:p w14:paraId="33205A8A" w14:textId="77777777" w:rsidR="00930EBB" w:rsidRPr="00267F53" w:rsidRDefault="00930EBB" w:rsidP="00930EBB">
      <w:r w:rsidRPr="00267F53">
        <w:t xml:space="preserve">Stakeholders highlighted that these inconsistencies </w:t>
      </w:r>
      <w:r w:rsidR="006F52C1" w:rsidRPr="00267F53">
        <w:t xml:space="preserve">can </w:t>
      </w:r>
      <w:r w:rsidRPr="00267F53">
        <w:t>create an unfair disadvantage in jurisdictions where regulatory thresholds are ‘lower’, subjecting those food businesses to increased regulation which necessarily increases the cost of compliance.</w:t>
      </w:r>
    </w:p>
    <w:p w14:paraId="7B3E21B1" w14:textId="77777777" w:rsidR="00930EBB" w:rsidRPr="00267F53" w:rsidRDefault="00930EBB"/>
    <w:p w14:paraId="199F8108" w14:textId="77777777" w:rsidR="00930EBB" w:rsidRPr="00267F53" w:rsidRDefault="00930EBB" w:rsidP="00171075">
      <w:pPr>
        <w:pStyle w:val="Heading2"/>
        <w:shd w:val="clear" w:color="auto" w:fill="368A72"/>
      </w:pPr>
      <w:bookmarkStart w:id="39" w:name="_Duplicative_regulatory_arrangements"/>
      <w:bookmarkStart w:id="40" w:name="_Toc65059144"/>
      <w:bookmarkEnd w:id="39"/>
      <w:r w:rsidRPr="00267F53">
        <w:lastRenderedPageBreak/>
        <w:t>Inconsistencies arising from the interfaces between different regulators within Australia</w:t>
      </w:r>
      <w:bookmarkEnd w:id="40"/>
    </w:p>
    <w:p w14:paraId="1725E1F5" w14:textId="77777777" w:rsidR="00930EBB" w:rsidRPr="00267F53" w:rsidRDefault="00930EBB" w:rsidP="00930EBB"/>
    <w:p w14:paraId="235A2383" w14:textId="77777777" w:rsidR="00930EBB" w:rsidRPr="00267F53" w:rsidRDefault="00930EBB" w:rsidP="00930EBB">
      <w:pPr>
        <w:pStyle w:val="Boldbullet1"/>
        <w:numPr>
          <w:ilvl w:val="0"/>
          <w:numId w:val="0"/>
        </w:numPr>
        <w:pBdr>
          <w:top w:val="single" w:sz="4" w:space="1" w:color="auto"/>
          <w:left w:val="single" w:sz="4" w:space="4" w:color="auto"/>
          <w:bottom w:val="single" w:sz="4" w:space="1" w:color="auto"/>
          <w:right w:val="single" w:sz="4" w:space="4" w:color="auto"/>
        </w:pBdr>
      </w:pPr>
      <w:r w:rsidRPr="00267F53">
        <w:t xml:space="preserve">Interface between food and primary industry regulators </w:t>
      </w:r>
    </w:p>
    <w:p w14:paraId="54111235" w14:textId="77777777" w:rsidR="00930EBB" w:rsidRPr="00267F53" w:rsidRDefault="00930EBB" w:rsidP="00930EBB">
      <w:pPr>
        <w:pStyle w:val="Boldbullet1"/>
        <w:numPr>
          <w:ilvl w:val="0"/>
          <w:numId w:val="0"/>
        </w:numPr>
        <w:rPr>
          <w:u w:val="single"/>
        </w:rPr>
      </w:pPr>
    </w:p>
    <w:p w14:paraId="2DF46F3F" w14:textId="77777777" w:rsidR="00930EBB" w:rsidRPr="00267F53" w:rsidRDefault="00930EBB" w:rsidP="00930EBB">
      <w:pPr>
        <w:pStyle w:val="Bullet1"/>
        <w:numPr>
          <w:ilvl w:val="0"/>
          <w:numId w:val="0"/>
        </w:numPr>
      </w:pPr>
      <w:r w:rsidRPr="00267F53">
        <w:t xml:space="preserve">In Australia, there are different arrangements between each State and Territory for the regulation of food and primary industries. Some States and Territories maintain discrete agencies responsible for regulating certain industries, while others have a single authority with primary responsibility for regulating food. </w:t>
      </w:r>
    </w:p>
    <w:p w14:paraId="155C7E42" w14:textId="77777777" w:rsidR="00930EBB" w:rsidRPr="00267F53" w:rsidRDefault="00930EBB" w:rsidP="00930EBB">
      <w:pPr>
        <w:pStyle w:val="Bullet1"/>
        <w:numPr>
          <w:ilvl w:val="0"/>
          <w:numId w:val="0"/>
        </w:numPr>
        <w:ind w:left="360" w:hanging="360"/>
      </w:pPr>
    </w:p>
    <w:p w14:paraId="18647090" w14:textId="77777777" w:rsidR="00930EBB" w:rsidRPr="00267F53" w:rsidRDefault="00930EBB" w:rsidP="00930EBB">
      <w:pPr>
        <w:pStyle w:val="Bullet1"/>
        <w:numPr>
          <w:ilvl w:val="0"/>
          <w:numId w:val="0"/>
        </w:numPr>
        <w:ind w:left="360" w:hanging="360"/>
      </w:pPr>
      <w:r w:rsidRPr="00267F53">
        <w:t>For example:</w:t>
      </w:r>
    </w:p>
    <w:p w14:paraId="603EFBD5" w14:textId="77777777" w:rsidR="00930EBB" w:rsidRPr="00267F53" w:rsidRDefault="00930EBB" w:rsidP="00930EBB">
      <w:pPr>
        <w:pStyle w:val="Bullet1"/>
        <w:numPr>
          <w:ilvl w:val="0"/>
          <w:numId w:val="0"/>
        </w:numPr>
        <w:ind w:left="360" w:hanging="360"/>
      </w:pPr>
    </w:p>
    <w:p w14:paraId="6B500B12" w14:textId="77777777" w:rsidR="00930EBB" w:rsidRPr="00267F53" w:rsidRDefault="008E4A33" w:rsidP="00930EBB">
      <w:pPr>
        <w:pStyle w:val="Bullet1"/>
      </w:pPr>
      <w:r w:rsidRPr="00267F53">
        <w:t>i</w:t>
      </w:r>
      <w:r w:rsidR="00930EBB" w:rsidRPr="00267F53">
        <w:t xml:space="preserve">n Victoria, </w:t>
      </w:r>
      <w:hyperlink r:id="rId85" w:history="1">
        <w:proofErr w:type="spellStart"/>
        <w:r w:rsidR="00930EBB" w:rsidRPr="00267F53">
          <w:rPr>
            <w:rStyle w:val="Hyperlink"/>
          </w:rPr>
          <w:t>PrimeSafe</w:t>
        </w:r>
        <w:proofErr w:type="spellEnd"/>
      </w:hyperlink>
      <w:r w:rsidR="00930EBB" w:rsidRPr="00267F53">
        <w:t xml:space="preserve"> is responsible for regulating meat, poultry, seafood and pet food, </w:t>
      </w:r>
      <w:hyperlink r:id="rId86" w:history="1">
        <w:r w:rsidR="00930EBB" w:rsidRPr="00267F53">
          <w:rPr>
            <w:rStyle w:val="Hyperlink"/>
          </w:rPr>
          <w:t>Dairy Food Safety Victoria</w:t>
        </w:r>
      </w:hyperlink>
      <w:r w:rsidR="00930EBB" w:rsidRPr="00267F53">
        <w:t xml:space="preserve"> is responsible for regulating the dairy industry, </w:t>
      </w:r>
      <w:hyperlink r:id="rId87" w:history="1">
        <w:r w:rsidR="00930EBB" w:rsidRPr="00267F53">
          <w:rPr>
            <w:rStyle w:val="Hyperlink"/>
          </w:rPr>
          <w:t>Agriculture Victoria</w:t>
        </w:r>
      </w:hyperlink>
      <w:r w:rsidR="00930EBB" w:rsidRPr="00267F53">
        <w:t xml:space="preserve"> also plays a role in regulating agriculture, biosecurity and food safety, and the </w:t>
      </w:r>
      <w:hyperlink r:id="rId88" w:history="1">
        <w:r w:rsidR="00930EBB" w:rsidRPr="00267F53">
          <w:rPr>
            <w:rStyle w:val="Hyperlink"/>
          </w:rPr>
          <w:t>Department of Health and Human Services Victoria</w:t>
        </w:r>
      </w:hyperlink>
      <w:r w:rsidR="00930EBB" w:rsidRPr="00267F53">
        <w:t xml:space="preserve"> works with local governments to regulate food safety</w:t>
      </w:r>
    </w:p>
    <w:p w14:paraId="78C59291" w14:textId="77777777" w:rsidR="00930EBB" w:rsidRPr="00267F53" w:rsidRDefault="008E4A33" w:rsidP="00930EBB">
      <w:pPr>
        <w:pStyle w:val="Bullet1"/>
      </w:pPr>
      <w:r w:rsidRPr="00267F53">
        <w:t>i</w:t>
      </w:r>
      <w:r w:rsidR="00930EBB" w:rsidRPr="00267F53">
        <w:t xml:space="preserve">n NSW the </w:t>
      </w:r>
      <w:hyperlink r:id="rId89" w:history="1">
        <w:r w:rsidR="00930EBB" w:rsidRPr="00267F53">
          <w:rPr>
            <w:rStyle w:val="Hyperlink"/>
          </w:rPr>
          <w:t>NSW Food Authority</w:t>
        </w:r>
      </w:hyperlink>
      <w:r w:rsidR="00930EBB" w:rsidRPr="00267F53">
        <w:t xml:space="preserve"> regulates all food businesses (including these industries) in partnership with local governments</w:t>
      </w:r>
    </w:p>
    <w:p w14:paraId="4E94CD92" w14:textId="77777777" w:rsidR="00930EBB" w:rsidRPr="00267F53" w:rsidRDefault="008E4A33" w:rsidP="00930EBB">
      <w:pPr>
        <w:pStyle w:val="Bullet1"/>
      </w:pPr>
      <w:r w:rsidRPr="00267F53">
        <w:t>i</w:t>
      </w:r>
      <w:r w:rsidR="00930EBB" w:rsidRPr="00267F53">
        <w:t xml:space="preserve">n South Australia, the </w:t>
      </w:r>
      <w:hyperlink r:id="rId90" w:history="1">
        <w:r w:rsidR="00930EBB" w:rsidRPr="00267F53">
          <w:rPr>
            <w:rStyle w:val="Hyperlink"/>
          </w:rPr>
          <w:t>Department of Primary Industries and Regions</w:t>
        </w:r>
      </w:hyperlink>
      <w:r w:rsidR="00930EBB" w:rsidRPr="00267F53">
        <w:t xml:space="preserve"> (PIRSA) is responsible for regulating businesses that are prescribed as undertaking all primary production and processing while SA Health and local governments regulate all other sectors. </w:t>
      </w:r>
    </w:p>
    <w:p w14:paraId="3D9F2E7C" w14:textId="77777777" w:rsidR="00930EBB" w:rsidRPr="00267F53" w:rsidRDefault="00930EBB" w:rsidP="00930EBB">
      <w:pPr>
        <w:pStyle w:val="Bullet1"/>
        <w:numPr>
          <w:ilvl w:val="0"/>
          <w:numId w:val="0"/>
        </w:numPr>
        <w:ind w:left="360" w:hanging="360"/>
      </w:pPr>
    </w:p>
    <w:p w14:paraId="1EC719B9" w14:textId="77777777" w:rsidR="00930EBB" w:rsidRPr="00267F53" w:rsidRDefault="00930EBB" w:rsidP="00930EBB">
      <w:pPr>
        <w:pStyle w:val="Bullet1"/>
        <w:numPr>
          <w:ilvl w:val="0"/>
          <w:numId w:val="0"/>
        </w:numPr>
      </w:pPr>
      <w:r w:rsidRPr="00267F53">
        <w:t xml:space="preserve">Stakeholders raised some specific examples where the existence of different regulatory structures creates confusion or increased regulatory burden. </w:t>
      </w:r>
    </w:p>
    <w:p w14:paraId="57329D68" w14:textId="77777777" w:rsidR="00930EBB" w:rsidRPr="00267F53" w:rsidRDefault="00930EBB" w:rsidP="00930EBB">
      <w:pPr>
        <w:pStyle w:val="Bullet1"/>
        <w:numPr>
          <w:ilvl w:val="0"/>
          <w:numId w:val="0"/>
        </w:numPr>
      </w:pPr>
    </w:p>
    <w:tbl>
      <w:tblPr>
        <w:tblStyle w:val="TableGrid"/>
        <w:tblW w:w="0" w:type="auto"/>
        <w:tblLook w:val="04A0" w:firstRow="1" w:lastRow="0" w:firstColumn="1" w:lastColumn="0" w:noHBand="0" w:noVBand="1"/>
      </w:tblPr>
      <w:tblGrid>
        <w:gridCol w:w="9736"/>
      </w:tblGrid>
      <w:tr w:rsidR="007D0103" w:rsidRPr="00267F53" w14:paraId="2F21F08A" w14:textId="77777777" w:rsidTr="007D0103">
        <w:tc>
          <w:tcPr>
            <w:tcW w:w="9736" w:type="dxa"/>
            <w:shd w:val="clear" w:color="auto" w:fill="DEEAF6" w:themeFill="accent1" w:themeFillTint="33"/>
          </w:tcPr>
          <w:p w14:paraId="4BCD7865" w14:textId="77777777" w:rsidR="007D0103" w:rsidRPr="00267F53" w:rsidRDefault="007D0103" w:rsidP="00930EBB">
            <w:pPr>
              <w:pStyle w:val="Bullet1"/>
              <w:numPr>
                <w:ilvl w:val="0"/>
                <w:numId w:val="0"/>
              </w:numPr>
              <w:rPr>
                <w:b/>
                <w:bCs w:val="0"/>
                <w:sz w:val="24"/>
                <w:szCs w:val="24"/>
              </w:rPr>
            </w:pPr>
            <w:r w:rsidRPr="00267F53">
              <w:rPr>
                <w:b/>
                <w:bCs w:val="0"/>
                <w:sz w:val="24"/>
                <w:szCs w:val="24"/>
              </w:rPr>
              <w:t xml:space="preserve">Case study – South Australia </w:t>
            </w:r>
          </w:p>
          <w:p w14:paraId="24909DD3" w14:textId="77777777" w:rsidR="007D0103" w:rsidRPr="00267F53" w:rsidRDefault="007D0103" w:rsidP="00930EBB">
            <w:pPr>
              <w:pStyle w:val="Bullet1"/>
              <w:numPr>
                <w:ilvl w:val="0"/>
                <w:numId w:val="0"/>
              </w:numPr>
              <w:rPr>
                <w:sz w:val="24"/>
                <w:szCs w:val="24"/>
              </w:rPr>
            </w:pPr>
          </w:p>
          <w:p w14:paraId="5B03670A" w14:textId="77777777" w:rsidR="007D0103" w:rsidRPr="00267F53" w:rsidRDefault="007D0103" w:rsidP="007D0103">
            <w:pPr>
              <w:pStyle w:val="Bullet1"/>
              <w:numPr>
                <w:ilvl w:val="0"/>
                <w:numId w:val="0"/>
              </w:numPr>
              <w:rPr>
                <w:sz w:val="24"/>
                <w:szCs w:val="24"/>
              </w:rPr>
            </w:pPr>
            <w:r w:rsidRPr="00267F53">
              <w:rPr>
                <w:sz w:val="24"/>
                <w:szCs w:val="24"/>
              </w:rPr>
              <w:t>In South Australia, a number of business types are subject to regulation by PIRSA</w:t>
            </w:r>
            <w:r w:rsidR="0041565D" w:rsidRPr="00267F53">
              <w:rPr>
                <w:sz w:val="24"/>
                <w:szCs w:val="24"/>
              </w:rPr>
              <w:t>, SA Health</w:t>
            </w:r>
            <w:r w:rsidRPr="00267F53">
              <w:rPr>
                <w:sz w:val="24"/>
                <w:szCs w:val="24"/>
              </w:rPr>
              <w:t xml:space="preserve"> and</w:t>
            </w:r>
            <w:r w:rsidR="0041565D" w:rsidRPr="00267F53">
              <w:rPr>
                <w:sz w:val="24"/>
                <w:szCs w:val="24"/>
              </w:rPr>
              <w:t>/or</w:t>
            </w:r>
            <w:r w:rsidRPr="00267F53">
              <w:rPr>
                <w:sz w:val="24"/>
                <w:szCs w:val="24"/>
              </w:rPr>
              <w:t xml:space="preserve"> local government environmental health officers. </w:t>
            </w:r>
            <w:r w:rsidR="00F61B55" w:rsidRPr="00267F53">
              <w:rPr>
                <w:sz w:val="24"/>
                <w:szCs w:val="24"/>
              </w:rPr>
              <w:t>Stakeholders provided the following</w:t>
            </w:r>
            <w:r w:rsidRPr="00267F53">
              <w:rPr>
                <w:sz w:val="24"/>
                <w:szCs w:val="24"/>
              </w:rPr>
              <w:t xml:space="preserve"> example</w:t>
            </w:r>
            <w:r w:rsidR="00F61B55" w:rsidRPr="00267F53">
              <w:rPr>
                <w:sz w:val="24"/>
                <w:szCs w:val="24"/>
              </w:rPr>
              <w:t>s</w:t>
            </w:r>
            <w:r w:rsidRPr="00267F53">
              <w:rPr>
                <w:sz w:val="24"/>
                <w:szCs w:val="24"/>
              </w:rPr>
              <w:t>:</w:t>
            </w:r>
          </w:p>
          <w:p w14:paraId="2C94DE19" w14:textId="77777777" w:rsidR="0041565D" w:rsidRPr="00267F53" w:rsidRDefault="0041565D" w:rsidP="0041565D">
            <w:pPr>
              <w:pStyle w:val="Bullet1"/>
              <w:numPr>
                <w:ilvl w:val="0"/>
                <w:numId w:val="0"/>
              </w:numPr>
              <w:rPr>
                <w:sz w:val="24"/>
                <w:szCs w:val="24"/>
              </w:rPr>
            </w:pPr>
          </w:p>
          <w:p w14:paraId="66193B66" w14:textId="77777777" w:rsidR="0041565D" w:rsidRPr="00267F53" w:rsidRDefault="0041565D" w:rsidP="0041565D">
            <w:pPr>
              <w:pStyle w:val="Bullet1"/>
              <w:rPr>
                <w:sz w:val="24"/>
                <w:szCs w:val="24"/>
              </w:rPr>
            </w:pPr>
            <w:r w:rsidRPr="00267F53">
              <w:rPr>
                <w:sz w:val="24"/>
                <w:szCs w:val="24"/>
              </w:rPr>
              <w:t>supermarkets and retail outlets that sell ready-to-eat meats and have an onsite butcher</w:t>
            </w:r>
          </w:p>
          <w:p w14:paraId="71089B7B" w14:textId="77777777" w:rsidR="0041565D" w:rsidRPr="00267F53" w:rsidRDefault="0041565D" w:rsidP="00C22A1A">
            <w:pPr>
              <w:pStyle w:val="Bullets2"/>
              <w:rPr>
                <w:sz w:val="24"/>
                <w:szCs w:val="24"/>
              </w:rPr>
            </w:pPr>
            <w:r w:rsidRPr="00267F53">
              <w:rPr>
                <w:sz w:val="24"/>
                <w:szCs w:val="24"/>
              </w:rPr>
              <w:t>PIRSA only regulates supermarkets that have onsite butchers</w:t>
            </w:r>
            <w:r w:rsidR="00C22A1A" w:rsidRPr="00267F53">
              <w:rPr>
                <w:sz w:val="24"/>
                <w:szCs w:val="24"/>
              </w:rPr>
              <w:t>. L</w:t>
            </w:r>
            <w:r w:rsidRPr="00267F53">
              <w:rPr>
                <w:sz w:val="24"/>
                <w:szCs w:val="24"/>
              </w:rPr>
              <w:t>ocal government EHOs regulate supermarkets in general</w:t>
            </w:r>
            <w:r w:rsidR="00C22A1A" w:rsidRPr="00267F53">
              <w:rPr>
                <w:sz w:val="24"/>
                <w:szCs w:val="24"/>
              </w:rPr>
              <w:t>,</w:t>
            </w:r>
            <w:r w:rsidRPr="00267F53">
              <w:rPr>
                <w:sz w:val="24"/>
                <w:szCs w:val="24"/>
              </w:rPr>
              <w:t xml:space="preserve"> including the deli section where there is no onsite butcher</w:t>
            </w:r>
            <w:r w:rsidR="00C22A1A" w:rsidRPr="00267F53">
              <w:rPr>
                <w:sz w:val="24"/>
                <w:szCs w:val="24"/>
              </w:rPr>
              <w:t>. SA</w:t>
            </w:r>
            <w:r w:rsidRPr="00267F53">
              <w:rPr>
                <w:sz w:val="24"/>
                <w:szCs w:val="24"/>
              </w:rPr>
              <w:t xml:space="preserve"> Health can also be involved where a business undertakes high-risk processing and packaging of RTE meats.</w:t>
            </w:r>
          </w:p>
          <w:p w14:paraId="7241BF4F" w14:textId="77777777" w:rsidR="00C847BC" w:rsidRPr="00267F53" w:rsidRDefault="00F61B55" w:rsidP="00C847BC">
            <w:pPr>
              <w:pStyle w:val="Bullet1"/>
              <w:rPr>
                <w:sz w:val="24"/>
                <w:szCs w:val="24"/>
              </w:rPr>
            </w:pPr>
            <w:r w:rsidRPr="00267F53">
              <w:rPr>
                <w:sz w:val="24"/>
                <w:szCs w:val="24"/>
              </w:rPr>
              <w:t xml:space="preserve">businesses that </w:t>
            </w:r>
            <w:r w:rsidR="0041565D" w:rsidRPr="00267F53">
              <w:rPr>
                <w:sz w:val="24"/>
                <w:szCs w:val="24"/>
              </w:rPr>
              <w:t xml:space="preserve">produce and </w:t>
            </w:r>
            <w:r w:rsidRPr="00267F53">
              <w:rPr>
                <w:sz w:val="24"/>
                <w:szCs w:val="24"/>
              </w:rPr>
              <w:t>process whole eggs</w:t>
            </w:r>
            <w:r w:rsidR="0041565D" w:rsidRPr="00267F53">
              <w:rPr>
                <w:sz w:val="24"/>
                <w:szCs w:val="24"/>
              </w:rPr>
              <w:t>,</w:t>
            </w:r>
            <w:r w:rsidRPr="00267F53">
              <w:rPr>
                <w:sz w:val="24"/>
                <w:szCs w:val="24"/>
              </w:rPr>
              <w:t xml:space="preserve"> and pasteurise egg pulp</w:t>
            </w:r>
          </w:p>
          <w:p w14:paraId="5F551CD4" w14:textId="77777777" w:rsidR="007D0103" w:rsidRPr="00267F53" w:rsidRDefault="0041565D" w:rsidP="00C22A1A">
            <w:pPr>
              <w:pStyle w:val="Bullet1"/>
              <w:rPr>
                <w:sz w:val="24"/>
                <w:szCs w:val="24"/>
              </w:rPr>
            </w:pPr>
            <w:r w:rsidRPr="00267F53">
              <w:rPr>
                <w:sz w:val="24"/>
                <w:szCs w:val="24"/>
              </w:rPr>
              <w:t xml:space="preserve">butchers that sell both raw meat and smallgoods (noting that PIRSA regulators are now also authorised under the SA Food Act </w:t>
            </w:r>
            <w:r w:rsidR="00C22A1A" w:rsidRPr="00267F53">
              <w:rPr>
                <w:sz w:val="24"/>
                <w:szCs w:val="24"/>
              </w:rPr>
              <w:t>to assess</w:t>
            </w:r>
            <w:r w:rsidRPr="00267F53">
              <w:rPr>
                <w:sz w:val="24"/>
                <w:szCs w:val="24"/>
              </w:rPr>
              <w:t xml:space="preserve"> foods other than raw meat and smallgoods </w:t>
            </w:r>
            <w:r w:rsidR="00C22A1A" w:rsidRPr="00267F53">
              <w:rPr>
                <w:sz w:val="24"/>
                <w:szCs w:val="24"/>
              </w:rPr>
              <w:t>with the aim of reducing</w:t>
            </w:r>
            <w:r w:rsidRPr="00267F53">
              <w:rPr>
                <w:sz w:val="24"/>
                <w:szCs w:val="24"/>
              </w:rPr>
              <w:t xml:space="preserve"> regulatory duplication with local government EHOs)</w:t>
            </w:r>
            <w:r w:rsidR="001A3B05" w:rsidRPr="00267F53">
              <w:rPr>
                <w:sz w:val="24"/>
                <w:szCs w:val="24"/>
              </w:rPr>
              <w:t>.</w:t>
            </w:r>
          </w:p>
          <w:p w14:paraId="5F3FD6D7" w14:textId="77777777" w:rsidR="00C22A1A" w:rsidRPr="00267F53" w:rsidRDefault="00C22A1A" w:rsidP="00C22A1A">
            <w:pPr>
              <w:pStyle w:val="Bullet1"/>
              <w:numPr>
                <w:ilvl w:val="0"/>
                <w:numId w:val="0"/>
              </w:numPr>
              <w:ind w:left="360" w:hanging="360"/>
              <w:rPr>
                <w:sz w:val="24"/>
                <w:szCs w:val="24"/>
              </w:rPr>
            </w:pPr>
          </w:p>
        </w:tc>
      </w:tr>
    </w:tbl>
    <w:p w14:paraId="4415B054" w14:textId="77777777" w:rsidR="00930EBB" w:rsidRPr="00267F53" w:rsidRDefault="00930EBB" w:rsidP="00930EBB">
      <w:pPr>
        <w:pStyle w:val="Bullet1"/>
        <w:numPr>
          <w:ilvl w:val="0"/>
          <w:numId w:val="0"/>
        </w:numPr>
      </w:pPr>
    </w:p>
    <w:p w14:paraId="0F1A6A53" w14:textId="77777777" w:rsidR="007D0103" w:rsidRPr="00267F53" w:rsidRDefault="007D0103" w:rsidP="007D0103">
      <w:pPr>
        <w:pStyle w:val="Bullet1"/>
        <w:numPr>
          <w:ilvl w:val="0"/>
          <w:numId w:val="0"/>
        </w:numPr>
      </w:pPr>
      <w:r w:rsidRPr="00267F53">
        <w:t xml:space="preserve">Stakeholders </w:t>
      </w:r>
      <w:r w:rsidR="00F61B55" w:rsidRPr="00267F53">
        <w:t xml:space="preserve">(including governments and industry) </w:t>
      </w:r>
      <w:r w:rsidRPr="00267F53">
        <w:t xml:space="preserve">variously suggested that in jurisdictions where all food businesses are regulated by a single entity, there is a reduced regulatory burden for businesses, which are only required to demonstrate compliance to one government regulator. </w:t>
      </w:r>
    </w:p>
    <w:p w14:paraId="036DA389" w14:textId="77777777" w:rsidR="00930EBB" w:rsidRPr="00267F53" w:rsidRDefault="00930EBB" w:rsidP="00930EBB">
      <w:pPr>
        <w:pStyle w:val="Bullet1"/>
        <w:numPr>
          <w:ilvl w:val="0"/>
          <w:numId w:val="0"/>
        </w:numPr>
      </w:pPr>
    </w:p>
    <w:p w14:paraId="202766C9" w14:textId="77777777" w:rsidR="00930EBB" w:rsidRPr="00267F53" w:rsidRDefault="00930EBB" w:rsidP="00930EBB">
      <w:pPr>
        <w:pStyle w:val="Bullet1"/>
        <w:numPr>
          <w:ilvl w:val="0"/>
          <w:numId w:val="0"/>
        </w:numPr>
      </w:pPr>
      <w:r w:rsidRPr="00267F53">
        <w:lastRenderedPageBreak/>
        <w:t>S</w:t>
      </w:r>
      <w:r w:rsidR="00F61B55" w:rsidRPr="00267F53">
        <w:t>ome st</w:t>
      </w:r>
      <w:r w:rsidRPr="00267F53">
        <w:t xml:space="preserve">akeholders </w:t>
      </w:r>
      <w:r w:rsidR="00F61B55" w:rsidRPr="00267F53">
        <w:t>suggested</w:t>
      </w:r>
      <w:r w:rsidRPr="00267F53">
        <w:t xml:space="preserve"> that a more integrated approach to regulation is adopted in jurisdictions with a single regulator as they monitor compliance across the whole food supply and ‘</w:t>
      </w:r>
      <w:r w:rsidRPr="00267F53">
        <w:rPr>
          <w:i/>
          <w:iCs w:val="0"/>
        </w:rPr>
        <w:t>are able to view each sub</w:t>
      </w:r>
      <w:r w:rsidRPr="00267F53">
        <w:rPr>
          <w:i/>
          <w:iCs w:val="0"/>
        </w:rPr>
        <w:noBreakHyphen/>
        <w:t>sector as part of a greater food standards system, resulting in regulation more commensurate to risk</w:t>
      </w:r>
      <w:r w:rsidRPr="00267F53">
        <w:t>’.</w:t>
      </w:r>
    </w:p>
    <w:p w14:paraId="229EE059" w14:textId="77777777" w:rsidR="00930EBB" w:rsidRPr="00267F53" w:rsidRDefault="00930EBB" w:rsidP="00930EBB">
      <w:pPr>
        <w:rPr>
          <w:lang w:eastAsia="en-US"/>
        </w:rPr>
      </w:pPr>
    </w:p>
    <w:p w14:paraId="44117A11" w14:textId="77777777" w:rsidR="00930EBB" w:rsidRPr="00267F53" w:rsidRDefault="00930EBB" w:rsidP="00930EBB">
      <w:pPr>
        <w:pBdr>
          <w:top w:val="single" w:sz="4" w:space="1" w:color="auto"/>
          <w:left w:val="single" w:sz="4" w:space="4" w:color="auto"/>
          <w:bottom w:val="single" w:sz="4" w:space="1" w:color="auto"/>
          <w:right w:val="single" w:sz="4" w:space="4" w:color="auto"/>
        </w:pBdr>
        <w:rPr>
          <w:b/>
          <w:bCs/>
          <w:lang w:eastAsia="en-US"/>
        </w:rPr>
      </w:pPr>
      <w:r w:rsidRPr="00267F53">
        <w:rPr>
          <w:b/>
          <w:bCs/>
          <w:lang w:eastAsia="en-US"/>
        </w:rPr>
        <w:t xml:space="preserve">Interface between food and medicine regulators </w:t>
      </w:r>
    </w:p>
    <w:p w14:paraId="6D84BFCE" w14:textId="77777777" w:rsidR="00930EBB" w:rsidRPr="00267F53" w:rsidRDefault="00930EBB" w:rsidP="00930EBB">
      <w:pPr>
        <w:rPr>
          <w:lang w:eastAsia="en-US"/>
        </w:rPr>
      </w:pPr>
    </w:p>
    <w:p w14:paraId="18BF35AE" w14:textId="77777777" w:rsidR="00930EBB" w:rsidRPr="00267F53" w:rsidRDefault="00930EBB" w:rsidP="00930EBB">
      <w:pPr>
        <w:pStyle w:val="Default"/>
        <w:rPr>
          <w:rFonts w:asciiTheme="minorHAnsi" w:hAnsiTheme="minorHAnsi" w:cstheme="minorHAnsi"/>
          <w:lang w:val="en-AU"/>
        </w:rPr>
      </w:pPr>
      <w:r w:rsidRPr="00267F53">
        <w:rPr>
          <w:rFonts w:asciiTheme="minorHAnsi" w:hAnsiTheme="minorHAnsi" w:cstheme="minorHAnsi"/>
          <w:lang w:val="en-AU"/>
        </w:rPr>
        <w:t>The ‘food-medicine interface’ refers to the potential regulatory overlaps between certain foods and</w:t>
      </w:r>
    </w:p>
    <w:p w14:paraId="7A7B00CA" w14:textId="77777777" w:rsidR="00930EBB" w:rsidRPr="00267F53" w:rsidRDefault="00930EBB" w:rsidP="00930EBB">
      <w:pPr>
        <w:pStyle w:val="Default"/>
        <w:rPr>
          <w:rFonts w:asciiTheme="minorHAnsi" w:hAnsiTheme="minorHAnsi" w:cstheme="minorHAnsi"/>
          <w:lang w:val="en-AU"/>
        </w:rPr>
      </w:pPr>
      <w:r w:rsidRPr="00267F53">
        <w:rPr>
          <w:rFonts w:asciiTheme="minorHAnsi" w:hAnsiTheme="minorHAnsi" w:cstheme="minorHAnsi"/>
          <w:lang w:val="en-AU"/>
        </w:rPr>
        <w:t>therapeutic goods. Many stakeholders, including from government, industry and consumer advocacy and public health bodies, raised this as a critical area of inconsistency.</w:t>
      </w:r>
    </w:p>
    <w:p w14:paraId="5BDA4882" w14:textId="77777777" w:rsidR="00930EBB" w:rsidRPr="00267F53" w:rsidRDefault="00930EBB" w:rsidP="00930EBB">
      <w:pPr>
        <w:pStyle w:val="Default"/>
        <w:rPr>
          <w:rFonts w:asciiTheme="minorHAnsi" w:hAnsiTheme="minorHAnsi" w:cstheme="minorHAnsi"/>
          <w:lang w:val="en-AU"/>
        </w:rPr>
      </w:pPr>
    </w:p>
    <w:p w14:paraId="601C7845" w14:textId="77777777" w:rsidR="00930EBB" w:rsidRPr="00267F53" w:rsidRDefault="00930EBB" w:rsidP="00930EBB">
      <w:pPr>
        <w:pStyle w:val="Default"/>
        <w:rPr>
          <w:rFonts w:asciiTheme="minorHAnsi" w:hAnsiTheme="minorHAnsi" w:cstheme="minorHAnsi"/>
          <w:lang w:val="en-AU"/>
        </w:rPr>
      </w:pPr>
      <w:r w:rsidRPr="00267F53">
        <w:rPr>
          <w:rFonts w:asciiTheme="minorHAnsi" w:hAnsiTheme="minorHAnsi" w:cstheme="minorHAnsi"/>
          <w:lang w:val="en-AU"/>
        </w:rPr>
        <w:t xml:space="preserve">Within Australia, the approval process, permitted claims and composition of a product will differ according to whether it is classified as a therapeutic good or a food. FSANZ generally does not make determinations as to whether a product should be considered a medicine or a food. In collaboration with food regulatory agencies, the </w:t>
      </w:r>
      <w:hyperlink r:id="rId91" w:history="1">
        <w:r w:rsidRPr="00267F53">
          <w:rPr>
            <w:rStyle w:val="Hyperlink"/>
            <w:rFonts w:asciiTheme="minorHAnsi" w:hAnsiTheme="minorHAnsi" w:cstheme="minorHAnsi"/>
            <w:lang w:val="en-AU"/>
          </w:rPr>
          <w:t>Therapeutic Goods Administration</w:t>
        </w:r>
      </w:hyperlink>
      <w:r w:rsidRPr="00267F53">
        <w:rPr>
          <w:rFonts w:asciiTheme="minorHAnsi" w:hAnsiTheme="minorHAnsi" w:cstheme="minorHAnsi"/>
          <w:lang w:val="en-AU"/>
        </w:rPr>
        <w:t xml:space="preserve"> (TGA) (which regulates medicines and medical devices in Australia) has developed a </w:t>
      </w:r>
      <w:hyperlink r:id="rId92" w:history="1">
        <w:r w:rsidRPr="00267F53">
          <w:rPr>
            <w:rStyle w:val="Hyperlink"/>
            <w:rFonts w:asciiTheme="minorHAnsi" w:hAnsiTheme="minorHAnsi" w:cstheme="minorHAnsi"/>
            <w:lang w:val="en-AU"/>
          </w:rPr>
          <w:t>Food-Medicine Interface Guidance Tool</w:t>
        </w:r>
      </w:hyperlink>
      <w:r w:rsidRPr="00267F53">
        <w:rPr>
          <w:rFonts w:asciiTheme="minorHAnsi" w:hAnsiTheme="minorHAnsi" w:cstheme="minorHAnsi"/>
          <w:lang w:val="en-AU"/>
        </w:rPr>
        <w:t xml:space="preserve"> which can help businesses determine whether a product is a therapeutic good or a food. However, ambiguities remain particularly in relation to special purpose or supplemented foods.</w:t>
      </w:r>
    </w:p>
    <w:p w14:paraId="3F3ECF20" w14:textId="77777777" w:rsidR="00930EBB" w:rsidRPr="00267F53" w:rsidRDefault="00930EBB" w:rsidP="00930EBB">
      <w:pPr>
        <w:pStyle w:val="Default"/>
        <w:rPr>
          <w:rFonts w:asciiTheme="minorHAnsi" w:hAnsiTheme="minorHAnsi" w:cstheme="minorHAnsi"/>
          <w:lang w:val="en-AU"/>
        </w:rPr>
      </w:pPr>
    </w:p>
    <w:p w14:paraId="679CD338" w14:textId="77777777" w:rsidR="00930EBB" w:rsidRPr="00267F53" w:rsidRDefault="00930EBB" w:rsidP="00930EBB">
      <w:pPr>
        <w:pStyle w:val="Default"/>
        <w:rPr>
          <w:rFonts w:asciiTheme="minorHAnsi" w:hAnsiTheme="minorHAnsi" w:cstheme="minorHAnsi"/>
          <w:lang w:val="en-AU"/>
        </w:rPr>
      </w:pPr>
      <w:r w:rsidRPr="00267F53">
        <w:rPr>
          <w:rFonts w:asciiTheme="minorHAnsi" w:hAnsiTheme="minorHAnsi" w:cstheme="minorHAnsi"/>
          <w:lang w:val="en-AU"/>
        </w:rPr>
        <w:t>Stakeholders reported that:</w:t>
      </w:r>
    </w:p>
    <w:p w14:paraId="065FE7F5" w14:textId="77777777" w:rsidR="00930EBB" w:rsidRPr="00267F53" w:rsidRDefault="00930EBB" w:rsidP="00930EBB">
      <w:pPr>
        <w:pStyle w:val="Default"/>
        <w:rPr>
          <w:rFonts w:asciiTheme="minorHAnsi" w:hAnsiTheme="minorHAnsi" w:cstheme="minorHAnsi"/>
          <w:lang w:val="en-AU"/>
        </w:rPr>
      </w:pPr>
    </w:p>
    <w:p w14:paraId="285268F6" w14:textId="77777777" w:rsidR="00930EBB" w:rsidRPr="00267F53" w:rsidRDefault="00930EBB" w:rsidP="00930EBB">
      <w:pPr>
        <w:pStyle w:val="Bullet1"/>
      </w:pPr>
      <w:r w:rsidRPr="00267F53">
        <w:t xml:space="preserve">this can result in frustration </w:t>
      </w:r>
      <w:r w:rsidR="007F1EBB" w:rsidRPr="00267F53">
        <w:t xml:space="preserve">and increased compliance costs </w:t>
      </w:r>
      <w:r w:rsidRPr="00267F53">
        <w:t>for businesses looking to comply with the correct requirements (for either foods or medicines). It can also result in businesses coming to different conclusions regarding which regulations apply, leading to inconsistent regulatory outcomes for similar products and potential non-compliance with regulatory requirements</w:t>
      </w:r>
    </w:p>
    <w:p w14:paraId="7C917FBA" w14:textId="77777777" w:rsidR="00930EBB" w:rsidRPr="00267F53" w:rsidRDefault="00930EBB" w:rsidP="00930EBB">
      <w:pPr>
        <w:pStyle w:val="Bullet1"/>
      </w:pPr>
      <w:r w:rsidRPr="00267F53">
        <w:t>businesses ‘take advantage of’ this subjectivity and may choose to market a product based on the applicable regulatory requirements. Stakeholders highlighted that inconsistent outcomes can also occur across jurisdictions where some regulatory agencies take a more proactive approach to taking action against businesses that have incorrectly categorised their product</w:t>
      </w:r>
    </w:p>
    <w:p w14:paraId="74DE0504" w14:textId="77777777" w:rsidR="00930EBB" w:rsidRPr="00267F53" w:rsidRDefault="00930EBB" w:rsidP="00930EBB">
      <w:pPr>
        <w:pStyle w:val="Bullet1"/>
      </w:pPr>
      <w:r w:rsidRPr="00267F53">
        <w:t>it can be costly for businesses that incorrectly determine whether their product is a food or a therapeutic good</w:t>
      </w:r>
      <w:r w:rsidR="00BE37BD" w:rsidRPr="00267F53">
        <w:t>,</w:t>
      </w:r>
      <w:r w:rsidRPr="00267F53">
        <w:t xml:space="preserve"> can create an uneven playing field where similar products are regulated and marketed under different regulatory schemes and is confusing for consumers trying to make an informed choice about products.</w:t>
      </w:r>
    </w:p>
    <w:p w14:paraId="047373CD" w14:textId="77777777" w:rsidR="00930EBB" w:rsidRPr="00267F53" w:rsidRDefault="00930EBB" w:rsidP="00930EBB">
      <w:pPr>
        <w:pStyle w:val="Default"/>
        <w:rPr>
          <w:rFonts w:asciiTheme="minorHAnsi" w:hAnsiTheme="minorHAnsi" w:cstheme="minorHAnsi"/>
          <w:lang w:val="en-AU"/>
        </w:rPr>
      </w:pPr>
    </w:p>
    <w:p w14:paraId="5C2E3100" w14:textId="77777777" w:rsidR="00930EBB" w:rsidRPr="00267F53" w:rsidRDefault="00930EBB" w:rsidP="00930EBB">
      <w:pPr>
        <w:pStyle w:val="Default"/>
        <w:rPr>
          <w:rFonts w:asciiTheme="minorHAnsi" w:hAnsiTheme="minorHAnsi" w:cstheme="minorHAnsi"/>
          <w:lang w:val="en-AU"/>
        </w:rPr>
      </w:pPr>
      <w:r w:rsidRPr="00267F53">
        <w:rPr>
          <w:rFonts w:asciiTheme="minorHAnsi" w:hAnsiTheme="minorHAnsi" w:cstheme="minorHAnsi"/>
          <w:lang w:val="en-AU"/>
        </w:rPr>
        <w:t>Some examples were provided:</w:t>
      </w:r>
    </w:p>
    <w:p w14:paraId="731AA94F" w14:textId="77777777" w:rsidR="00930EBB" w:rsidRPr="00267F53" w:rsidRDefault="00930EBB" w:rsidP="00930EBB">
      <w:pPr>
        <w:pStyle w:val="Default"/>
        <w:rPr>
          <w:rFonts w:asciiTheme="minorHAnsi" w:hAnsiTheme="minorHAnsi" w:cstheme="minorHAnsi"/>
          <w:lang w:val="en-AU"/>
        </w:rPr>
      </w:pPr>
    </w:p>
    <w:p w14:paraId="60DE3382" w14:textId="77777777" w:rsidR="00E06319" w:rsidRDefault="00930EBB" w:rsidP="00E06319">
      <w:pPr>
        <w:pStyle w:val="Bullet1"/>
      </w:pPr>
      <w:r w:rsidRPr="00267F53">
        <w:rPr>
          <w:b/>
          <w:bCs w:val="0"/>
        </w:rPr>
        <w:t>Children’s supplements in the form of gummy lollies</w:t>
      </w:r>
      <w:r w:rsidRPr="00267F53">
        <w:t xml:space="preserve"> – some of these products have been listed with the TGA as complementary medicines, while others are classified as foods. </w:t>
      </w:r>
      <w:r w:rsidRPr="00267F53">
        <w:rPr>
          <w:color w:val="000000"/>
        </w:rPr>
        <w:t xml:space="preserve">For complementary medicines, there is a requirement to declare the presence, but not the quantity, of sugars on the label. </w:t>
      </w:r>
      <w:r w:rsidRPr="00267F53">
        <w:t>In these situations, complaints about such products may be</w:t>
      </w:r>
    </w:p>
    <w:p w14:paraId="476AED26" w14:textId="77777777" w:rsidR="00E06319" w:rsidRDefault="00E06319" w:rsidP="00E06319">
      <w:pPr>
        <w:pStyle w:val="Bullet1"/>
        <w:numPr>
          <w:ilvl w:val="0"/>
          <w:numId w:val="0"/>
        </w:numPr>
        <w:ind w:left="360"/>
      </w:pPr>
    </w:p>
    <w:p w14:paraId="6C18AC5C" w14:textId="77777777" w:rsidR="00930EBB" w:rsidRPr="00267F53" w:rsidRDefault="00930EBB" w:rsidP="00E06319">
      <w:pPr>
        <w:pStyle w:val="Bullet1"/>
        <w:numPr>
          <w:ilvl w:val="0"/>
          <w:numId w:val="0"/>
        </w:numPr>
        <w:ind w:left="360"/>
      </w:pPr>
      <w:r w:rsidRPr="00267F53">
        <w:lastRenderedPageBreak/>
        <w:t>interpreted differently by the different jurisdictions, or else not ruled on at all, instead being passed between the jurisdiction and the TGA.</w:t>
      </w:r>
      <w:r w:rsidRPr="00267F53">
        <w:rPr>
          <w:rStyle w:val="FootnoteReference"/>
          <w:rFonts w:cstheme="minorHAnsi"/>
          <w:sz w:val="24"/>
        </w:rPr>
        <w:footnoteReference w:id="7"/>
      </w:r>
    </w:p>
    <w:p w14:paraId="0999324C" w14:textId="77777777" w:rsidR="00930EBB" w:rsidRPr="00267F53" w:rsidRDefault="00930EBB" w:rsidP="00930EBB">
      <w:pPr>
        <w:pStyle w:val="Bullet1"/>
        <w:numPr>
          <w:ilvl w:val="0"/>
          <w:numId w:val="0"/>
        </w:numPr>
        <w:ind w:left="360" w:hanging="360"/>
        <w:rPr>
          <w:i/>
          <w:iCs w:val="0"/>
        </w:rPr>
      </w:pPr>
    </w:p>
    <w:p w14:paraId="552B3E3D" w14:textId="77777777" w:rsidR="00930EBB" w:rsidRPr="00267F53" w:rsidRDefault="00930EBB" w:rsidP="00930EBB">
      <w:pPr>
        <w:pStyle w:val="Bullet1"/>
      </w:pPr>
      <w:r w:rsidRPr="00267F53">
        <w:rPr>
          <w:b/>
          <w:bCs w:val="0"/>
        </w:rPr>
        <w:t>Collagen powder or powdered phenolics</w:t>
      </w:r>
      <w:r w:rsidRPr="00267F53">
        <w:t xml:space="preserve"> – some businesses have classed these products as foods and display health claims (</w:t>
      </w:r>
      <w:hyperlink r:id="rId93" w:history="1">
        <w:r w:rsidRPr="00267F53">
          <w:rPr>
            <w:rStyle w:val="Hyperlink"/>
          </w:rPr>
          <w:t>notified to FSANZ</w:t>
        </w:r>
      </w:hyperlink>
      <w:r w:rsidRPr="00267F53">
        <w:t xml:space="preserve">) such as ‘stimulates and supports collagen production’ and ‘supports skin structure and health’ which could be considered therapeutic in nature. Stakeholders reported that </w:t>
      </w:r>
      <w:r w:rsidR="00BE37BD" w:rsidRPr="00267F53">
        <w:t xml:space="preserve">some </w:t>
      </w:r>
      <w:r w:rsidRPr="00267F53">
        <w:rPr>
          <w:rFonts w:asciiTheme="minorHAnsi" w:hAnsiTheme="minorHAnsi" w:cstheme="minorHAnsi"/>
        </w:rPr>
        <w:t>businesses ‘bypass the TGA, as the food regulatory system is cheaper and less stringent than the therapeutic goods regulations’.</w:t>
      </w:r>
    </w:p>
    <w:p w14:paraId="76FF7F93" w14:textId="77777777" w:rsidR="00930EBB" w:rsidRPr="00267F53" w:rsidRDefault="00930EBB" w:rsidP="00930EBB">
      <w:pPr>
        <w:pStyle w:val="Bullet1"/>
        <w:numPr>
          <w:ilvl w:val="0"/>
          <w:numId w:val="0"/>
        </w:numPr>
        <w:ind w:left="360" w:hanging="360"/>
      </w:pPr>
    </w:p>
    <w:p w14:paraId="42CE2D4D" w14:textId="77777777" w:rsidR="00930EBB" w:rsidRPr="00267F53" w:rsidRDefault="00930EBB" w:rsidP="00930EBB">
      <w:pPr>
        <w:pStyle w:val="Bullet1"/>
      </w:pPr>
      <w:r w:rsidRPr="00267F53">
        <w:rPr>
          <w:b/>
          <w:bCs w:val="0"/>
        </w:rPr>
        <w:t>Electrolyte capsules</w:t>
      </w:r>
      <w:r w:rsidRPr="00267F53">
        <w:t xml:space="preserve"> – some businesses have marketed electrolyte capsules as formulated supplementary sports foods, which are not permitted to hold vitamin or minerals claims; others have marketed similar electrolyte capsules as therapeutic goods, which do hold vitamin and mineral claims. </w:t>
      </w:r>
    </w:p>
    <w:p w14:paraId="7AACC965" w14:textId="77777777" w:rsidR="00930EBB" w:rsidRPr="00267F53" w:rsidRDefault="00930EBB" w:rsidP="00930EBB">
      <w:pPr>
        <w:rPr>
          <w:lang w:eastAsia="en-US" w:bidi="th-TH"/>
        </w:rPr>
      </w:pPr>
    </w:p>
    <w:p w14:paraId="51B73382" w14:textId="77777777" w:rsidR="00930EBB" w:rsidRPr="00267F53" w:rsidRDefault="00930EBB" w:rsidP="004B4BA3">
      <w:pPr>
        <w:keepNext/>
        <w:pBdr>
          <w:top w:val="single" w:sz="4" w:space="1" w:color="auto"/>
          <w:left w:val="single" w:sz="4" w:space="4" w:color="auto"/>
          <w:bottom w:val="single" w:sz="4" w:space="1" w:color="auto"/>
          <w:right w:val="single" w:sz="4" w:space="4" w:color="auto"/>
        </w:pBdr>
        <w:rPr>
          <w:b/>
          <w:bCs/>
          <w:lang w:eastAsia="en-US" w:bidi="th-TH"/>
        </w:rPr>
      </w:pPr>
      <w:r w:rsidRPr="00267F53">
        <w:rPr>
          <w:b/>
          <w:bCs/>
          <w:lang w:eastAsia="en-US" w:bidi="th-TH"/>
        </w:rPr>
        <w:t>Interface between domestic food regulators and regulators of imported foods</w:t>
      </w:r>
    </w:p>
    <w:p w14:paraId="7C3FD9F7" w14:textId="77777777" w:rsidR="00930EBB" w:rsidRPr="00267F53" w:rsidRDefault="00930EBB" w:rsidP="004B4BA3">
      <w:pPr>
        <w:keepNext/>
        <w:rPr>
          <w:b/>
          <w:bCs/>
          <w:lang w:eastAsia="en-US" w:bidi="th-TH"/>
        </w:rPr>
      </w:pPr>
    </w:p>
    <w:p w14:paraId="3899CD78" w14:textId="77777777" w:rsidR="00930EBB" w:rsidRPr="00267F53" w:rsidRDefault="00930EBB" w:rsidP="004B4BA3">
      <w:pPr>
        <w:keepNext/>
      </w:pPr>
      <w:r w:rsidRPr="00267F53">
        <w:t xml:space="preserve">The </w:t>
      </w:r>
      <w:hyperlink r:id="rId94" w:history="1">
        <w:r w:rsidRPr="00267F53">
          <w:rPr>
            <w:rStyle w:val="Hyperlink"/>
          </w:rPr>
          <w:t>Department of Agriculture, Water and the Environment</w:t>
        </w:r>
      </w:hyperlink>
      <w:r w:rsidRPr="00267F53">
        <w:t xml:space="preserve"> (DAWE) is responsible for regulating imported foods at the border. All imported food must meet biosecurity requirements (specified in the </w:t>
      </w:r>
      <w:r w:rsidRPr="00267F53">
        <w:rPr>
          <w:i/>
          <w:iCs/>
        </w:rPr>
        <w:t>Biosecurity Act 2015</w:t>
      </w:r>
      <w:r w:rsidRPr="00267F53">
        <w:t>)</w:t>
      </w:r>
      <w:r w:rsidRPr="00267F53">
        <w:rPr>
          <w:i/>
          <w:iCs/>
        </w:rPr>
        <w:t xml:space="preserve"> </w:t>
      </w:r>
      <w:r w:rsidRPr="00267F53">
        <w:t>to be allowed into the country. Once imported food has met these requirements, foods are monitored for compliance with the Code.</w:t>
      </w:r>
    </w:p>
    <w:p w14:paraId="7F6C4E6E" w14:textId="77777777" w:rsidR="00930EBB" w:rsidRPr="00267F53" w:rsidRDefault="00930EBB" w:rsidP="00930EBB"/>
    <w:p w14:paraId="7909C9FE" w14:textId="77777777" w:rsidR="00930EBB" w:rsidRPr="00267F53" w:rsidRDefault="00930EBB" w:rsidP="00930EBB">
      <w:r w:rsidRPr="00267F53">
        <w:t>Food entering Australia is subject to the </w:t>
      </w:r>
      <w:r w:rsidRPr="00267F53">
        <w:rPr>
          <w:i/>
          <w:iCs/>
        </w:rPr>
        <w:t>Imported Food Control Act 1992</w:t>
      </w:r>
      <w:r w:rsidRPr="00267F53">
        <w:t>, which provides for the inspection and control of imported food using a risk-based border inspection program, the </w:t>
      </w:r>
      <w:hyperlink r:id="rId95" w:history="1">
        <w:r w:rsidRPr="00267F53">
          <w:t>Imported Food Inspection Scheme (IFIS)</w:t>
        </w:r>
      </w:hyperlink>
      <w:r w:rsidRPr="00267F53">
        <w:t>. FSANZ advises the DAWE on which foods pose a medium or high risk to human health and safety and these foods may be inspected under the IFIS.</w:t>
      </w:r>
    </w:p>
    <w:p w14:paraId="0797152E" w14:textId="77777777" w:rsidR="00930EBB" w:rsidRPr="00267F53" w:rsidRDefault="00930EBB" w:rsidP="00930EBB"/>
    <w:p w14:paraId="4A143B96" w14:textId="77777777" w:rsidR="00930EBB" w:rsidRPr="00267F53" w:rsidRDefault="00930EBB" w:rsidP="00930EBB">
      <w:r w:rsidRPr="00267F53">
        <w:t xml:space="preserve">This risk-based approach to inspection means that some non-compliant products may enter the Australian market. While this is also the case for domestically produced products (as these are not inspected before entering the market), some </w:t>
      </w:r>
      <w:r w:rsidR="006F52C1" w:rsidRPr="00267F53">
        <w:t xml:space="preserve">industry </w:t>
      </w:r>
      <w:r w:rsidRPr="00267F53">
        <w:t xml:space="preserve">stakeholders suggested: </w:t>
      </w:r>
    </w:p>
    <w:p w14:paraId="053EB3FA" w14:textId="77777777" w:rsidR="00930EBB" w:rsidRPr="00267F53" w:rsidRDefault="00930EBB" w:rsidP="00930EBB"/>
    <w:p w14:paraId="518B2010" w14:textId="77777777" w:rsidR="00930EBB" w:rsidRPr="00267F53" w:rsidRDefault="00930EBB" w:rsidP="00930EBB">
      <w:pPr>
        <w:pStyle w:val="Bullet1"/>
      </w:pPr>
      <w:r w:rsidRPr="00267F53">
        <w:t>it was more difficult for regulatory agencies to monitor and enforce compliance for imported products, or that regulatory agencies took a more ‘lenient’ approach with such products, creating market disadvantage for local manufacturers</w:t>
      </w:r>
    </w:p>
    <w:p w14:paraId="6159E006" w14:textId="77777777" w:rsidR="00930EBB" w:rsidRPr="00267F53" w:rsidRDefault="00930EBB" w:rsidP="00930EBB">
      <w:pPr>
        <w:pStyle w:val="Bullet1"/>
        <w:numPr>
          <w:ilvl w:val="0"/>
          <w:numId w:val="0"/>
        </w:numPr>
        <w:ind w:left="360"/>
      </w:pPr>
    </w:p>
    <w:p w14:paraId="4FF43AB1" w14:textId="77777777" w:rsidR="00930EBB" w:rsidRPr="00267F53" w:rsidRDefault="00930EBB" w:rsidP="00930EBB">
      <w:pPr>
        <w:pStyle w:val="Bullet1"/>
      </w:pPr>
      <w:r w:rsidRPr="00267F53">
        <w:rPr>
          <w:rFonts w:cstheme="minorHAnsi"/>
        </w:rPr>
        <w:t xml:space="preserve">inconsistencies can arise when non-compliant parallel imports enter the market, go unchecked at the border and products compete on retail shelves alongside compliant local products. Stakeholders reported that small businesses are more likely to stock non-compliant imports and parallel imports than locally-based multinationals. </w:t>
      </w:r>
    </w:p>
    <w:p w14:paraId="677C8372" w14:textId="77777777" w:rsidR="00930EBB" w:rsidRPr="00267F53" w:rsidRDefault="00930EBB" w:rsidP="00930EBB">
      <w:pPr>
        <w:pStyle w:val="ListParagraph"/>
        <w:rPr>
          <w:rFonts w:cstheme="minorHAnsi"/>
        </w:rPr>
      </w:pPr>
    </w:p>
    <w:p w14:paraId="2ECBA2E1" w14:textId="77777777" w:rsidR="00930EBB" w:rsidRPr="00267F53" w:rsidRDefault="00930EBB" w:rsidP="00930EBB">
      <w:pPr>
        <w:pStyle w:val="Bullet1"/>
      </w:pPr>
      <w:r w:rsidRPr="00267F53">
        <w:rPr>
          <w:rFonts w:cstheme="minorHAnsi"/>
        </w:rPr>
        <w:t xml:space="preserve">common areas of non-compliance include colour additives, non-English labelling, allergens, nutrition information panels, country of origin labelling and the omission of the </w:t>
      </w:r>
      <w:r w:rsidR="00C573F4" w:rsidRPr="00267F53">
        <w:rPr>
          <w:rFonts w:cstheme="minorHAnsi"/>
        </w:rPr>
        <w:t>supplier’s</w:t>
      </w:r>
      <w:r w:rsidRPr="00267F53">
        <w:rPr>
          <w:rFonts w:cstheme="minorHAnsi"/>
        </w:rPr>
        <w:t xml:space="preserve"> name or address details (which are important for product recalls).</w:t>
      </w:r>
    </w:p>
    <w:p w14:paraId="55344BE2" w14:textId="77777777" w:rsidR="00930EBB" w:rsidRPr="00267F53" w:rsidRDefault="00930EBB" w:rsidP="00667C32">
      <w:pPr>
        <w:pStyle w:val="Bullets2"/>
      </w:pPr>
      <w:r w:rsidRPr="00267F53">
        <w:lastRenderedPageBreak/>
        <w:t xml:space="preserve">One stakeholder provided an example where a product with no English labelling was imported by a third party. This meant, amongst other things, the allergen ingredients were not declared (in English), presenting a risk to public health and safety. </w:t>
      </w:r>
    </w:p>
    <w:p w14:paraId="524FF524" w14:textId="77777777" w:rsidR="00930EBB" w:rsidRPr="00267F53" w:rsidRDefault="00930EBB" w:rsidP="00930EBB">
      <w:pPr>
        <w:autoSpaceDE w:val="0"/>
        <w:autoSpaceDN w:val="0"/>
        <w:adjustRightInd w:val="0"/>
        <w:rPr>
          <w:rFonts w:cstheme="minorHAnsi"/>
          <w:lang w:eastAsia="en-US"/>
        </w:rPr>
      </w:pPr>
    </w:p>
    <w:p w14:paraId="607C5053" w14:textId="77777777" w:rsidR="00930EBB" w:rsidRPr="00267F53" w:rsidRDefault="00930EBB" w:rsidP="00930EBB">
      <w:pPr>
        <w:pStyle w:val="Bullet1"/>
      </w:pPr>
      <w:r w:rsidRPr="00267F53">
        <w:t>local brand owners can be disadvantaged by this as it can result in reputational damage (and they may be required to take part in public relations and issue management) to limit this damage. It also disadvantages local producers who go to the expense of producing compliant products</w:t>
      </w:r>
    </w:p>
    <w:p w14:paraId="1C226FB9" w14:textId="77777777" w:rsidR="00930EBB" w:rsidRPr="00267F53" w:rsidRDefault="00930EBB" w:rsidP="00930EBB">
      <w:pPr>
        <w:pStyle w:val="Bullet1"/>
        <w:numPr>
          <w:ilvl w:val="0"/>
          <w:numId w:val="0"/>
        </w:numPr>
        <w:ind w:left="360"/>
      </w:pPr>
    </w:p>
    <w:p w14:paraId="7024D170" w14:textId="77777777" w:rsidR="00930EBB" w:rsidRPr="00267F53" w:rsidRDefault="00930EBB" w:rsidP="00930EBB">
      <w:pPr>
        <w:pStyle w:val="Bullet1"/>
      </w:pPr>
      <w:r w:rsidRPr="00267F53">
        <w:t>it can be difficult for local brand owners to challenge non</w:t>
      </w:r>
      <w:r w:rsidRPr="00267F53">
        <w:noBreakHyphen/>
        <w:t xml:space="preserve">compliant imports, particularly where they are imported by retailers (for fear of negatively impacting their own commercial relationships with those importing retailers who they rely on to sell their products). </w:t>
      </w:r>
    </w:p>
    <w:p w14:paraId="4F83AF98" w14:textId="77777777" w:rsidR="00930EBB" w:rsidRPr="00267F53" w:rsidRDefault="00930EBB" w:rsidP="00930EBB">
      <w:pPr>
        <w:pStyle w:val="Boldbullet1"/>
        <w:numPr>
          <w:ilvl w:val="0"/>
          <w:numId w:val="0"/>
        </w:numPr>
      </w:pPr>
    </w:p>
    <w:p w14:paraId="09F44871" w14:textId="77777777" w:rsidR="00930EBB" w:rsidRPr="00267F53" w:rsidRDefault="00930EBB" w:rsidP="00930EBB">
      <w:pPr>
        <w:pStyle w:val="Boldbullet1"/>
        <w:numPr>
          <w:ilvl w:val="0"/>
          <w:numId w:val="0"/>
        </w:numPr>
        <w:pBdr>
          <w:top w:val="single" w:sz="4" w:space="1" w:color="auto"/>
          <w:left w:val="single" w:sz="4" w:space="4" w:color="auto"/>
          <w:bottom w:val="single" w:sz="4" w:space="1" w:color="auto"/>
          <w:right w:val="single" w:sz="4" w:space="4" w:color="auto"/>
        </w:pBdr>
        <w:ind w:left="360" w:hanging="360"/>
        <w:rPr>
          <w:rFonts w:asciiTheme="minorHAnsi" w:eastAsia="Times New Roman" w:hAnsiTheme="minorHAnsi" w:cstheme="minorHAnsi"/>
          <w:bCs/>
          <w:iCs w:val="0"/>
          <w:lang w:eastAsia="en-GB"/>
        </w:rPr>
      </w:pPr>
      <w:r w:rsidRPr="00267F53">
        <w:rPr>
          <w:rFonts w:asciiTheme="minorHAnsi" w:eastAsia="Times New Roman" w:hAnsiTheme="minorHAnsi" w:cstheme="minorHAnsi"/>
          <w:bCs/>
          <w:iCs w:val="0"/>
          <w:lang w:eastAsia="en-GB"/>
        </w:rPr>
        <w:t xml:space="preserve">Interface between food safety and biosecurity </w:t>
      </w:r>
    </w:p>
    <w:p w14:paraId="7B8BD1F1" w14:textId="77777777" w:rsidR="00930EBB" w:rsidRPr="00267F53" w:rsidRDefault="00930EBB" w:rsidP="00930EBB">
      <w:pPr>
        <w:pStyle w:val="Boldbullet1"/>
        <w:numPr>
          <w:ilvl w:val="0"/>
          <w:numId w:val="0"/>
        </w:numPr>
        <w:ind w:left="360"/>
      </w:pPr>
    </w:p>
    <w:p w14:paraId="3E0201E9" w14:textId="77777777" w:rsidR="00930EBB" w:rsidRPr="00267F53" w:rsidRDefault="00930EBB" w:rsidP="00930EBB">
      <w:pPr>
        <w:autoSpaceDE w:val="0"/>
        <w:autoSpaceDN w:val="0"/>
        <w:adjustRightInd w:val="0"/>
        <w:rPr>
          <w:rFonts w:cstheme="minorHAnsi"/>
        </w:rPr>
      </w:pPr>
      <w:r w:rsidRPr="00267F53">
        <w:rPr>
          <w:rFonts w:cstheme="minorHAnsi"/>
        </w:rPr>
        <w:t>The </w:t>
      </w:r>
      <w:hyperlink r:id="rId96" w:history="1">
        <w:r w:rsidRPr="00267F53">
          <w:rPr>
            <w:rStyle w:val="Hyperlink"/>
            <w:rFonts w:cstheme="minorHAnsi"/>
            <w:i/>
            <w:iCs/>
          </w:rPr>
          <w:t>Biosecurity Act 2015</w:t>
        </w:r>
      </w:hyperlink>
      <w:r w:rsidRPr="00267F53">
        <w:rPr>
          <w:rFonts w:cstheme="minorHAnsi"/>
        </w:rPr>
        <w:t xml:space="preserve"> requires that all imports of food comply with the biosecurity conditions for their import.</w:t>
      </w:r>
    </w:p>
    <w:p w14:paraId="6E102F1E" w14:textId="77777777" w:rsidR="00930EBB" w:rsidRPr="00267F53" w:rsidRDefault="00930EBB" w:rsidP="00930EBB">
      <w:pPr>
        <w:autoSpaceDE w:val="0"/>
        <w:autoSpaceDN w:val="0"/>
        <w:adjustRightInd w:val="0"/>
        <w:rPr>
          <w:rFonts w:cstheme="minorHAnsi"/>
        </w:rPr>
      </w:pPr>
    </w:p>
    <w:p w14:paraId="7DEC8C2E" w14:textId="77777777" w:rsidR="00930EBB" w:rsidRPr="00267F53" w:rsidRDefault="00930EBB" w:rsidP="00930EBB">
      <w:pPr>
        <w:autoSpaceDE w:val="0"/>
        <w:autoSpaceDN w:val="0"/>
        <w:adjustRightInd w:val="0"/>
      </w:pPr>
      <w:r w:rsidRPr="00267F53">
        <w:rPr>
          <w:rFonts w:cstheme="minorHAnsi"/>
        </w:rPr>
        <w:t>Stakeholders variously reported</w:t>
      </w:r>
      <w:r w:rsidRPr="00267F53">
        <w:t xml:space="preserve"> that:</w:t>
      </w:r>
    </w:p>
    <w:p w14:paraId="76CAAB55" w14:textId="77777777" w:rsidR="00930EBB" w:rsidRPr="00267F53" w:rsidRDefault="00930EBB" w:rsidP="00930EBB">
      <w:pPr>
        <w:autoSpaceDE w:val="0"/>
        <w:autoSpaceDN w:val="0"/>
        <w:adjustRightInd w:val="0"/>
      </w:pPr>
    </w:p>
    <w:p w14:paraId="581BC800" w14:textId="77777777" w:rsidR="00930EBB" w:rsidRPr="00267F53" w:rsidRDefault="00930EBB" w:rsidP="00930EBB">
      <w:pPr>
        <w:pStyle w:val="Bullet1"/>
      </w:pPr>
      <w:r w:rsidRPr="00267F53">
        <w:t>there are some areas of duplication between food safety and biosecurity legislation (as measures aimed at managing food safety and biosecurity risks are often connected)</w:t>
      </w:r>
    </w:p>
    <w:p w14:paraId="3CD48609" w14:textId="77777777" w:rsidR="00930EBB" w:rsidRPr="00267F53" w:rsidRDefault="00930EBB" w:rsidP="00930EBB">
      <w:pPr>
        <w:pStyle w:val="Bullet1"/>
      </w:pPr>
      <w:r w:rsidRPr="00267F53">
        <w:t xml:space="preserve">a focus on ‘obvious’ food safety risks, rather than the whole of food industry supply chain, risks creating gaps in the food safety system. </w:t>
      </w:r>
    </w:p>
    <w:p w14:paraId="4026DF89" w14:textId="77777777" w:rsidR="00930EBB" w:rsidRPr="00267F53" w:rsidRDefault="00930EBB" w:rsidP="00667C32">
      <w:pPr>
        <w:pStyle w:val="Bullets2"/>
      </w:pPr>
      <w:r w:rsidRPr="00267F53">
        <w:t>For example, while a food safety approach would require visitors to farms and processing plants to wash their hands, biosecurity requirements require this in addition to records of visitors being captured for traceability purposes.</w:t>
      </w:r>
    </w:p>
    <w:p w14:paraId="2E5A6390" w14:textId="77777777" w:rsidR="00930EBB" w:rsidRPr="00267F53" w:rsidRDefault="00930EBB" w:rsidP="00930EBB">
      <w:pPr>
        <w:pStyle w:val="Bullet1"/>
      </w:pPr>
      <w:r w:rsidRPr="00267F53">
        <w:t xml:space="preserve">there can be a lack of coordination between regulatory agencies responsible for food safety and biosecurity leading to inefficiency and inconsistency. </w:t>
      </w:r>
      <w:r w:rsidRPr="00267F53">
        <w:rPr>
          <w:rFonts w:cstheme="minorHAnsi"/>
        </w:rPr>
        <w:t xml:space="preserve">One stakeholder raised the chicken industry as an example, noting that food safety pathogens and bird health risks are closely related but regulation or management of these issues can be quite siloed. </w:t>
      </w:r>
    </w:p>
    <w:p w14:paraId="5CAA4827" w14:textId="77777777" w:rsidR="00930EBB" w:rsidRPr="00267F53" w:rsidRDefault="00930EBB" w:rsidP="00930EBB"/>
    <w:p w14:paraId="0B9EECE4" w14:textId="77777777" w:rsidR="00930EBB" w:rsidRPr="00267F53" w:rsidRDefault="00930EBB" w:rsidP="00930EBB">
      <w:pPr>
        <w:pStyle w:val="Bullet1"/>
        <w:numPr>
          <w:ilvl w:val="0"/>
          <w:numId w:val="0"/>
        </w:numPr>
        <w:rPr>
          <w:rFonts w:cstheme="minorHAnsi"/>
        </w:rPr>
      </w:pPr>
      <w:bookmarkStart w:id="41" w:name="_Key_areas_of"/>
      <w:bookmarkEnd w:id="41"/>
      <w:r w:rsidRPr="00267F53">
        <w:t>Stakeholders suggested that a more cohesive approach to biosecurity and food safety would be more efficient for governments and industry and likely result in improved outcomes</w:t>
      </w:r>
      <w:r w:rsidR="00740067" w:rsidRPr="00267F53">
        <w:t xml:space="preserve"> for human, animal and environmental health</w:t>
      </w:r>
      <w:r w:rsidRPr="00267F53">
        <w:t xml:space="preserve">. It was noted that South Australia adopts a relatively cohesive approach to biosecurity and food safety requirements and </w:t>
      </w:r>
      <w:r w:rsidR="007B6146" w:rsidRPr="00267F53">
        <w:t xml:space="preserve">in </w:t>
      </w:r>
      <w:r w:rsidRPr="00267F53">
        <w:t xml:space="preserve">New South Wales </w:t>
      </w:r>
      <w:r w:rsidR="007B6146" w:rsidRPr="00267F53">
        <w:t>biosecurity and food safety responsibilities reside within a single business unit.</w:t>
      </w:r>
    </w:p>
    <w:p w14:paraId="6AF2AFCE" w14:textId="77777777" w:rsidR="00DC6F1A" w:rsidRPr="00267F53" w:rsidRDefault="00DC6F1A"/>
    <w:p w14:paraId="7B4F6EE3" w14:textId="77777777" w:rsidR="00DC6F1A" w:rsidRPr="00267F53" w:rsidRDefault="00DC6F1A">
      <w:pPr>
        <w:sectPr w:rsidR="00DC6F1A" w:rsidRPr="00267F53" w:rsidSect="00030727">
          <w:headerReference w:type="default" r:id="rId97"/>
          <w:footerReference w:type="default" r:id="rId98"/>
          <w:pgSz w:w="11900" w:h="16840"/>
          <w:pgMar w:top="1304" w:right="1077" w:bottom="1630" w:left="1077" w:header="709" w:footer="0" w:gutter="0"/>
          <w:cols w:space="708"/>
          <w:docGrid w:linePitch="360"/>
        </w:sectPr>
      </w:pPr>
    </w:p>
    <w:p w14:paraId="315E00D0" w14:textId="77777777" w:rsidR="00DC6F1A" w:rsidRPr="00267F53" w:rsidRDefault="00DC6F1A" w:rsidP="00171075">
      <w:pPr>
        <w:pStyle w:val="Heading2"/>
        <w:shd w:val="clear" w:color="auto" w:fill="368A72"/>
      </w:pPr>
      <w:bookmarkStart w:id="42" w:name="_Toc65059145"/>
      <w:r w:rsidRPr="00267F53">
        <w:lastRenderedPageBreak/>
        <w:t>Key areas of inconsistency and where these arise</w:t>
      </w:r>
      <w:bookmarkEnd w:id="42"/>
    </w:p>
    <w:p w14:paraId="7E51F942" w14:textId="77777777" w:rsidR="00DC6F1A" w:rsidRPr="00267F53" w:rsidRDefault="00DC6F1A"/>
    <w:p w14:paraId="29D4670B" w14:textId="77777777" w:rsidR="00DC6F1A" w:rsidRPr="00267F53" w:rsidRDefault="00C22A1A" w:rsidP="00C22A1A">
      <w:pPr>
        <w:ind w:hanging="567"/>
        <w:sectPr w:rsidR="00DC6F1A" w:rsidRPr="00267F53" w:rsidSect="00DC6F1A">
          <w:headerReference w:type="default" r:id="rId99"/>
          <w:pgSz w:w="16840" w:h="11900" w:orient="landscape"/>
          <w:pgMar w:top="1077" w:right="1630" w:bottom="1077" w:left="1304" w:header="709" w:footer="0" w:gutter="0"/>
          <w:cols w:space="708"/>
          <w:docGrid w:linePitch="360"/>
        </w:sectPr>
      </w:pPr>
      <w:r w:rsidRPr="00267F53">
        <w:rPr>
          <w:noProof/>
          <w:lang w:eastAsia="en-AU"/>
        </w:rPr>
        <w:drawing>
          <wp:inline distT="0" distB="0" distL="0" distR="0" wp14:anchorId="10274CAD" wp14:editId="4EB53F78">
            <wp:extent cx="9714049" cy="5174650"/>
            <wp:effectExtent l="0" t="0" r="1905" b="0"/>
            <wp:docPr id="4" name="Picture 4" descr="This is a diagram of the four key areas of inconsistency in food regulation, and issues for each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 diagram of the four key areas of inconsistency in food regulation, and issues for each area."/>
                    <pic:cNvPicPr/>
                  </pic:nvPicPr>
                  <pic:blipFill rotWithShape="1">
                    <a:blip r:embed="rId100"/>
                    <a:srcRect t="1152"/>
                    <a:stretch/>
                  </pic:blipFill>
                  <pic:spPr bwMode="auto">
                    <a:xfrm>
                      <a:off x="0" y="0"/>
                      <a:ext cx="9720462" cy="5178066"/>
                    </a:xfrm>
                    <a:prstGeom prst="rect">
                      <a:avLst/>
                    </a:prstGeom>
                    <a:ln>
                      <a:noFill/>
                    </a:ln>
                    <a:extLst>
                      <a:ext uri="{53640926-AAD7-44D8-BBD7-CCE9431645EC}">
                        <a14:shadowObscured xmlns:a14="http://schemas.microsoft.com/office/drawing/2010/main"/>
                      </a:ext>
                    </a:extLst>
                  </pic:spPr>
                </pic:pic>
              </a:graphicData>
            </a:graphic>
          </wp:inline>
        </w:drawing>
      </w:r>
    </w:p>
    <w:p w14:paraId="5481D375" w14:textId="77777777" w:rsidR="001F1CA2" w:rsidRPr="00267F53" w:rsidRDefault="001F1CA2" w:rsidP="00E43631">
      <w:pPr>
        <w:pStyle w:val="Heading1"/>
      </w:pPr>
      <w:bookmarkStart w:id="43" w:name="_Toc65059146"/>
      <w:r w:rsidRPr="00267F53">
        <w:lastRenderedPageBreak/>
        <w:t>Chapter 3</w:t>
      </w:r>
      <w:r w:rsidR="003E4E49" w:rsidRPr="00267F53">
        <w:t>:</w:t>
      </w:r>
      <w:r w:rsidRPr="00267F53">
        <w:t xml:space="preserve"> </w:t>
      </w:r>
      <w:r w:rsidR="009C3191" w:rsidRPr="00267F53">
        <w:t xml:space="preserve">Analysis and identification </w:t>
      </w:r>
      <w:r w:rsidR="00B32B82" w:rsidRPr="00267F53">
        <w:t xml:space="preserve">of </w:t>
      </w:r>
      <w:r w:rsidRPr="00267F53">
        <w:t xml:space="preserve">areas for </w:t>
      </w:r>
      <w:r w:rsidR="00B32B82" w:rsidRPr="00267F53">
        <w:t xml:space="preserve">future </w:t>
      </w:r>
      <w:r w:rsidR="008F17DB" w:rsidRPr="00267F53">
        <w:t>focus</w:t>
      </w:r>
      <w:bookmarkEnd w:id="43"/>
    </w:p>
    <w:p w14:paraId="139A0DC4" w14:textId="77777777" w:rsidR="001F1CA2" w:rsidRPr="00267F53" w:rsidRDefault="001F1CA2" w:rsidP="001F1CA2">
      <w:pPr>
        <w:pStyle w:val="mpcbullets1"/>
        <w:numPr>
          <w:ilvl w:val="0"/>
          <w:numId w:val="0"/>
        </w:numPr>
      </w:pPr>
    </w:p>
    <w:p w14:paraId="180EDF03" w14:textId="77777777" w:rsidR="00365027" w:rsidRPr="00267F53" w:rsidRDefault="006457D9" w:rsidP="00171075">
      <w:pPr>
        <w:pStyle w:val="Heading2"/>
        <w:shd w:val="clear" w:color="auto" w:fill="368A72"/>
      </w:pPr>
      <w:bookmarkStart w:id="44" w:name="_Toc65059147"/>
      <w:r w:rsidRPr="00267F53">
        <w:t>Analysis of stakeholder feedback</w:t>
      </w:r>
      <w:bookmarkEnd w:id="44"/>
    </w:p>
    <w:p w14:paraId="0D8E4285" w14:textId="77777777" w:rsidR="006457D9" w:rsidRPr="00267F53" w:rsidRDefault="006457D9" w:rsidP="001F1CA2">
      <w:pPr>
        <w:pStyle w:val="mpcbullets1"/>
        <w:numPr>
          <w:ilvl w:val="0"/>
          <w:numId w:val="0"/>
        </w:numPr>
      </w:pPr>
    </w:p>
    <w:p w14:paraId="259AA649" w14:textId="77777777" w:rsidR="0082155D" w:rsidRPr="00267F53" w:rsidRDefault="0082155D" w:rsidP="00937700">
      <w:pPr>
        <w:pStyle w:val="Boldbullet1"/>
        <w:numPr>
          <w:ilvl w:val="0"/>
          <w:numId w:val="0"/>
        </w:numPr>
        <w:pBdr>
          <w:top w:val="single" w:sz="4" w:space="1" w:color="auto"/>
          <w:left w:val="single" w:sz="4" w:space="4" w:color="auto"/>
          <w:bottom w:val="single" w:sz="4" w:space="1" w:color="auto"/>
          <w:right w:val="single" w:sz="4" w:space="4" w:color="auto"/>
        </w:pBdr>
        <w:ind w:left="360" w:hanging="360"/>
        <w:rPr>
          <w:rFonts w:asciiTheme="minorHAnsi" w:eastAsia="Times New Roman" w:hAnsiTheme="minorHAnsi" w:cstheme="minorHAnsi"/>
          <w:bCs/>
          <w:iCs w:val="0"/>
          <w:lang w:eastAsia="en-GB"/>
        </w:rPr>
      </w:pPr>
      <w:r w:rsidRPr="00267F53">
        <w:rPr>
          <w:rFonts w:asciiTheme="minorHAnsi" w:eastAsia="Times New Roman" w:hAnsiTheme="minorHAnsi" w:cstheme="minorHAnsi"/>
          <w:bCs/>
          <w:iCs w:val="0"/>
          <w:lang w:eastAsia="en-GB"/>
        </w:rPr>
        <w:t>Focus of stakeholder feedback</w:t>
      </w:r>
    </w:p>
    <w:p w14:paraId="38E9FA50" w14:textId="77777777" w:rsidR="0082155D" w:rsidRPr="00267F53" w:rsidRDefault="0082155D" w:rsidP="001F1CA2">
      <w:pPr>
        <w:pStyle w:val="mpcbullets1"/>
        <w:numPr>
          <w:ilvl w:val="0"/>
          <w:numId w:val="0"/>
        </w:numPr>
      </w:pPr>
    </w:p>
    <w:p w14:paraId="0334A6F5" w14:textId="77777777" w:rsidR="0082155D" w:rsidRPr="00267F53" w:rsidRDefault="0037770B" w:rsidP="001F1CA2">
      <w:pPr>
        <w:pStyle w:val="mpcbullets1"/>
        <w:numPr>
          <w:ilvl w:val="0"/>
          <w:numId w:val="0"/>
        </w:numPr>
      </w:pPr>
      <w:r w:rsidRPr="00267F53">
        <w:t xml:space="preserve">Stakeholder responses to the online survey were more limited than anticipated – this is largely attributed to </w:t>
      </w:r>
      <w:r w:rsidR="0082155D" w:rsidRPr="00267F53">
        <w:t>the timing of the consultation process</w:t>
      </w:r>
      <w:r w:rsidRPr="00267F53">
        <w:t xml:space="preserve"> and related </w:t>
      </w:r>
      <w:r w:rsidR="00001DA6" w:rsidRPr="00267F53">
        <w:t xml:space="preserve">consultation </w:t>
      </w:r>
      <w:r w:rsidRPr="00267F53">
        <w:t xml:space="preserve">processes occurring simultaneously. </w:t>
      </w:r>
    </w:p>
    <w:p w14:paraId="15F5BAF5" w14:textId="77777777" w:rsidR="0037770B" w:rsidRPr="00267F53" w:rsidRDefault="0037770B" w:rsidP="001F1CA2">
      <w:pPr>
        <w:pStyle w:val="mpcbullets1"/>
        <w:numPr>
          <w:ilvl w:val="0"/>
          <w:numId w:val="0"/>
        </w:numPr>
      </w:pPr>
    </w:p>
    <w:p w14:paraId="0F11F418" w14:textId="77777777" w:rsidR="0037770B" w:rsidRPr="00267F53" w:rsidRDefault="0037770B" w:rsidP="001F1CA2">
      <w:pPr>
        <w:pStyle w:val="mpcbullets1"/>
        <w:numPr>
          <w:ilvl w:val="0"/>
          <w:numId w:val="0"/>
        </w:numPr>
      </w:pPr>
      <w:r w:rsidRPr="00267F53">
        <w:t xml:space="preserve">Stakeholders did not quantify the impact of inconsistencies and did not always describe the impact of inconsistencies well – for example, referring to </w:t>
      </w:r>
      <w:r w:rsidR="0074625D" w:rsidRPr="00267F53">
        <w:t>inconsistencies</w:t>
      </w:r>
      <w:r w:rsidRPr="00267F53">
        <w:t xml:space="preserve"> causing ‘confusion’ and ‘frustration’ rather than attributing a cost figure or a tangible consequence. Industry stakeholders raised many very specific issues which, while these may be impactful to their business, were not necessarily widespread or </w:t>
      </w:r>
      <w:r w:rsidR="0074625D" w:rsidRPr="00267F53">
        <w:t>representative of issues experienced by stakeholders</w:t>
      </w:r>
      <w:r w:rsidRPr="00267F53">
        <w:t xml:space="preserve"> </w:t>
      </w:r>
      <w:r w:rsidR="0074625D" w:rsidRPr="00267F53">
        <w:t xml:space="preserve">more broadly </w:t>
      </w:r>
      <w:r w:rsidRPr="00267F53">
        <w:t>across the system</w:t>
      </w:r>
      <w:r w:rsidR="0074625D" w:rsidRPr="00267F53">
        <w:t>.</w:t>
      </w:r>
    </w:p>
    <w:p w14:paraId="3ECDF1D8" w14:textId="77777777" w:rsidR="0082155D" w:rsidRPr="00267F53" w:rsidRDefault="0082155D" w:rsidP="001F1CA2">
      <w:pPr>
        <w:pStyle w:val="mpcbullets1"/>
        <w:numPr>
          <w:ilvl w:val="0"/>
          <w:numId w:val="0"/>
        </w:numPr>
      </w:pPr>
    </w:p>
    <w:p w14:paraId="7DC3BCFD" w14:textId="77777777" w:rsidR="006457D9" w:rsidRPr="00267F53" w:rsidRDefault="000C6F23" w:rsidP="00685014">
      <w:pPr>
        <w:pStyle w:val="Boldbullet1"/>
        <w:numPr>
          <w:ilvl w:val="0"/>
          <w:numId w:val="0"/>
        </w:numPr>
        <w:pBdr>
          <w:top w:val="single" w:sz="4" w:space="1" w:color="auto"/>
          <w:left w:val="single" w:sz="4" w:space="4" w:color="auto"/>
          <w:bottom w:val="single" w:sz="4" w:space="1" w:color="auto"/>
          <w:right w:val="single" w:sz="4" w:space="4" w:color="auto"/>
        </w:pBdr>
        <w:ind w:left="360" w:hanging="360"/>
        <w:rPr>
          <w:rFonts w:asciiTheme="minorHAnsi" w:eastAsia="Times New Roman" w:hAnsiTheme="minorHAnsi" w:cstheme="minorHAnsi"/>
          <w:bCs/>
          <w:iCs w:val="0"/>
          <w:lang w:eastAsia="en-GB"/>
        </w:rPr>
      </w:pPr>
      <w:r w:rsidRPr="00267F53">
        <w:rPr>
          <w:rFonts w:asciiTheme="minorHAnsi" w:eastAsia="Times New Roman" w:hAnsiTheme="minorHAnsi" w:cstheme="minorHAnsi"/>
          <w:bCs/>
          <w:iCs w:val="0"/>
          <w:lang w:eastAsia="en-GB"/>
        </w:rPr>
        <w:t>Issues outside the food regulatory system</w:t>
      </w:r>
    </w:p>
    <w:p w14:paraId="593627BA" w14:textId="77777777" w:rsidR="000C6F23" w:rsidRPr="00267F53" w:rsidRDefault="000C6F23" w:rsidP="001F1CA2">
      <w:pPr>
        <w:pStyle w:val="mpcbullets1"/>
        <w:numPr>
          <w:ilvl w:val="0"/>
          <w:numId w:val="0"/>
        </w:numPr>
      </w:pPr>
    </w:p>
    <w:p w14:paraId="0D9EE11E" w14:textId="77777777" w:rsidR="000C6F23" w:rsidRPr="00267F53" w:rsidRDefault="000C6F23" w:rsidP="00667C32">
      <w:pPr>
        <w:pStyle w:val="Bullets2"/>
        <w:numPr>
          <w:ilvl w:val="0"/>
          <w:numId w:val="0"/>
        </w:numPr>
        <w:rPr>
          <w:lang w:bidi="th-TH"/>
        </w:rPr>
      </w:pPr>
      <w:r w:rsidRPr="00267F53">
        <w:rPr>
          <w:lang w:bidi="th-TH"/>
        </w:rPr>
        <w:t>A number of stakeholders raised issues that are not directly within the scope of the food regulatory system (</w:t>
      </w:r>
      <w:r w:rsidR="00C573F4" w:rsidRPr="00267F53">
        <w:rPr>
          <w:lang w:bidi="th-TH"/>
        </w:rPr>
        <w:t>i.e.,</w:t>
      </w:r>
      <w:r w:rsidRPr="00267F53">
        <w:rPr>
          <w:lang w:bidi="th-TH"/>
        </w:rPr>
        <w:t xml:space="preserve"> matters that are regulated outside of the Code and are monitored and enforced by other regulatory bodies). While it is acknowledged that these are beyond the direct control of the food regulatory system, stakeholders do not identify these issues as separate.</w:t>
      </w:r>
    </w:p>
    <w:p w14:paraId="232EE782" w14:textId="77777777" w:rsidR="0074091B" w:rsidRPr="00267F53" w:rsidRDefault="0074091B" w:rsidP="00667C32">
      <w:pPr>
        <w:pStyle w:val="Bullets2"/>
        <w:numPr>
          <w:ilvl w:val="0"/>
          <w:numId w:val="0"/>
        </w:numPr>
        <w:rPr>
          <w:lang w:bidi="th-TH"/>
        </w:rPr>
      </w:pPr>
    </w:p>
    <w:p w14:paraId="59743520" w14:textId="77777777" w:rsidR="0074091B" w:rsidRPr="00267F53" w:rsidRDefault="00B12DAC" w:rsidP="00667C32">
      <w:pPr>
        <w:pStyle w:val="Bullets2"/>
        <w:numPr>
          <w:ilvl w:val="0"/>
          <w:numId w:val="0"/>
        </w:numPr>
        <w:rPr>
          <w:lang w:bidi="th-TH"/>
        </w:rPr>
      </w:pPr>
      <w:r w:rsidRPr="00267F53">
        <w:rPr>
          <w:lang w:bidi="th-TH"/>
        </w:rPr>
        <w:t>Acknowledging the broader reform work currently occurring, t</w:t>
      </w:r>
      <w:r w:rsidR="0074091B" w:rsidRPr="00267F53">
        <w:rPr>
          <w:lang w:bidi="th-TH"/>
        </w:rPr>
        <w:t>his raises the issue of the scope of the food regulatory system, how far it extends and how interface issues are managed</w:t>
      </w:r>
      <w:r w:rsidRPr="00267F53">
        <w:rPr>
          <w:lang w:bidi="th-TH"/>
        </w:rPr>
        <w:t xml:space="preserve"> and communicated publicly</w:t>
      </w:r>
      <w:r w:rsidR="0074091B" w:rsidRPr="00267F53">
        <w:rPr>
          <w:lang w:bidi="th-TH"/>
        </w:rPr>
        <w:t xml:space="preserve">. </w:t>
      </w:r>
      <w:r w:rsidRPr="00267F53">
        <w:rPr>
          <w:lang w:bidi="th-TH"/>
        </w:rPr>
        <w:t>While some have suggested the scope of the food regulatory system could be expanded to cover all matters influencing the regulation of food, others have suggested stronger, more decisive governance and management of interface issues could address this.</w:t>
      </w:r>
    </w:p>
    <w:p w14:paraId="5A26F0BA" w14:textId="77777777" w:rsidR="009C1BC1" w:rsidRPr="00267F53" w:rsidRDefault="009C1BC1" w:rsidP="00667C32">
      <w:pPr>
        <w:pStyle w:val="Bullets2"/>
        <w:numPr>
          <w:ilvl w:val="0"/>
          <w:numId w:val="0"/>
        </w:numPr>
        <w:rPr>
          <w:lang w:bidi="th-TH"/>
        </w:rPr>
      </w:pPr>
    </w:p>
    <w:p w14:paraId="22EE0330" w14:textId="77777777" w:rsidR="009C1BC1" w:rsidRPr="00267F53" w:rsidRDefault="009C1BC1" w:rsidP="00171075">
      <w:pPr>
        <w:pStyle w:val="Heading2"/>
        <w:shd w:val="clear" w:color="auto" w:fill="368A72"/>
      </w:pPr>
      <w:bookmarkStart w:id="45" w:name="_Toc65059148"/>
      <w:r w:rsidRPr="00267F53">
        <w:t xml:space="preserve">Key areas for </w:t>
      </w:r>
      <w:r w:rsidR="000332EA" w:rsidRPr="00267F53">
        <w:t>possible</w:t>
      </w:r>
      <w:r w:rsidR="00BD2B12" w:rsidRPr="00267F53">
        <w:t xml:space="preserve"> </w:t>
      </w:r>
      <w:r w:rsidRPr="00267F53">
        <w:t xml:space="preserve">future </w:t>
      </w:r>
      <w:r w:rsidR="00B32B82" w:rsidRPr="00267F53">
        <w:t>focus</w:t>
      </w:r>
      <w:bookmarkEnd w:id="45"/>
    </w:p>
    <w:p w14:paraId="1FFD0655" w14:textId="77777777" w:rsidR="009C1BC1" w:rsidRPr="00267F53" w:rsidRDefault="009C1BC1" w:rsidP="00667C32">
      <w:pPr>
        <w:pStyle w:val="Bullets2"/>
        <w:numPr>
          <w:ilvl w:val="0"/>
          <w:numId w:val="0"/>
        </w:numPr>
        <w:rPr>
          <w:lang w:bidi="th-TH"/>
        </w:rPr>
      </w:pPr>
    </w:p>
    <w:p w14:paraId="48E89FB4" w14:textId="77777777" w:rsidR="00B12DAC" w:rsidRPr="00267F53" w:rsidRDefault="00BD2B12" w:rsidP="00685014">
      <w:pPr>
        <w:pStyle w:val="Boldbullet1"/>
        <w:numPr>
          <w:ilvl w:val="0"/>
          <w:numId w:val="0"/>
        </w:numPr>
        <w:pBdr>
          <w:top w:val="single" w:sz="4" w:space="1" w:color="auto"/>
          <w:left w:val="single" w:sz="4" w:space="4" w:color="auto"/>
          <w:bottom w:val="single" w:sz="4" w:space="1" w:color="auto"/>
          <w:right w:val="single" w:sz="4" w:space="4" w:color="auto"/>
        </w:pBdr>
        <w:ind w:left="360" w:hanging="360"/>
        <w:rPr>
          <w:rFonts w:asciiTheme="minorHAnsi" w:eastAsia="Times New Roman" w:hAnsiTheme="minorHAnsi" w:cstheme="minorHAnsi"/>
          <w:bCs/>
          <w:iCs w:val="0"/>
          <w:lang w:eastAsia="en-GB"/>
        </w:rPr>
      </w:pPr>
      <w:r w:rsidRPr="00267F53">
        <w:rPr>
          <w:rFonts w:asciiTheme="minorHAnsi" w:eastAsia="Times New Roman" w:hAnsiTheme="minorHAnsi" w:cstheme="minorHAnsi"/>
          <w:bCs/>
          <w:iCs w:val="0"/>
          <w:lang w:eastAsia="en-GB"/>
        </w:rPr>
        <w:t>Identification of areas</w:t>
      </w:r>
      <w:r w:rsidR="00B32B82" w:rsidRPr="00267F53">
        <w:rPr>
          <w:rFonts w:asciiTheme="minorHAnsi" w:eastAsia="Times New Roman" w:hAnsiTheme="minorHAnsi" w:cstheme="minorHAnsi"/>
          <w:bCs/>
          <w:iCs w:val="0"/>
          <w:lang w:eastAsia="en-GB"/>
        </w:rPr>
        <w:t xml:space="preserve"> for future focus </w:t>
      </w:r>
    </w:p>
    <w:p w14:paraId="1F439868" w14:textId="77777777" w:rsidR="0074091B" w:rsidRPr="00267F53" w:rsidRDefault="0074091B" w:rsidP="00667C32">
      <w:pPr>
        <w:pStyle w:val="Bullets2"/>
        <w:numPr>
          <w:ilvl w:val="0"/>
          <w:numId w:val="0"/>
        </w:numPr>
        <w:rPr>
          <w:lang w:bidi="th-TH"/>
        </w:rPr>
      </w:pPr>
    </w:p>
    <w:p w14:paraId="7F3A835A" w14:textId="77777777" w:rsidR="00B32B82" w:rsidRPr="00267F53" w:rsidRDefault="00B32B82" w:rsidP="00667C32">
      <w:pPr>
        <w:pStyle w:val="Bullets2"/>
        <w:numPr>
          <w:ilvl w:val="0"/>
          <w:numId w:val="0"/>
        </w:numPr>
        <w:rPr>
          <w:lang w:bidi="th-TH"/>
        </w:rPr>
      </w:pPr>
      <w:proofErr w:type="spellStart"/>
      <w:r w:rsidRPr="00267F53">
        <w:rPr>
          <w:lang w:bidi="th-TH"/>
        </w:rPr>
        <w:t>mpconsulting</w:t>
      </w:r>
      <w:proofErr w:type="spellEnd"/>
      <w:r w:rsidRPr="00267F53">
        <w:rPr>
          <w:lang w:bidi="th-TH"/>
        </w:rPr>
        <w:t xml:space="preserve"> has been requested to provide advice regarding the possible priority areas for reform, </w:t>
      </w:r>
      <w:r w:rsidR="00F854D8" w:rsidRPr="00267F53">
        <w:rPr>
          <w:lang w:bidi="th-TH"/>
        </w:rPr>
        <w:t xml:space="preserve">based on the outcomes of this project and </w:t>
      </w:r>
      <w:proofErr w:type="gramStart"/>
      <w:r w:rsidR="00F854D8" w:rsidRPr="00267F53">
        <w:rPr>
          <w:lang w:bidi="th-TH"/>
        </w:rPr>
        <w:t>taking into account</w:t>
      </w:r>
      <w:proofErr w:type="gramEnd"/>
      <w:r w:rsidR="00F854D8" w:rsidRPr="00267F53">
        <w:rPr>
          <w:lang w:bidi="th-TH"/>
        </w:rPr>
        <w:t xml:space="preserve"> the areas of inconsistency with the most significant impact on stakeholders.</w:t>
      </w:r>
    </w:p>
    <w:p w14:paraId="02CE0F08" w14:textId="77777777" w:rsidR="00B32B82" w:rsidRPr="00267F53" w:rsidRDefault="00B32B82" w:rsidP="00667C32">
      <w:pPr>
        <w:pStyle w:val="Bullets2"/>
        <w:numPr>
          <w:ilvl w:val="0"/>
          <w:numId w:val="0"/>
        </w:numPr>
        <w:rPr>
          <w:lang w:bidi="th-TH"/>
        </w:rPr>
      </w:pPr>
    </w:p>
    <w:p w14:paraId="362358C9" w14:textId="77777777" w:rsidR="00BD2B12" w:rsidRPr="00267F53" w:rsidRDefault="00B12DAC" w:rsidP="00667C32">
      <w:pPr>
        <w:pStyle w:val="Bullets2"/>
        <w:numPr>
          <w:ilvl w:val="0"/>
          <w:numId w:val="0"/>
        </w:numPr>
        <w:rPr>
          <w:lang w:bidi="th-TH"/>
        </w:rPr>
      </w:pPr>
      <w:r w:rsidRPr="00267F53">
        <w:rPr>
          <w:lang w:bidi="th-TH"/>
        </w:rPr>
        <w:t>Areas for</w:t>
      </w:r>
      <w:r w:rsidR="00BD2B12" w:rsidRPr="00267F53">
        <w:rPr>
          <w:lang w:bidi="th-TH"/>
        </w:rPr>
        <w:t xml:space="preserve"> </w:t>
      </w:r>
      <w:r w:rsidR="00F854D8" w:rsidRPr="00267F53">
        <w:rPr>
          <w:lang w:bidi="th-TH"/>
        </w:rPr>
        <w:t xml:space="preserve">potential </w:t>
      </w:r>
      <w:r w:rsidRPr="00267F53">
        <w:rPr>
          <w:lang w:bidi="th-TH"/>
        </w:rPr>
        <w:t xml:space="preserve">focus </w:t>
      </w:r>
      <w:r w:rsidR="00BD2B12" w:rsidRPr="00267F53">
        <w:rPr>
          <w:lang w:bidi="th-TH"/>
        </w:rPr>
        <w:t xml:space="preserve">by governments </w:t>
      </w:r>
      <w:r w:rsidRPr="00267F53">
        <w:rPr>
          <w:lang w:bidi="th-TH"/>
        </w:rPr>
        <w:t>were identified based</w:t>
      </w:r>
      <w:r w:rsidR="00BD2B12" w:rsidRPr="00267F53">
        <w:rPr>
          <w:lang w:bidi="th-TH"/>
        </w:rPr>
        <w:t xml:space="preserve"> on:</w:t>
      </w:r>
    </w:p>
    <w:p w14:paraId="0511D750" w14:textId="77777777" w:rsidR="00462F2C" w:rsidRPr="00267F53" w:rsidRDefault="00462F2C" w:rsidP="00667C32">
      <w:pPr>
        <w:pStyle w:val="Bullets2"/>
        <w:numPr>
          <w:ilvl w:val="0"/>
          <w:numId w:val="0"/>
        </w:numPr>
        <w:rPr>
          <w:lang w:bidi="th-TH"/>
        </w:rPr>
      </w:pPr>
    </w:p>
    <w:p w14:paraId="187DDCB3" w14:textId="77777777" w:rsidR="00BD2B12" w:rsidRPr="00267F53" w:rsidRDefault="00B12DAC" w:rsidP="00BD2B12">
      <w:pPr>
        <w:pStyle w:val="Bullet1"/>
      </w:pPr>
      <w:r w:rsidRPr="00267F53">
        <w:t xml:space="preserve">the number of stakeholder submissions raising </w:t>
      </w:r>
      <w:r w:rsidR="00462F2C" w:rsidRPr="00267F53">
        <w:t xml:space="preserve">the </w:t>
      </w:r>
      <w:r w:rsidRPr="00267F53">
        <w:t>issues</w:t>
      </w:r>
    </w:p>
    <w:p w14:paraId="2F888131" w14:textId="77777777" w:rsidR="00BD2B12" w:rsidRPr="00267F53" w:rsidRDefault="00B12DAC" w:rsidP="00BD2B12">
      <w:pPr>
        <w:pStyle w:val="Bullet1"/>
      </w:pPr>
      <w:r w:rsidRPr="00267F53">
        <w:t>the veracity of these issues (</w:t>
      </w:r>
      <w:r w:rsidR="00C573F4" w:rsidRPr="00267F53">
        <w:t>i.e.,</w:t>
      </w:r>
      <w:r w:rsidRPr="00267F53">
        <w:t xml:space="preserve"> </w:t>
      </w:r>
      <w:r w:rsidR="009111AD" w:rsidRPr="00267F53">
        <w:t>where we have confirmed the issues</w:t>
      </w:r>
      <w:r w:rsidRPr="00267F53">
        <w:t xml:space="preserve"> exist)</w:t>
      </w:r>
      <w:r w:rsidR="00BD2B12" w:rsidRPr="00267F53">
        <w:t xml:space="preserve"> and where they have also been consistently described in other forums and through other reviews over the past few years</w:t>
      </w:r>
    </w:p>
    <w:p w14:paraId="22D0F730" w14:textId="77777777" w:rsidR="00BD2B12" w:rsidRPr="00267F53" w:rsidRDefault="00B12DAC" w:rsidP="00BD2B12">
      <w:pPr>
        <w:pStyle w:val="Bullet1"/>
      </w:pPr>
      <w:r w:rsidRPr="00267F53">
        <w:lastRenderedPageBreak/>
        <w:t>whether the issues have impacts across different stakeholder group</w:t>
      </w:r>
      <w:r w:rsidR="009111AD" w:rsidRPr="00267F53">
        <w:t>s (</w:t>
      </w:r>
      <w:r w:rsidR="00C573F4" w:rsidRPr="00267F53">
        <w:t>e.g.,</w:t>
      </w:r>
      <w:r w:rsidR="009111AD" w:rsidRPr="00267F53">
        <w:t xml:space="preserve"> impact on governments, industry and consumers)</w:t>
      </w:r>
    </w:p>
    <w:p w14:paraId="45A7C3BB" w14:textId="77777777" w:rsidR="00BD2B12" w:rsidRPr="00267F53" w:rsidRDefault="00B12DAC" w:rsidP="00BD2B12">
      <w:pPr>
        <w:pStyle w:val="Bullet1"/>
      </w:pPr>
      <w:r w:rsidRPr="00267F53">
        <w:t>the significance of those impacts (as described by stakeholders)</w:t>
      </w:r>
    </w:p>
    <w:p w14:paraId="500CA7DC" w14:textId="77777777" w:rsidR="00B12DAC" w:rsidRPr="00267F53" w:rsidRDefault="00B12DAC" w:rsidP="000332EA">
      <w:pPr>
        <w:pStyle w:val="Bullet1"/>
      </w:pPr>
      <w:r w:rsidRPr="00267F53">
        <w:t xml:space="preserve">whether the food regulatory </w:t>
      </w:r>
      <w:r w:rsidR="009111AD" w:rsidRPr="00267F53">
        <w:t xml:space="preserve">system </w:t>
      </w:r>
      <w:proofErr w:type="gramStart"/>
      <w:r w:rsidRPr="00267F53">
        <w:t>has the ability to</w:t>
      </w:r>
      <w:proofErr w:type="gramEnd"/>
      <w:r w:rsidRPr="00267F53">
        <w:t xml:space="preserve"> influence/direct changes in those areas.</w:t>
      </w:r>
    </w:p>
    <w:p w14:paraId="10909557" w14:textId="77777777" w:rsidR="00B12DAC" w:rsidRPr="00267F53" w:rsidRDefault="00B12DAC" w:rsidP="00667C32">
      <w:pPr>
        <w:pStyle w:val="Bullets2"/>
        <w:numPr>
          <w:ilvl w:val="0"/>
          <w:numId w:val="0"/>
        </w:numPr>
        <w:rPr>
          <w:lang w:bidi="th-TH"/>
        </w:rPr>
      </w:pPr>
    </w:p>
    <w:p w14:paraId="15BDEC19" w14:textId="77777777" w:rsidR="00667C32" w:rsidRPr="00267F53" w:rsidRDefault="00BD2B12" w:rsidP="00667C32">
      <w:pPr>
        <w:pStyle w:val="mpcbullets1"/>
        <w:numPr>
          <w:ilvl w:val="0"/>
          <w:numId w:val="0"/>
        </w:numPr>
      </w:pPr>
      <w:r w:rsidRPr="00267F53">
        <w:t>Based on th</w:t>
      </w:r>
      <w:r w:rsidR="00B8664B" w:rsidRPr="00267F53">
        <w:t>e</w:t>
      </w:r>
      <w:r w:rsidRPr="00267F53">
        <w:t xml:space="preserve"> applicat</w:t>
      </w:r>
      <w:r w:rsidR="00B8664B" w:rsidRPr="00267F53">
        <w:t>i</w:t>
      </w:r>
      <w:r w:rsidRPr="00267F53">
        <w:t>on of th</w:t>
      </w:r>
      <w:r w:rsidR="00B8664B" w:rsidRPr="00267F53">
        <w:t>e</w:t>
      </w:r>
      <w:r w:rsidRPr="00267F53">
        <w:t xml:space="preserve"> above criteria</w:t>
      </w:r>
      <w:r w:rsidR="00B8664B" w:rsidRPr="00267F53">
        <w:t xml:space="preserve">, the following key areas have been identified for </w:t>
      </w:r>
      <w:r w:rsidR="00F854D8" w:rsidRPr="00267F53">
        <w:t xml:space="preserve">priority </w:t>
      </w:r>
      <w:r w:rsidR="00B8664B" w:rsidRPr="00267F53">
        <w:t xml:space="preserve">focus by governments: </w:t>
      </w:r>
    </w:p>
    <w:p w14:paraId="3217251E" w14:textId="77777777" w:rsidR="00667C32" w:rsidRPr="00267F53" w:rsidRDefault="00667C32" w:rsidP="00667C32">
      <w:pPr>
        <w:pStyle w:val="Bullet1"/>
        <w:numPr>
          <w:ilvl w:val="0"/>
          <w:numId w:val="0"/>
        </w:numPr>
      </w:pPr>
    </w:p>
    <w:p w14:paraId="3CF7C5EB" w14:textId="77777777" w:rsidR="00667C32" w:rsidRPr="00267F53" w:rsidRDefault="00B8664B" w:rsidP="00667C32">
      <w:pPr>
        <w:pStyle w:val="Bullet1"/>
      </w:pPr>
      <w:r w:rsidRPr="00267F53">
        <w:t>i</w:t>
      </w:r>
      <w:r w:rsidR="00667C32" w:rsidRPr="00267F53">
        <w:t xml:space="preserve">nconsistencies relating to the application, monitoring and enforcement of </w:t>
      </w:r>
      <w:r w:rsidR="006E0959" w:rsidRPr="00267F53">
        <w:t xml:space="preserve">labelling requirements and </w:t>
      </w:r>
      <w:r w:rsidRPr="00267F53">
        <w:t>health claims</w:t>
      </w:r>
    </w:p>
    <w:p w14:paraId="08708FEE" w14:textId="77777777" w:rsidR="00667C32" w:rsidRPr="00267F53" w:rsidRDefault="00B8664B" w:rsidP="00667C32">
      <w:pPr>
        <w:pStyle w:val="Bullet1"/>
      </w:pPr>
      <w:r w:rsidRPr="00267F53">
        <w:t>i</w:t>
      </w:r>
      <w:r w:rsidR="00667C32" w:rsidRPr="00267F53">
        <w:t>nconsistencies stemming from the food-medicine interface</w:t>
      </w:r>
    </w:p>
    <w:p w14:paraId="614E62D8" w14:textId="77777777" w:rsidR="00E61B66" w:rsidRPr="00267F53" w:rsidRDefault="00501779" w:rsidP="00667C32">
      <w:pPr>
        <w:pStyle w:val="Bullet1"/>
      </w:pPr>
      <w:r w:rsidRPr="00267F53">
        <w:t>i</w:t>
      </w:r>
      <w:r w:rsidR="00E61B66" w:rsidRPr="00267F53">
        <w:t>nconsistencies stemming from unclear or outdated standards</w:t>
      </w:r>
      <w:r w:rsidR="009111AD" w:rsidRPr="00267F53">
        <w:t>,</w:t>
      </w:r>
      <w:r w:rsidR="00E61B66" w:rsidRPr="00267F53">
        <w:t xml:space="preserve"> and </w:t>
      </w:r>
      <w:r w:rsidRPr="00267F53">
        <w:t>consequential differences in interpretation of standards</w:t>
      </w:r>
    </w:p>
    <w:p w14:paraId="1732D9F4" w14:textId="77777777" w:rsidR="00B8664B" w:rsidRPr="00267F53" w:rsidRDefault="00B8664B" w:rsidP="00B8664B">
      <w:pPr>
        <w:pStyle w:val="Bullet1"/>
      </w:pPr>
      <w:r w:rsidRPr="00267F53">
        <w:t xml:space="preserve">inconsistencies in approaches to the implementation of food safety standards on food </w:t>
      </w:r>
      <w:r w:rsidR="00937700" w:rsidRPr="00267F53">
        <w:t>businesses</w:t>
      </w:r>
      <w:r w:rsidRPr="00267F53">
        <w:t xml:space="preserve"> across Australian jurisdictions. </w:t>
      </w:r>
    </w:p>
    <w:p w14:paraId="14E0252F" w14:textId="77777777" w:rsidR="0074091B" w:rsidRPr="00267F53" w:rsidRDefault="0074091B" w:rsidP="00667C32">
      <w:pPr>
        <w:pStyle w:val="Bullets2"/>
        <w:numPr>
          <w:ilvl w:val="0"/>
          <w:numId w:val="0"/>
        </w:numPr>
        <w:rPr>
          <w:lang w:bidi="th-TH"/>
        </w:rPr>
      </w:pPr>
    </w:p>
    <w:p w14:paraId="75FF30BF" w14:textId="77777777" w:rsidR="00644182" w:rsidRPr="00267F53" w:rsidRDefault="00B8664B" w:rsidP="001F1CA2">
      <w:pPr>
        <w:pStyle w:val="mpcbullets1"/>
        <w:numPr>
          <w:ilvl w:val="0"/>
          <w:numId w:val="0"/>
        </w:numPr>
      </w:pPr>
      <w:r w:rsidRPr="00267F53">
        <w:t xml:space="preserve">Each of the above areas of inconsistency </w:t>
      </w:r>
      <w:r w:rsidR="009111AD" w:rsidRPr="00267F53">
        <w:t xml:space="preserve">have impacts </w:t>
      </w:r>
      <w:r w:rsidR="007F1EBB" w:rsidRPr="00267F53">
        <w:t>across all stakeholder groups, including governments, industry and consumers.</w:t>
      </w:r>
    </w:p>
    <w:p w14:paraId="59FE03D3" w14:textId="77777777" w:rsidR="00644182" w:rsidRPr="00267F53" w:rsidRDefault="00644182" w:rsidP="00644182">
      <w:pPr>
        <w:pStyle w:val="Bullet1"/>
        <w:numPr>
          <w:ilvl w:val="0"/>
          <w:numId w:val="0"/>
        </w:numPr>
        <w:ind w:left="360" w:hanging="360"/>
      </w:pPr>
    </w:p>
    <w:p w14:paraId="00E599FC" w14:textId="77777777" w:rsidR="00D35771" w:rsidRPr="00267F53" w:rsidRDefault="00D35771" w:rsidP="00D35771">
      <w:pPr>
        <w:pStyle w:val="Boldbullet1"/>
        <w:numPr>
          <w:ilvl w:val="0"/>
          <w:numId w:val="0"/>
        </w:numPr>
        <w:pBdr>
          <w:top w:val="single" w:sz="4" w:space="1" w:color="auto"/>
          <w:left w:val="single" w:sz="4" w:space="4" w:color="auto"/>
          <w:bottom w:val="single" w:sz="4" w:space="1" w:color="auto"/>
          <w:right w:val="single" w:sz="4" w:space="4" w:color="auto"/>
        </w:pBdr>
        <w:ind w:left="360" w:hanging="360"/>
        <w:rPr>
          <w:rFonts w:asciiTheme="minorHAnsi" w:eastAsia="Times New Roman" w:hAnsiTheme="minorHAnsi" w:cstheme="minorHAnsi"/>
          <w:bCs/>
          <w:iCs w:val="0"/>
          <w:lang w:eastAsia="en-GB"/>
        </w:rPr>
      </w:pPr>
      <w:r w:rsidRPr="00267F53">
        <w:rPr>
          <w:rFonts w:asciiTheme="minorHAnsi" w:eastAsia="Times New Roman" w:hAnsiTheme="minorHAnsi" w:cstheme="minorHAnsi"/>
          <w:bCs/>
          <w:iCs w:val="0"/>
          <w:lang w:eastAsia="en-GB"/>
        </w:rPr>
        <w:t>Labelling</w:t>
      </w:r>
    </w:p>
    <w:p w14:paraId="03511458" w14:textId="77777777" w:rsidR="00D35771" w:rsidRPr="00267F53" w:rsidRDefault="00D35771" w:rsidP="00D35771">
      <w:pPr>
        <w:pStyle w:val="mpcbullets1"/>
        <w:numPr>
          <w:ilvl w:val="0"/>
          <w:numId w:val="0"/>
        </w:numPr>
      </w:pPr>
    </w:p>
    <w:p w14:paraId="5886257F" w14:textId="77777777" w:rsidR="00D35771" w:rsidRPr="00267F53" w:rsidRDefault="00D35771" w:rsidP="00D35771">
      <w:pPr>
        <w:pStyle w:val="mpcbullets1"/>
        <w:numPr>
          <w:ilvl w:val="0"/>
          <w:numId w:val="0"/>
        </w:numPr>
      </w:pPr>
      <w:r w:rsidRPr="00267F53">
        <w:t>It is clear from stakeholder feedback (and from various reviews and consultative processes over the last few years) that:</w:t>
      </w:r>
    </w:p>
    <w:p w14:paraId="2D5960F3" w14:textId="77777777" w:rsidR="00D35771" w:rsidRPr="00267F53" w:rsidRDefault="00D35771" w:rsidP="00D35771">
      <w:pPr>
        <w:pStyle w:val="mpcbullets1"/>
        <w:numPr>
          <w:ilvl w:val="0"/>
          <w:numId w:val="0"/>
        </w:numPr>
      </w:pPr>
    </w:p>
    <w:p w14:paraId="58E91368" w14:textId="77777777" w:rsidR="00D35771" w:rsidRPr="00267F53" w:rsidRDefault="00D35771" w:rsidP="00D35771">
      <w:pPr>
        <w:pStyle w:val="Bullet1"/>
      </w:pPr>
      <w:r w:rsidRPr="00267F53">
        <w:t xml:space="preserve">labelling is one of the more contentious and impactful areas of food </w:t>
      </w:r>
      <w:r w:rsidR="00937700" w:rsidRPr="00267F53">
        <w:t>regulation – a</w:t>
      </w:r>
      <w:r w:rsidRPr="00267F53">
        <w:t>s</w:t>
      </w:r>
      <w:r w:rsidR="00937700" w:rsidRPr="00267F53">
        <w:t xml:space="preserve"> </w:t>
      </w:r>
      <w:r w:rsidRPr="00267F53">
        <w:t>noted by one stakeholder</w:t>
      </w:r>
      <w:r w:rsidR="00937700" w:rsidRPr="00267F53">
        <w:t>,</w:t>
      </w:r>
      <w:r w:rsidRPr="00267F53">
        <w:t xml:space="preserve"> labelling is one of ‘the most public-facing aspects of food regulation’</w:t>
      </w:r>
    </w:p>
    <w:p w14:paraId="009A616A" w14:textId="77777777" w:rsidR="00D35771" w:rsidRPr="00267F53" w:rsidRDefault="00D35771" w:rsidP="00D35771">
      <w:pPr>
        <w:pStyle w:val="Bullet1"/>
      </w:pPr>
      <w:r w:rsidRPr="00267F53">
        <w:t xml:space="preserve">different stakeholders often look to labelling to address broader issues not necessarily related to food safety or what has traditionally been captured in the food regulatory system. For example, to address consumer values issues such as palm oil or </w:t>
      </w:r>
      <w:r w:rsidR="00937700" w:rsidRPr="00267F53">
        <w:t>genetically modified foods</w:t>
      </w:r>
      <w:r w:rsidRPr="00267F53">
        <w:t xml:space="preserve">, or to address broader public health matters, such as </w:t>
      </w:r>
      <w:r w:rsidR="00937700" w:rsidRPr="00267F53">
        <w:t xml:space="preserve">health ratings </w:t>
      </w:r>
      <w:r w:rsidRPr="00267F53">
        <w:t xml:space="preserve">and added sugars </w:t>
      </w:r>
    </w:p>
    <w:p w14:paraId="3D97D0D0" w14:textId="77777777" w:rsidR="00D35771" w:rsidRPr="00267F53" w:rsidRDefault="00D35771" w:rsidP="00D35771">
      <w:pPr>
        <w:pStyle w:val="Bullet1"/>
      </w:pPr>
      <w:r w:rsidRPr="00267F53">
        <w:t xml:space="preserve">interface issues between regulators </w:t>
      </w:r>
      <w:proofErr w:type="gramStart"/>
      <w:r w:rsidRPr="00267F53">
        <w:t>is</w:t>
      </w:r>
      <w:proofErr w:type="gramEnd"/>
      <w:r w:rsidRPr="00267F53">
        <w:t xml:space="preserve"> quite pronounced with respect to labelling because of the number of different regulators involved. For example, while food labelling plays part of the food regulatory system, it is also within the scope of the ACCC in Australia and the </w:t>
      </w:r>
      <w:r w:rsidR="00267F53" w:rsidRPr="00267F53">
        <w:t>CC</w:t>
      </w:r>
      <w:r w:rsidRPr="00267F53">
        <w:t xml:space="preserve"> in New Zealand (overseeing country of origin labelling) and the National Measurement Institute in Australia and Trading Standards in New Zealand (regulating weights and measures labelling)</w:t>
      </w:r>
    </w:p>
    <w:p w14:paraId="043282F9" w14:textId="77777777" w:rsidR="00D35771" w:rsidRPr="00267F53" w:rsidRDefault="00D35771" w:rsidP="00D35771">
      <w:pPr>
        <w:pStyle w:val="Bullet1"/>
      </w:pPr>
      <w:r w:rsidRPr="00267F53">
        <w:t>labelling is likely to be a significant area of focus in future years, as consumer expectations continue to change regarding the matters on which they seek information, and as technology enables information to be provided in different ways.</w:t>
      </w:r>
    </w:p>
    <w:p w14:paraId="20D74D5F" w14:textId="77777777" w:rsidR="00D35771" w:rsidRPr="00267F53" w:rsidRDefault="00D35771" w:rsidP="00D35771">
      <w:pPr>
        <w:pStyle w:val="Bullet1"/>
        <w:numPr>
          <w:ilvl w:val="0"/>
          <w:numId w:val="0"/>
        </w:numPr>
      </w:pPr>
    </w:p>
    <w:p w14:paraId="7EBFF0DA" w14:textId="77777777" w:rsidR="00D35771" w:rsidRPr="00267F53" w:rsidRDefault="00D35771" w:rsidP="00D35771">
      <w:pPr>
        <w:pStyle w:val="Bullet1"/>
        <w:numPr>
          <w:ilvl w:val="0"/>
          <w:numId w:val="0"/>
        </w:numPr>
      </w:pPr>
      <w:r w:rsidRPr="00267F53">
        <w:t>Based on stakeholder feedback, there are two key issues with respect to labelling:</w:t>
      </w:r>
    </w:p>
    <w:p w14:paraId="2487D601" w14:textId="77777777" w:rsidR="00D35771" w:rsidRPr="00267F53" w:rsidRDefault="00D35771" w:rsidP="00D35771">
      <w:pPr>
        <w:pStyle w:val="Bullet1"/>
        <w:numPr>
          <w:ilvl w:val="0"/>
          <w:numId w:val="0"/>
        </w:numPr>
      </w:pPr>
    </w:p>
    <w:p w14:paraId="0A29B31E" w14:textId="77777777" w:rsidR="00D35771" w:rsidRPr="00267F53" w:rsidRDefault="00D35771" w:rsidP="00D35771">
      <w:pPr>
        <w:pStyle w:val="Bullet1"/>
      </w:pPr>
      <w:r w:rsidRPr="00267F53">
        <w:rPr>
          <w:b/>
          <w:bCs w:val="0"/>
        </w:rPr>
        <w:t>a lack of a consistent or predictable approach to resolving food labelling issues in a timely way</w:t>
      </w:r>
    </w:p>
    <w:p w14:paraId="7CC935B3" w14:textId="77777777" w:rsidR="00D35771" w:rsidRPr="00267F53" w:rsidRDefault="00D35771" w:rsidP="00D35771">
      <w:pPr>
        <w:pStyle w:val="Bullets2"/>
      </w:pPr>
      <w:r w:rsidRPr="00267F53">
        <w:t xml:space="preserve">There is currently no clear mechanism for determining which food labelling issues fall within the scope of the food regulatory system and which do not. </w:t>
      </w:r>
    </w:p>
    <w:p w14:paraId="4E1E0FE2" w14:textId="77777777" w:rsidR="00D35771" w:rsidRPr="00267F53" w:rsidRDefault="00D35771" w:rsidP="00D35771">
      <w:pPr>
        <w:pStyle w:val="Bullets2"/>
      </w:pPr>
      <w:r w:rsidRPr="00267F53">
        <w:lastRenderedPageBreak/>
        <w:t>Further, there is no clear mechanism or criteria to support governments’ decision</w:t>
      </w:r>
      <w:r w:rsidR="00267F53" w:rsidRPr="00267F53">
        <w:t>-</w:t>
      </w:r>
      <w:r w:rsidRPr="00267F53">
        <w:t>making around label regulation and limited coordination of regulatory changes relating to food labelling</w:t>
      </w:r>
      <w:r w:rsidR="00267F53" w:rsidRPr="00267F53">
        <w:t>.</w:t>
      </w:r>
    </w:p>
    <w:p w14:paraId="725434AE" w14:textId="77777777" w:rsidR="00D35771" w:rsidRPr="00267F53" w:rsidRDefault="00D35771" w:rsidP="00D35771">
      <w:pPr>
        <w:pStyle w:val="Bullets2"/>
      </w:pPr>
      <w:r w:rsidRPr="00267F53">
        <w:t>Both of these issues impact the food regulatory system and a wide range of stakeholders (industry, public health and governments).</w:t>
      </w:r>
    </w:p>
    <w:p w14:paraId="2375E06A" w14:textId="77777777" w:rsidR="00D35771" w:rsidRPr="00267F53" w:rsidRDefault="00D35771" w:rsidP="00D35771">
      <w:pPr>
        <w:pStyle w:val="Bullets2"/>
      </w:pPr>
      <w:r w:rsidRPr="00267F53">
        <w:t>Changes to labelling are costly, require lead time and have significant commercial impact across industry. Uncertain processes for resolving labelling issues can also create frustration and undermine confidence in the system (for industry, public health bodies</w:t>
      </w:r>
      <w:r w:rsidR="00267F53" w:rsidRPr="00267F53">
        <w:t>, consumers</w:t>
      </w:r>
      <w:r w:rsidRPr="00267F53">
        <w:t xml:space="preserve"> and governments).</w:t>
      </w:r>
    </w:p>
    <w:p w14:paraId="7C2EF6E1" w14:textId="77777777" w:rsidR="00D35771" w:rsidRPr="00267F53" w:rsidRDefault="00D35771" w:rsidP="00D35771">
      <w:pPr>
        <w:pStyle w:val="Bullets2"/>
        <w:numPr>
          <w:ilvl w:val="0"/>
          <w:numId w:val="0"/>
        </w:numPr>
        <w:ind w:left="851" w:hanging="425"/>
      </w:pPr>
    </w:p>
    <w:p w14:paraId="30C214AB" w14:textId="77777777" w:rsidR="00D35771" w:rsidRPr="00267F53" w:rsidRDefault="00D35771" w:rsidP="00D35771">
      <w:pPr>
        <w:pStyle w:val="Bullet1"/>
        <w:rPr>
          <w:b/>
          <w:bCs w:val="0"/>
        </w:rPr>
      </w:pPr>
      <w:r w:rsidRPr="00267F53">
        <w:rPr>
          <w:b/>
          <w:bCs w:val="0"/>
        </w:rPr>
        <w:t xml:space="preserve">inconsistent approaches to monitoring and enforcement of food labelling </w:t>
      </w:r>
    </w:p>
    <w:p w14:paraId="209FB293" w14:textId="77777777" w:rsidR="00D35771" w:rsidRPr="00267F53" w:rsidRDefault="00D35771" w:rsidP="00D35771">
      <w:pPr>
        <w:pStyle w:val="Bullets2"/>
      </w:pPr>
      <w:r w:rsidRPr="00267F53">
        <w:t>Many industry stakeholders highlighted that some jurisdictions more actively monitor and enforce labelling compliance, which disadvantages manufacturers based in those jurisdictions (where manufacturers based in more ‘lenient’ jurisdictions can display non</w:t>
      </w:r>
      <w:r w:rsidRPr="00267F53">
        <w:noBreakHyphen/>
        <w:t xml:space="preserve">compliant labels). This was also raised in relation to imported products, with some stakeholders reporting that regulatory agencies take a more ‘lenient’ approach to enforcing compliance with regards to imported products. </w:t>
      </w:r>
    </w:p>
    <w:p w14:paraId="29926BB3" w14:textId="77777777" w:rsidR="00D35771" w:rsidRPr="00267F53" w:rsidRDefault="00D35771" w:rsidP="00D35771">
      <w:pPr>
        <w:pStyle w:val="Bullets2"/>
      </w:pPr>
      <w:r w:rsidRPr="00267F53">
        <w:t>Stakeholders gave several examples of products with non-compli</w:t>
      </w:r>
      <w:r w:rsidR="00267F53" w:rsidRPr="00267F53">
        <w:t>a</w:t>
      </w:r>
      <w:r w:rsidRPr="00267F53">
        <w:t>nt labels available at retail stores, noting that missing or inaccurate information on labels can present a risk to consumer safety (particularly in relation to allergen information). Non-compliant labelling can also impact on informed consumer choice and create a culture of non-compliance.</w:t>
      </w:r>
    </w:p>
    <w:p w14:paraId="713A71A4" w14:textId="77777777" w:rsidR="00D35771" w:rsidRPr="00267F53" w:rsidRDefault="00D35771" w:rsidP="00D35771">
      <w:pPr>
        <w:pStyle w:val="Bullets2"/>
      </w:pPr>
      <w:r w:rsidRPr="00267F53">
        <w:t xml:space="preserve">Given the critical role of food labelling in communicating information to consumers and influencing purchasing decisions, it is important that food labelling requirements are actively and monitored and enforced. </w:t>
      </w:r>
    </w:p>
    <w:p w14:paraId="6A268295" w14:textId="77777777" w:rsidR="00D35771" w:rsidRPr="00267F53" w:rsidRDefault="00D35771" w:rsidP="00644182">
      <w:pPr>
        <w:pStyle w:val="Bullet1"/>
        <w:numPr>
          <w:ilvl w:val="0"/>
          <w:numId w:val="0"/>
        </w:numPr>
        <w:ind w:left="360" w:hanging="360"/>
      </w:pPr>
    </w:p>
    <w:p w14:paraId="626C7E72" w14:textId="77777777" w:rsidR="009C1BC1" w:rsidRPr="00267F53" w:rsidRDefault="00C22A1A" w:rsidP="000332EA">
      <w:pPr>
        <w:pStyle w:val="Boldbullet1"/>
        <w:numPr>
          <w:ilvl w:val="0"/>
          <w:numId w:val="0"/>
        </w:numPr>
        <w:pBdr>
          <w:top w:val="single" w:sz="4" w:space="1" w:color="auto"/>
          <w:left w:val="single" w:sz="4" w:space="4" w:color="auto"/>
          <w:bottom w:val="single" w:sz="4" w:space="0" w:color="auto"/>
          <w:right w:val="single" w:sz="4" w:space="4" w:color="auto"/>
        </w:pBdr>
        <w:ind w:left="360" w:hanging="360"/>
        <w:rPr>
          <w:rFonts w:asciiTheme="minorHAnsi" w:eastAsia="Times New Roman" w:hAnsiTheme="minorHAnsi" w:cstheme="minorHAnsi"/>
          <w:iCs w:val="0"/>
          <w:lang w:eastAsia="en-GB"/>
        </w:rPr>
      </w:pPr>
      <w:r w:rsidRPr="00267F53">
        <w:rPr>
          <w:rFonts w:asciiTheme="minorHAnsi" w:eastAsia="Times New Roman" w:hAnsiTheme="minorHAnsi" w:cstheme="minorHAnsi"/>
          <w:bCs/>
          <w:iCs w:val="0"/>
          <w:lang w:eastAsia="en-GB"/>
        </w:rPr>
        <w:t>General level h</w:t>
      </w:r>
      <w:r w:rsidR="009C1BC1" w:rsidRPr="00267F53">
        <w:rPr>
          <w:rFonts w:asciiTheme="minorHAnsi" w:eastAsia="Times New Roman" w:hAnsiTheme="minorHAnsi" w:cstheme="minorHAnsi"/>
          <w:bCs/>
          <w:iCs w:val="0"/>
          <w:lang w:eastAsia="en-GB"/>
        </w:rPr>
        <w:t>ealth claims</w:t>
      </w:r>
      <w:r w:rsidR="00B8664B" w:rsidRPr="00267F53">
        <w:rPr>
          <w:rFonts w:asciiTheme="minorHAnsi" w:eastAsia="Times New Roman" w:hAnsiTheme="minorHAnsi" w:cstheme="minorHAnsi"/>
          <w:bCs/>
          <w:iCs w:val="0"/>
          <w:lang w:eastAsia="en-GB"/>
        </w:rPr>
        <w:t xml:space="preserve"> </w:t>
      </w:r>
    </w:p>
    <w:p w14:paraId="773BBFF7" w14:textId="77777777" w:rsidR="00B8664B" w:rsidRPr="00267F53" w:rsidRDefault="00B8664B" w:rsidP="009111AD">
      <w:pPr>
        <w:pStyle w:val="Bullet1"/>
        <w:keepNext/>
        <w:numPr>
          <w:ilvl w:val="0"/>
          <w:numId w:val="0"/>
        </w:numPr>
      </w:pPr>
    </w:p>
    <w:p w14:paraId="4A405DCB" w14:textId="77777777" w:rsidR="00F854D8" w:rsidRPr="00267F53" w:rsidRDefault="00F854D8" w:rsidP="00F854D8">
      <w:pPr>
        <w:pStyle w:val="Bullet1"/>
        <w:numPr>
          <w:ilvl w:val="0"/>
          <w:numId w:val="0"/>
        </w:numPr>
      </w:pPr>
      <w:r w:rsidRPr="00267F53">
        <w:t>While New Zealand has a clear process for assessing the veracity of self-substantiated health claims, Australia</w:t>
      </w:r>
      <w:r w:rsidR="00730AF9" w:rsidRPr="00267F53">
        <w:t>n jurisdictions</w:t>
      </w:r>
      <w:r w:rsidRPr="00267F53">
        <w:t xml:space="preserve"> do not have such an approach.</w:t>
      </w:r>
    </w:p>
    <w:p w14:paraId="225B005A" w14:textId="77777777" w:rsidR="00C42194" w:rsidRPr="00267F53" w:rsidRDefault="00C42194" w:rsidP="009111AD">
      <w:pPr>
        <w:pStyle w:val="Bullet1"/>
        <w:keepNext/>
        <w:numPr>
          <w:ilvl w:val="0"/>
          <w:numId w:val="0"/>
        </w:numPr>
      </w:pPr>
    </w:p>
    <w:p w14:paraId="18293ABD" w14:textId="77777777" w:rsidR="00B8664B" w:rsidRPr="00267F53" w:rsidRDefault="00B8664B" w:rsidP="009111AD">
      <w:pPr>
        <w:pStyle w:val="Bullet1"/>
        <w:keepNext/>
        <w:numPr>
          <w:ilvl w:val="0"/>
          <w:numId w:val="0"/>
        </w:numPr>
      </w:pPr>
      <w:r w:rsidRPr="00267F53">
        <w:t xml:space="preserve">More than </w:t>
      </w:r>
      <w:r w:rsidR="00730AF9" w:rsidRPr="00267F53">
        <w:t>a quarter</w:t>
      </w:r>
      <w:r w:rsidRPr="00267F53">
        <w:t xml:space="preserve"> of the stakeholders responding to the survey identified </w:t>
      </w:r>
      <w:r w:rsidR="00C22A1A" w:rsidRPr="00267F53">
        <w:t xml:space="preserve">general level </w:t>
      </w:r>
      <w:r w:rsidR="00F854D8" w:rsidRPr="00267F53">
        <w:t>health claims as a significant area of inconsistency:</w:t>
      </w:r>
    </w:p>
    <w:p w14:paraId="00BF276D" w14:textId="77777777" w:rsidR="00730AF9" w:rsidRPr="00267F53" w:rsidRDefault="00730AF9" w:rsidP="009111AD">
      <w:pPr>
        <w:pStyle w:val="Bullet1"/>
        <w:keepNext/>
        <w:numPr>
          <w:ilvl w:val="0"/>
          <w:numId w:val="0"/>
        </w:numPr>
      </w:pPr>
    </w:p>
    <w:p w14:paraId="40582E01" w14:textId="77777777" w:rsidR="00B8664B" w:rsidRPr="00267F53" w:rsidRDefault="00B8664B" w:rsidP="00B8664B">
      <w:pPr>
        <w:pStyle w:val="Bullet1"/>
      </w:pPr>
      <w:r w:rsidRPr="00267F53">
        <w:t>From industry’s perspective</w:t>
      </w:r>
      <w:r w:rsidR="00730AF9" w:rsidRPr="00267F53">
        <w:t>,</w:t>
      </w:r>
      <w:r w:rsidRPr="00267F53">
        <w:t xml:space="preserve"> </w:t>
      </w:r>
      <w:r w:rsidR="00C42194" w:rsidRPr="00267F53">
        <w:t xml:space="preserve">the inconsistent monitoring and enforcement of health claims </w:t>
      </w:r>
      <w:r w:rsidR="00F854D8" w:rsidRPr="00267F53">
        <w:t xml:space="preserve">can </w:t>
      </w:r>
      <w:r w:rsidR="00C42194" w:rsidRPr="00267F53">
        <w:t>create a culture of non-compliance</w:t>
      </w:r>
      <w:r w:rsidR="00F854D8" w:rsidRPr="00267F53">
        <w:t xml:space="preserve"> and </w:t>
      </w:r>
      <w:r w:rsidR="00C42194" w:rsidRPr="00267F53">
        <w:t>undermine confidence in the food regulatory.</w:t>
      </w:r>
      <w:r w:rsidR="00F854D8" w:rsidRPr="00267F53">
        <w:t xml:space="preserve"> It can also create an unl</w:t>
      </w:r>
      <w:r w:rsidR="00B51F31" w:rsidRPr="00267F53">
        <w:t>e</w:t>
      </w:r>
      <w:r w:rsidR="00F854D8" w:rsidRPr="00267F53">
        <w:t>vel playing field and add compliance co</w:t>
      </w:r>
      <w:r w:rsidR="00B51F31" w:rsidRPr="00267F53">
        <w:t>s</w:t>
      </w:r>
      <w:r w:rsidR="00F854D8" w:rsidRPr="00267F53">
        <w:t xml:space="preserve">ts for industry </w:t>
      </w:r>
      <w:r w:rsidR="00267F53">
        <w:t>bodies</w:t>
      </w:r>
      <w:r w:rsidR="00F854D8" w:rsidRPr="00267F53">
        <w:t xml:space="preserve"> who </w:t>
      </w:r>
      <w:r w:rsidR="00267F53">
        <w:t>cannot determine</w:t>
      </w:r>
      <w:r w:rsidR="00F854D8" w:rsidRPr="00267F53">
        <w:t xml:space="preserve"> whether a health claim will be </w:t>
      </w:r>
      <w:r w:rsidR="00267F53">
        <w:t xml:space="preserve">considered </w:t>
      </w:r>
      <w:r w:rsidR="00F854D8" w:rsidRPr="00267F53">
        <w:t xml:space="preserve">acceptable </w:t>
      </w:r>
      <w:r w:rsidR="00267F53">
        <w:t>or who go to lengths to ensure health claims are adequately substantiated</w:t>
      </w:r>
      <w:r w:rsidR="00F854D8" w:rsidRPr="00267F53">
        <w:t>.</w:t>
      </w:r>
    </w:p>
    <w:p w14:paraId="11E9B90E" w14:textId="77777777" w:rsidR="00C42194" w:rsidRPr="00267F53" w:rsidRDefault="00C42194" w:rsidP="00730AF9">
      <w:pPr>
        <w:pStyle w:val="Bullet1"/>
      </w:pPr>
      <w:r w:rsidRPr="00267F53">
        <w:t xml:space="preserve">Consumers may select products on the basis of unsubstantiated health claims, which also creates market disadvantage for compliant manufacturers. Industry bodies highlighted that it can be expensive to adequately substantiate health claims (as per the Code requirements) and there </w:t>
      </w:r>
      <w:r w:rsidR="00267F53">
        <w:t>is</w:t>
      </w:r>
      <w:r w:rsidRPr="00267F53">
        <w:t xml:space="preserve"> currently limited incentive to ensure health claims made are adequately </w:t>
      </w:r>
      <w:r w:rsidR="00267F53">
        <w:t>substantiated or compliant</w:t>
      </w:r>
      <w:r w:rsidRPr="00267F53">
        <w:t>.</w:t>
      </w:r>
    </w:p>
    <w:p w14:paraId="4E6D011D" w14:textId="77777777" w:rsidR="008F17DB" w:rsidRPr="00267F53" w:rsidRDefault="00B8664B" w:rsidP="00730AF9">
      <w:pPr>
        <w:pStyle w:val="Bullet1"/>
      </w:pPr>
      <w:r w:rsidRPr="00267F53">
        <w:t>For government regulators</w:t>
      </w:r>
      <w:r w:rsidR="00F854D8" w:rsidRPr="00267F53">
        <w:t>,</w:t>
      </w:r>
      <w:r w:rsidRPr="00267F53">
        <w:t xml:space="preserve"> the current approach </w:t>
      </w:r>
      <w:r w:rsidR="008F17DB" w:rsidRPr="00267F53">
        <w:t>creat</w:t>
      </w:r>
      <w:r w:rsidRPr="00267F53">
        <w:t>es</w:t>
      </w:r>
      <w:r w:rsidR="008F17DB" w:rsidRPr="00267F53">
        <w:t xml:space="preserve"> significant, duplicative regulatory </w:t>
      </w:r>
      <w:r w:rsidRPr="00267F53">
        <w:t>effort</w:t>
      </w:r>
      <w:r w:rsidR="008F17DB" w:rsidRPr="00267F53">
        <w:t>.</w:t>
      </w:r>
      <w:r w:rsidRPr="00267F53">
        <w:t xml:space="preserve"> A number of government stakeholders noted that </w:t>
      </w:r>
      <w:r w:rsidR="006D118C" w:rsidRPr="00267F53">
        <w:t xml:space="preserve">they </w:t>
      </w:r>
      <w:r w:rsidR="008F17DB" w:rsidRPr="00267F53">
        <w:t xml:space="preserve">have finite resources and </w:t>
      </w:r>
      <w:r w:rsidR="008F17DB" w:rsidRPr="00267F53">
        <w:lastRenderedPageBreak/>
        <w:t xml:space="preserve">expertise and </w:t>
      </w:r>
      <w:r w:rsidRPr="00267F53">
        <w:t xml:space="preserve">tend to </w:t>
      </w:r>
      <w:r w:rsidR="008F17DB" w:rsidRPr="00267F53">
        <w:t xml:space="preserve">prioritise critical food safety matters over matters that impact more on consumer choice. </w:t>
      </w:r>
    </w:p>
    <w:p w14:paraId="46D083C3" w14:textId="77777777" w:rsidR="00B8664B" w:rsidRPr="00267F53" w:rsidRDefault="00B8664B" w:rsidP="00730AF9">
      <w:pPr>
        <w:pStyle w:val="Bullet1"/>
      </w:pPr>
      <w:r w:rsidRPr="00267F53">
        <w:t>For public health bodies</w:t>
      </w:r>
      <w:r w:rsidR="00C42194" w:rsidRPr="00267F53">
        <w:t xml:space="preserve">, the current approach risks </w:t>
      </w:r>
      <w:r w:rsidR="002F060E" w:rsidRPr="00267F53">
        <w:t>consumers being misled about the health benefits of certain products.</w:t>
      </w:r>
      <w:r w:rsidR="00C42194" w:rsidRPr="00267F53">
        <w:t xml:space="preserve"> </w:t>
      </w:r>
      <w:r w:rsidRPr="00267F53">
        <w:t xml:space="preserve">Some public health bodies highlighted that when complaints are made about a health claim, there is often no follow up or they are ‘bounced’ between different regulatory agencies that share responsibility for monitoring food labelling. </w:t>
      </w:r>
    </w:p>
    <w:p w14:paraId="485B9B98" w14:textId="77777777" w:rsidR="00F6182B" w:rsidRPr="00267F53" w:rsidRDefault="00F6182B" w:rsidP="001F1CA2">
      <w:pPr>
        <w:pStyle w:val="mpcbullets1"/>
        <w:numPr>
          <w:ilvl w:val="0"/>
          <w:numId w:val="0"/>
        </w:numPr>
        <w:rPr>
          <w:rFonts w:cstheme="minorHAnsi"/>
          <w:lang w:eastAsia="en-US"/>
        </w:rPr>
      </w:pPr>
    </w:p>
    <w:p w14:paraId="7D6CE231" w14:textId="77777777" w:rsidR="00F6182B" w:rsidRPr="00267F53" w:rsidRDefault="00F6182B" w:rsidP="00D35771">
      <w:pPr>
        <w:pStyle w:val="Boldbullet1"/>
        <w:numPr>
          <w:ilvl w:val="0"/>
          <w:numId w:val="0"/>
        </w:numPr>
        <w:pBdr>
          <w:top w:val="single" w:sz="4" w:space="1" w:color="auto"/>
          <w:left w:val="single" w:sz="4" w:space="4" w:color="auto"/>
          <w:bottom w:val="single" w:sz="4" w:space="0" w:color="auto"/>
          <w:right w:val="single" w:sz="4" w:space="4" w:color="auto"/>
        </w:pBdr>
        <w:ind w:left="360" w:hanging="360"/>
        <w:rPr>
          <w:rFonts w:eastAsia="Times New Roman"/>
          <w:iCs w:val="0"/>
          <w:lang w:eastAsia="en-GB"/>
        </w:rPr>
      </w:pPr>
      <w:r w:rsidRPr="00267F53">
        <w:rPr>
          <w:rFonts w:asciiTheme="minorHAnsi" w:eastAsia="Times New Roman" w:hAnsiTheme="minorHAnsi" w:cstheme="minorHAnsi"/>
          <w:bCs/>
          <w:iCs w:val="0"/>
          <w:lang w:eastAsia="en-GB"/>
        </w:rPr>
        <w:t>Food-medicine interface</w:t>
      </w:r>
    </w:p>
    <w:p w14:paraId="552E790C" w14:textId="77777777" w:rsidR="00F6182B" w:rsidRPr="00267F53" w:rsidRDefault="00F6182B" w:rsidP="007F1EBB">
      <w:pPr>
        <w:pStyle w:val="mpcbullets1"/>
        <w:keepNext/>
        <w:numPr>
          <w:ilvl w:val="0"/>
          <w:numId w:val="0"/>
        </w:numPr>
      </w:pPr>
    </w:p>
    <w:p w14:paraId="72E695F3" w14:textId="77777777" w:rsidR="00B8664B" w:rsidRPr="00267F53" w:rsidRDefault="00B8664B" w:rsidP="007F1EBB">
      <w:pPr>
        <w:pStyle w:val="Bullet1"/>
        <w:keepNext/>
        <w:numPr>
          <w:ilvl w:val="0"/>
          <w:numId w:val="0"/>
        </w:numPr>
      </w:pPr>
      <w:r w:rsidRPr="00267F53">
        <w:t xml:space="preserve">A significant number of stakeholders </w:t>
      </w:r>
      <w:r w:rsidR="00730AF9" w:rsidRPr="00267F53">
        <w:t>(across all stakeholder groups</w:t>
      </w:r>
      <w:r w:rsidR="00267F53">
        <w:t xml:space="preserve"> but predominantly in Australia</w:t>
      </w:r>
      <w:r w:rsidR="00730AF9" w:rsidRPr="00267F53">
        <w:t xml:space="preserve">) </w:t>
      </w:r>
      <w:r w:rsidRPr="00267F53">
        <w:t>raised issue</w:t>
      </w:r>
      <w:r w:rsidR="00730AF9" w:rsidRPr="00267F53">
        <w:t xml:space="preserve">s relating to </w:t>
      </w:r>
      <w:r w:rsidRPr="00267F53">
        <w:t>the food-med</w:t>
      </w:r>
      <w:r w:rsidR="003B09DA" w:rsidRPr="00267F53">
        <w:t>i</w:t>
      </w:r>
      <w:r w:rsidRPr="00267F53">
        <w:t>cines interface.</w:t>
      </w:r>
    </w:p>
    <w:p w14:paraId="13138E41" w14:textId="77777777" w:rsidR="00B8664B" w:rsidRPr="00267F53" w:rsidRDefault="00B8664B" w:rsidP="007F1EBB">
      <w:pPr>
        <w:pStyle w:val="Bullet1"/>
        <w:keepNext/>
        <w:numPr>
          <w:ilvl w:val="0"/>
          <w:numId w:val="0"/>
        </w:numPr>
      </w:pPr>
    </w:p>
    <w:p w14:paraId="70451A91" w14:textId="77777777" w:rsidR="00B8664B" w:rsidRPr="00267F53" w:rsidRDefault="00B8664B" w:rsidP="007F1EBB">
      <w:pPr>
        <w:pStyle w:val="Bullet1"/>
        <w:keepNext/>
        <w:numPr>
          <w:ilvl w:val="0"/>
          <w:numId w:val="0"/>
        </w:numPr>
      </w:pPr>
      <w:r w:rsidRPr="00267F53">
        <w:t>This is a</w:t>
      </w:r>
      <w:r w:rsidR="00B51F31" w:rsidRPr="00267F53">
        <w:t>n important</w:t>
      </w:r>
      <w:r w:rsidR="003B09DA" w:rsidRPr="00267F53">
        <w:t xml:space="preserve"> </w:t>
      </w:r>
      <w:r w:rsidRPr="00267F53">
        <w:t>area for consistency moving forward because:</w:t>
      </w:r>
    </w:p>
    <w:p w14:paraId="26192D68" w14:textId="77777777" w:rsidR="00730AF9" w:rsidRPr="00267F53" w:rsidRDefault="00730AF9" w:rsidP="007F1EBB">
      <w:pPr>
        <w:pStyle w:val="Bullet1"/>
        <w:keepNext/>
        <w:numPr>
          <w:ilvl w:val="0"/>
          <w:numId w:val="0"/>
        </w:numPr>
      </w:pPr>
    </w:p>
    <w:p w14:paraId="2EEFA4A8" w14:textId="77777777" w:rsidR="003B09DA" w:rsidRPr="00267F53" w:rsidRDefault="003B09DA" w:rsidP="003B09DA">
      <w:pPr>
        <w:pStyle w:val="Bullet1"/>
      </w:pPr>
      <w:r w:rsidRPr="00267F53">
        <w:t>i</w:t>
      </w:r>
      <w:r w:rsidR="00F20E7F" w:rsidRPr="00267F53">
        <w:t>t is expected the interfaces between the food regulatory system and other regulatory systems will continue to be blurred as innovation, technology and consumer choice evolve</w:t>
      </w:r>
    </w:p>
    <w:p w14:paraId="3A8C8B83" w14:textId="77777777" w:rsidR="003B09DA" w:rsidRPr="00267F53" w:rsidRDefault="003B09DA" w:rsidP="003B09DA">
      <w:pPr>
        <w:pStyle w:val="Bullet1"/>
      </w:pPr>
      <w:r w:rsidRPr="00267F53">
        <w:t>t</w:t>
      </w:r>
      <w:r w:rsidR="006F6BF2" w:rsidRPr="00267F53">
        <w:t xml:space="preserve">he </w:t>
      </w:r>
      <w:r w:rsidR="00603CAD" w:rsidRPr="00267F53">
        <w:t>rising</w:t>
      </w:r>
      <w:r w:rsidR="006F6BF2" w:rsidRPr="00267F53">
        <w:t xml:space="preserve"> medicalisation of foods and growth in foods with therapeutic properties means that the food medicine interface is becoming increasingly important</w:t>
      </w:r>
    </w:p>
    <w:p w14:paraId="3CD0E932" w14:textId="77777777" w:rsidR="006F6BF2" w:rsidRPr="00267F53" w:rsidRDefault="003B09DA" w:rsidP="00730AF9">
      <w:pPr>
        <w:pStyle w:val="Bullet1"/>
      </w:pPr>
      <w:r w:rsidRPr="00267F53">
        <w:t>a</w:t>
      </w:r>
      <w:r w:rsidR="00603CAD" w:rsidRPr="00267F53">
        <w:t>n</w:t>
      </w:r>
      <w:r w:rsidR="006F6BF2" w:rsidRPr="00267F53">
        <w:t>y gaps or overlaps between the systems will continue to become more pronounced</w:t>
      </w:r>
      <w:r w:rsidR="00603CAD" w:rsidRPr="00267F53">
        <w:t xml:space="preserve"> as new products continue to come into the Australian and New Zealand market</w:t>
      </w:r>
      <w:r w:rsidR="00730AF9" w:rsidRPr="00267F53">
        <w:t>.</w:t>
      </w:r>
    </w:p>
    <w:p w14:paraId="358EFD61" w14:textId="77777777" w:rsidR="00603CAD" w:rsidRPr="00267F53" w:rsidRDefault="00603CAD" w:rsidP="00603CAD">
      <w:pPr>
        <w:pStyle w:val="Bullet1"/>
        <w:keepNext/>
        <w:numPr>
          <w:ilvl w:val="0"/>
          <w:numId w:val="0"/>
        </w:numPr>
      </w:pPr>
    </w:p>
    <w:p w14:paraId="499B4063" w14:textId="77777777" w:rsidR="00603CAD" w:rsidRPr="00267F53" w:rsidRDefault="00603CAD" w:rsidP="00603CAD">
      <w:pPr>
        <w:pStyle w:val="Bullet1"/>
        <w:keepNext/>
        <w:numPr>
          <w:ilvl w:val="0"/>
          <w:numId w:val="0"/>
        </w:numPr>
      </w:pPr>
      <w:r w:rsidRPr="00267F53">
        <w:t xml:space="preserve">This issue closely relates to labelling and health claims, as labelling requirements are a key point of difference between </w:t>
      </w:r>
      <w:r w:rsidR="00F20E7F" w:rsidRPr="00267F53">
        <w:t>food and medicines regulations. Differences in what must, or may, be displayed on labels can result in consumers being misled about the relative benefits of like products. It creates challenges for regulatory agencies trying to enforce compliance and for industry in trying to determine the appropriate regulations to comply with.</w:t>
      </w:r>
    </w:p>
    <w:p w14:paraId="6402011C" w14:textId="77777777" w:rsidR="004B4BA3" w:rsidRPr="00267F53" w:rsidRDefault="004B4BA3" w:rsidP="00F20E7F">
      <w:pPr>
        <w:pStyle w:val="Bullet1"/>
        <w:numPr>
          <w:ilvl w:val="0"/>
          <w:numId w:val="0"/>
        </w:numPr>
      </w:pPr>
    </w:p>
    <w:p w14:paraId="3BF185A2" w14:textId="77777777" w:rsidR="00E61B66" w:rsidRPr="00267F53" w:rsidRDefault="00E61B66" w:rsidP="00730AF9">
      <w:pPr>
        <w:pStyle w:val="Boldbullet1"/>
        <w:numPr>
          <w:ilvl w:val="0"/>
          <w:numId w:val="0"/>
        </w:numPr>
        <w:pBdr>
          <w:top w:val="single" w:sz="4" w:space="1" w:color="auto"/>
          <w:left w:val="single" w:sz="4" w:space="4" w:color="auto"/>
          <w:bottom w:val="single" w:sz="4" w:space="0" w:color="auto"/>
          <w:right w:val="single" w:sz="4" w:space="4" w:color="auto"/>
        </w:pBdr>
        <w:ind w:left="360" w:hanging="360"/>
        <w:rPr>
          <w:rFonts w:eastAsia="Times New Roman"/>
          <w:iCs w:val="0"/>
          <w:lang w:eastAsia="en-GB"/>
        </w:rPr>
      </w:pPr>
      <w:r w:rsidRPr="00267F53">
        <w:rPr>
          <w:rFonts w:asciiTheme="minorHAnsi" w:eastAsia="Times New Roman" w:hAnsiTheme="minorHAnsi" w:cstheme="minorHAnsi"/>
          <w:bCs/>
          <w:iCs w:val="0"/>
          <w:lang w:eastAsia="en-GB"/>
        </w:rPr>
        <w:t>Unclear or outdated standards</w:t>
      </w:r>
    </w:p>
    <w:p w14:paraId="3BA0785C" w14:textId="77777777" w:rsidR="00E61B66" w:rsidRPr="00267F53" w:rsidRDefault="00E61B66" w:rsidP="00E61B66">
      <w:pPr>
        <w:pStyle w:val="Bullet1"/>
        <w:keepNext/>
        <w:numPr>
          <w:ilvl w:val="0"/>
          <w:numId w:val="0"/>
        </w:numPr>
      </w:pPr>
    </w:p>
    <w:p w14:paraId="16363977" w14:textId="77777777" w:rsidR="00455F12" w:rsidRPr="00267F53" w:rsidRDefault="001B6902" w:rsidP="004B4BA3">
      <w:pPr>
        <w:rPr>
          <w:rFonts w:cstheme="minorHAnsi"/>
          <w:color w:val="000000" w:themeColor="text1"/>
        </w:rPr>
      </w:pPr>
      <w:r w:rsidRPr="00267F53">
        <w:rPr>
          <w:rFonts w:cstheme="minorHAnsi"/>
          <w:color w:val="000000" w:themeColor="text1"/>
        </w:rPr>
        <w:t>U</w:t>
      </w:r>
      <w:r w:rsidR="00455F12" w:rsidRPr="00267F53">
        <w:rPr>
          <w:rFonts w:cstheme="minorHAnsi"/>
          <w:color w:val="000000" w:themeColor="text1"/>
        </w:rPr>
        <w:t xml:space="preserve">nclear or outdated standards </w:t>
      </w:r>
      <w:r w:rsidRPr="00267F53">
        <w:rPr>
          <w:rFonts w:cstheme="minorHAnsi"/>
          <w:color w:val="000000" w:themeColor="text1"/>
        </w:rPr>
        <w:t xml:space="preserve">can lead to inconsistencies in the interpretation and application of regulatory requirements (including by </w:t>
      </w:r>
      <w:r w:rsidR="009D075D" w:rsidRPr="00267F53">
        <w:rPr>
          <w:rFonts w:cstheme="minorHAnsi"/>
          <w:color w:val="000000" w:themeColor="text1"/>
        </w:rPr>
        <w:t xml:space="preserve">both </w:t>
      </w:r>
      <w:r w:rsidRPr="00267F53">
        <w:rPr>
          <w:rFonts w:cstheme="minorHAnsi"/>
          <w:color w:val="000000" w:themeColor="text1"/>
        </w:rPr>
        <w:t xml:space="preserve">industry and regulatory agencies). </w:t>
      </w:r>
      <w:r w:rsidR="006509B3" w:rsidRPr="00267F53">
        <w:rPr>
          <w:rFonts w:cstheme="minorHAnsi"/>
          <w:color w:val="000000" w:themeColor="text1"/>
        </w:rPr>
        <w:t>The impacts of this include:</w:t>
      </w:r>
    </w:p>
    <w:p w14:paraId="39474E1E" w14:textId="77777777" w:rsidR="006509B3" w:rsidRPr="00267F53" w:rsidRDefault="006509B3" w:rsidP="004B4BA3">
      <w:pPr>
        <w:rPr>
          <w:rFonts w:cstheme="minorHAnsi"/>
          <w:color w:val="000000" w:themeColor="text1"/>
        </w:rPr>
      </w:pPr>
    </w:p>
    <w:p w14:paraId="7F8C9E1A" w14:textId="77777777" w:rsidR="006509B3" w:rsidRPr="00267F53" w:rsidRDefault="006509B3" w:rsidP="004B4BA3">
      <w:pPr>
        <w:pStyle w:val="Bullet1"/>
      </w:pPr>
      <w:r w:rsidRPr="00267F53">
        <w:t xml:space="preserve">unnecessary increases to the cost of complying with regulations where the Code is not clear </w:t>
      </w:r>
    </w:p>
    <w:p w14:paraId="509A370B" w14:textId="77777777" w:rsidR="006509B3" w:rsidRPr="00267F53" w:rsidRDefault="006509B3" w:rsidP="004B4BA3">
      <w:pPr>
        <w:pStyle w:val="Bullet1"/>
      </w:pPr>
      <w:r w:rsidRPr="00267F53">
        <w:t xml:space="preserve">some food businesses not fully understanding the regulations, leading to non-compliance with food safety requirements </w:t>
      </w:r>
    </w:p>
    <w:p w14:paraId="473E748B" w14:textId="77777777" w:rsidR="009D075D" w:rsidRPr="00267F53" w:rsidRDefault="009D075D" w:rsidP="006509B3">
      <w:pPr>
        <w:pStyle w:val="Bullet1"/>
      </w:pPr>
      <w:r w:rsidRPr="00267F53">
        <w:t>disadvanta</w:t>
      </w:r>
      <w:r w:rsidR="00B51F31" w:rsidRPr="00267F53">
        <w:t>ges to</w:t>
      </w:r>
      <w:r w:rsidRPr="00267F53">
        <w:t xml:space="preserve"> small businesses without the expertise/resources to </w:t>
      </w:r>
      <w:r w:rsidRPr="00267F53">
        <w:rPr>
          <w:rFonts w:cstheme="minorHAnsi"/>
        </w:rPr>
        <w:t xml:space="preserve">interpret standards and effectively apply requirements to their business </w:t>
      </w:r>
    </w:p>
    <w:p w14:paraId="4209C047" w14:textId="77777777" w:rsidR="009D075D" w:rsidRPr="00267F53" w:rsidRDefault="006509B3" w:rsidP="006509B3">
      <w:pPr>
        <w:pStyle w:val="Bullet1"/>
      </w:pPr>
      <w:r w:rsidRPr="00267F53">
        <w:t>financial losses to food businesses where the way they have interpreted requirements does not align with that of regulatory agencies</w:t>
      </w:r>
    </w:p>
    <w:p w14:paraId="0B223E16" w14:textId="77777777" w:rsidR="006509B3" w:rsidRPr="00267F53" w:rsidRDefault="009D075D" w:rsidP="006509B3">
      <w:pPr>
        <w:pStyle w:val="Bullet1"/>
      </w:pPr>
      <w:r w:rsidRPr="00267F53">
        <w:t xml:space="preserve">food waste, where non-compliant </w:t>
      </w:r>
      <w:r w:rsidR="006509B3" w:rsidRPr="00267F53">
        <w:t xml:space="preserve">products are required to be recalled and/or destroyed </w:t>
      </w:r>
    </w:p>
    <w:p w14:paraId="3BB480BF" w14:textId="77777777" w:rsidR="006509B3" w:rsidRPr="00267F53" w:rsidRDefault="0067611E" w:rsidP="006509B3">
      <w:pPr>
        <w:pStyle w:val="Bullet1"/>
      </w:pPr>
      <w:r w:rsidRPr="00267F53">
        <w:t>restricting the availability of certain products to consumers in Australia and New Zealand (</w:t>
      </w:r>
      <w:r w:rsidR="00C573F4" w:rsidRPr="00267F53">
        <w:t>e.g.,</w:t>
      </w:r>
      <w:r w:rsidRPr="00267F53">
        <w:t xml:space="preserve"> where these are not appropriately considered in the Code)</w:t>
      </w:r>
    </w:p>
    <w:p w14:paraId="16BC066A" w14:textId="77777777" w:rsidR="006509B3" w:rsidRPr="00267F53" w:rsidRDefault="006509B3" w:rsidP="006509B3">
      <w:pPr>
        <w:keepNext/>
        <w:rPr>
          <w:rFonts w:cstheme="minorHAnsi"/>
        </w:rPr>
      </w:pPr>
    </w:p>
    <w:p w14:paraId="464EE0FB" w14:textId="77777777" w:rsidR="009D075D" w:rsidRPr="00267F53" w:rsidRDefault="009D075D" w:rsidP="00D947C0">
      <w:r w:rsidRPr="00267F53">
        <w:rPr>
          <w:rFonts w:cstheme="minorHAnsi"/>
        </w:rPr>
        <w:t>I</w:t>
      </w:r>
      <w:r w:rsidR="006509B3" w:rsidRPr="00267F53">
        <w:rPr>
          <w:rFonts w:cstheme="minorHAnsi"/>
        </w:rPr>
        <w:t xml:space="preserve">nconsistencies </w:t>
      </w:r>
      <w:r w:rsidRPr="00267F53">
        <w:rPr>
          <w:rFonts w:cstheme="minorHAnsi"/>
        </w:rPr>
        <w:t>predominantly arise from</w:t>
      </w:r>
      <w:r w:rsidR="006509B3" w:rsidRPr="00267F53">
        <w:rPr>
          <w:rFonts w:cstheme="minorHAnsi"/>
        </w:rPr>
        <w:t xml:space="preserve"> either</w:t>
      </w:r>
      <w:r w:rsidRPr="00267F53">
        <w:rPr>
          <w:rFonts w:cstheme="minorHAnsi"/>
        </w:rPr>
        <w:t xml:space="preserve"> </w:t>
      </w:r>
      <w:r w:rsidR="006509B3" w:rsidRPr="00267F53">
        <w:t>‘gaps’ in the Code where the Code has not been updated to keep pace with industry innovation and practic</w:t>
      </w:r>
      <w:r w:rsidRPr="00267F53">
        <w:t>e,</w:t>
      </w:r>
      <w:r w:rsidR="006509B3" w:rsidRPr="00267F53">
        <w:t xml:space="preserve"> </w:t>
      </w:r>
      <w:r w:rsidRPr="00267F53">
        <w:t xml:space="preserve">or </w:t>
      </w:r>
      <w:r w:rsidR="006509B3" w:rsidRPr="00267F53">
        <w:t xml:space="preserve">a lack of clarity in the wording </w:t>
      </w:r>
      <w:r w:rsidRPr="00267F53">
        <w:t xml:space="preserve">or intent </w:t>
      </w:r>
      <w:r w:rsidR="006509B3" w:rsidRPr="00267F53">
        <w:t>of</w:t>
      </w:r>
      <w:r w:rsidRPr="00267F53">
        <w:t xml:space="preserve"> the Code.</w:t>
      </w:r>
    </w:p>
    <w:p w14:paraId="5B19DA2B" w14:textId="77777777" w:rsidR="00B12DAC" w:rsidRPr="00267F53" w:rsidRDefault="00B12DAC" w:rsidP="00D947C0"/>
    <w:p w14:paraId="09D38D6C" w14:textId="77777777" w:rsidR="00B12DAC" w:rsidRPr="00267F53" w:rsidRDefault="00B12DAC" w:rsidP="00D947C0">
      <w:pPr>
        <w:pStyle w:val="Bullet1"/>
        <w:numPr>
          <w:ilvl w:val="0"/>
          <w:numId w:val="0"/>
        </w:numPr>
      </w:pPr>
      <w:r w:rsidRPr="00267F53">
        <w:t>It is critical that the process for developing and amending standards is responsive, timely, risk</w:t>
      </w:r>
      <w:r w:rsidRPr="00267F53">
        <w:noBreakHyphen/>
        <w:t xml:space="preserve">proportional and wherever </w:t>
      </w:r>
      <w:r w:rsidR="00B51F31" w:rsidRPr="00267F53">
        <w:t>appropriate</w:t>
      </w:r>
      <w:r w:rsidRPr="00267F53">
        <w:t>, seeks harmonisation with international standards and regulations. This is important to enable the Australia and New Zealand food industry to innovate and compete on the world market. It is also important for public health and safety that standards are maintained in line with current, international scientific evidence.</w:t>
      </w:r>
    </w:p>
    <w:p w14:paraId="13E52DFF" w14:textId="77777777" w:rsidR="006509B3" w:rsidRPr="00267F53" w:rsidRDefault="006509B3" w:rsidP="009D075D">
      <w:pPr>
        <w:keepNext/>
      </w:pPr>
    </w:p>
    <w:p w14:paraId="5A22473B" w14:textId="77777777" w:rsidR="00E61B66" w:rsidRPr="00267F53" w:rsidRDefault="0079735C" w:rsidP="00730AF9">
      <w:pPr>
        <w:pStyle w:val="Boldbullet1"/>
        <w:numPr>
          <w:ilvl w:val="0"/>
          <w:numId w:val="0"/>
        </w:numPr>
        <w:pBdr>
          <w:top w:val="single" w:sz="4" w:space="1" w:color="auto"/>
          <w:left w:val="single" w:sz="4" w:space="4" w:color="auto"/>
          <w:bottom w:val="single" w:sz="4" w:space="0" w:color="auto"/>
          <w:right w:val="single" w:sz="4" w:space="4" w:color="auto"/>
        </w:pBdr>
        <w:ind w:left="360" w:hanging="360"/>
        <w:rPr>
          <w:rFonts w:asciiTheme="minorHAnsi" w:eastAsia="Times New Roman" w:hAnsiTheme="minorHAnsi" w:cstheme="minorHAnsi"/>
          <w:bCs/>
          <w:iCs w:val="0"/>
          <w:lang w:eastAsia="en-GB"/>
        </w:rPr>
      </w:pPr>
      <w:r w:rsidRPr="00267F53">
        <w:rPr>
          <w:rFonts w:asciiTheme="minorHAnsi" w:eastAsia="Times New Roman" w:hAnsiTheme="minorHAnsi" w:cstheme="minorHAnsi"/>
          <w:bCs/>
          <w:iCs w:val="0"/>
          <w:lang w:eastAsia="en-GB"/>
        </w:rPr>
        <w:t xml:space="preserve">Regulation of food </w:t>
      </w:r>
      <w:r w:rsidR="006E0959" w:rsidRPr="00267F53">
        <w:rPr>
          <w:rFonts w:asciiTheme="minorHAnsi" w:eastAsia="Times New Roman" w:hAnsiTheme="minorHAnsi" w:cstheme="minorHAnsi"/>
          <w:bCs/>
          <w:iCs w:val="0"/>
          <w:lang w:eastAsia="en-GB"/>
        </w:rPr>
        <w:t>businesses</w:t>
      </w:r>
      <w:r w:rsidRPr="00267F53">
        <w:rPr>
          <w:rFonts w:asciiTheme="minorHAnsi" w:eastAsia="Times New Roman" w:hAnsiTheme="minorHAnsi" w:cstheme="minorHAnsi"/>
          <w:bCs/>
          <w:iCs w:val="0"/>
          <w:lang w:eastAsia="en-GB"/>
        </w:rPr>
        <w:t xml:space="preserve"> across jurisdictions within Australia</w:t>
      </w:r>
    </w:p>
    <w:p w14:paraId="70139A17" w14:textId="77777777" w:rsidR="006E0959" w:rsidRPr="00267F53" w:rsidRDefault="006E0959" w:rsidP="005B36D4">
      <w:pPr>
        <w:pStyle w:val="mpcbullets1"/>
        <w:keepNext/>
        <w:numPr>
          <w:ilvl w:val="0"/>
          <w:numId w:val="0"/>
        </w:numPr>
      </w:pPr>
    </w:p>
    <w:p w14:paraId="3B0B67A1" w14:textId="77777777" w:rsidR="009111AD" w:rsidRPr="00267F53" w:rsidRDefault="009111AD" w:rsidP="005B36D4">
      <w:pPr>
        <w:pStyle w:val="mpcbullets1"/>
        <w:keepNext/>
        <w:numPr>
          <w:ilvl w:val="0"/>
          <w:numId w:val="0"/>
        </w:numPr>
      </w:pPr>
      <w:r w:rsidRPr="00267F53">
        <w:t>This issue was raised by a number of government bodies and food businesses – particularly in relation to the registration and classification of businesses</w:t>
      </w:r>
      <w:r w:rsidR="005B36D4" w:rsidRPr="00267F53">
        <w:t xml:space="preserve">, </w:t>
      </w:r>
      <w:r w:rsidRPr="00267F53">
        <w:t>requirements around food safety programs and food safety supervisors</w:t>
      </w:r>
      <w:r w:rsidR="005B36D4" w:rsidRPr="00267F53">
        <w:t xml:space="preserve"> and approaches to audits</w:t>
      </w:r>
      <w:r w:rsidRPr="00267F53">
        <w:t>.</w:t>
      </w:r>
    </w:p>
    <w:p w14:paraId="3F936E52" w14:textId="77777777" w:rsidR="004B4BA3" w:rsidRPr="00267F53" w:rsidRDefault="004B4BA3" w:rsidP="009111AD">
      <w:pPr>
        <w:pStyle w:val="mpcbullets1"/>
        <w:numPr>
          <w:ilvl w:val="0"/>
          <w:numId w:val="0"/>
        </w:numPr>
      </w:pPr>
    </w:p>
    <w:p w14:paraId="15FC09AC" w14:textId="77777777" w:rsidR="00EF6C2F" w:rsidRPr="00267F53" w:rsidRDefault="004B4BA3" w:rsidP="00EF6C2F">
      <w:pPr>
        <w:pStyle w:val="mpcbullets1"/>
        <w:numPr>
          <w:ilvl w:val="0"/>
          <w:numId w:val="0"/>
        </w:numPr>
      </w:pPr>
      <w:r w:rsidRPr="00267F53">
        <w:t>Inconsistencies in how food safety requirements are implemented and administered by each jurisdiction can result in an uneven playing field or market disadvantage based on the jurisdiction a business is located in. For food businesses with premises across multiple jurisdictions, it</w:t>
      </w:r>
      <w:r w:rsidR="00B51F31" w:rsidRPr="00267F53">
        <w:t xml:space="preserve"> can also</w:t>
      </w:r>
      <w:r w:rsidRPr="00267F53">
        <w:t xml:space="preserve"> create significant duplication – </w:t>
      </w:r>
      <w:r w:rsidR="00EF6C2F" w:rsidRPr="00267F53">
        <w:t>with some stakeholders highlighting they</w:t>
      </w:r>
      <w:r w:rsidRPr="00267F53">
        <w:t xml:space="preserve"> requir</w:t>
      </w:r>
      <w:r w:rsidR="00EF6C2F" w:rsidRPr="00267F53">
        <w:t>e</w:t>
      </w:r>
      <w:r w:rsidRPr="00267F53">
        <w:t xml:space="preserve"> a specified person to manage regulatory compliance in each jurisdiction</w:t>
      </w:r>
      <w:r w:rsidR="00EF6C2F" w:rsidRPr="00267F53">
        <w:t>. Not being able to implement a single food safety program across premises located in different jurisdictions means food safety management cannot be effectively compared across premises, restricting the ability of food businesses to identify areas for improvement in food safety management and adopt systems and processes across the business.</w:t>
      </w:r>
      <w:r w:rsidR="00CB1830" w:rsidRPr="00267F53">
        <w:t xml:space="preserve"> Given there are more than 95,000 food premises across Australia</w:t>
      </w:r>
      <w:r w:rsidR="00CB1830" w:rsidRPr="00267F53">
        <w:rPr>
          <w:rStyle w:val="FootnoteReference"/>
        </w:rPr>
        <w:footnoteReference w:id="8"/>
      </w:r>
      <w:r w:rsidR="00CB1830" w:rsidRPr="00267F53">
        <w:t xml:space="preserve">, the impact of this can be significant. </w:t>
      </w:r>
    </w:p>
    <w:p w14:paraId="010BC2B6" w14:textId="77777777" w:rsidR="00CB1830" w:rsidRPr="00267F53" w:rsidRDefault="00CB1830" w:rsidP="00CB1830">
      <w:pPr>
        <w:pStyle w:val="mpcbullets1"/>
        <w:numPr>
          <w:ilvl w:val="0"/>
          <w:numId w:val="0"/>
        </w:numPr>
        <w:rPr>
          <w:rFonts w:cstheme="minorHAnsi"/>
          <w:color w:val="000000" w:themeColor="text1"/>
        </w:rPr>
      </w:pPr>
    </w:p>
    <w:p w14:paraId="3B396E93" w14:textId="77777777" w:rsidR="00CB1830" w:rsidRPr="00267F53" w:rsidRDefault="00CB1830" w:rsidP="00CB1830">
      <w:pPr>
        <w:pStyle w:val="mpcbullets1"/>
        <w:numPr>
          <w:ilvl w:val="0"/>
          <w:numId w:val="0"/>
        </w:numPr>
        <w:rPr>
          <w:rFonts w:cstheme="minorHAnsi"/>
          <w:color w:val="000000" w:themeColor="text1"/>
        </w:rPr>
      </w:pPr>
      <w:r w:rsidRPr="00267F53">
        <w:rPr>
          <w:rFonts w:cstheme="minorHAnsi"/>
          <w:color w:val="000000" w:themeColor="text1"/>
        </w:rPr>
        <w:t>In New Zealand, food businesses with premises based in more than one local council area can either register each premise with the local council in each area or register all premises under one registration with MPI. A consistent food control plan or national programme template is available (based on the risk classification of the business) which can be used to demonstrate compliance regardless of the location of the premise.</w:t>
      </w:r>
      <w:r w:rsidRPr="00267F53">
        <w:rPr>
          <w:rStyle w:val="FootnoteReference"/>
          <w:rFonts w:cstheme="minorHAnsi"/>
          <w:color w:val="000000" w:themeColor="text1"/>
        </w:rPr>
        <w:footnoteReference w:id="9"/>
      </w:r>
    </w:p>
    <w:p w14:paraId="2553C88F" w14:textId="77777777" w:rsidR="00EF6C2F" w:rsidRPr="00267F53" w:rsidRDefault="00EF6C2F" w:rsidP="009111AD">
      <w:pPr>
        <w:pStyle w:val="mpcbullets1"/>
        <w:numPr>
          <w:ilvl w:val="0"/>
          <w:numId w:val="0"/>
        </w:numPr>
      </w:pPr>
    </w:p>
    <w:p w14:paraId="1A41DC03" w14:textId="77777777" w:rsidR="00EF6C2F" w:rsidRPr="00267F53" w:rsidRDefault="00CB1830" w:rsidP="00EF6C2F">
      <w:pPr>
        <w:pStyle w:val="mpcbullets1"/>
        <w:numPr>
          <w:ilvl w:val="0"/>
          <w:numId w:val="0"/>
        </w:numPr>
      </w:pPr>
      <w:r w:rsidRPr="00267F53">
        <w:t>I</w:t>
      </w:r>
      <w:r w:rsidR="00EF6C2F" w:rsidRPr="00267F53">
        <w:t>nconsistencies</w:t>
      </w:r>
      <w:r w:rsidRPr="00267F53">
        <w:t xml:space="preserve"> between Australian jurisdictions</w:t>
      </w:r>
      <w:r w:rsidR="00EF6C2F" w:rsidRPr="00267F53">
        <w:t xml:space="preserve"> also impact on the ability of government regulatory agencies to adopt a streamlined approach to monitoring sector compliance, collate consistent data across the sector, share compliance information and analyse trends. </w:t>
      </w:r>
    </w:p>
    <w:p w14:paraId="6BA20C32" w14:textId="77777777" w:rsidR="005B36D4" w:rsidRPr="00267F53" w:rsidRDefault="005B36D4" w:rsidP="00EF6C2F">
      <w:pPr>
        <w:pStyle w:val="mpcbullets1"/>
        <w:numPr>
          <w:ilvl w:val="0"/>
          <w:numId w:val="0"/>
        </w:numPr>
        <w:rPr>
          <w:rFonts w:cstheme="minorHAnsi"/>
          <w:color w:val="000000" w:themeColor="text1"/>
        </w:rPr>
      </w:pPr>
    </w:p>
    <w:p w14:paraId="42BAC157" w14:textId="77777777" w:rsidR="00E61B66" w:rsidRPr="00267F53" w:rsidRDefault="00E61B66" w:rsidP="001F1CA2">
      <w:pPr>
        <w:pStyle w:val="mpcbullets1"/>
        <w:numPr>
          <w:ilvl w:val="0"/>
          <w:numId w:val="0"/>
        </w:numPr>
      </w:pPr>
    </w:p>
    <w:p w14:paraId="11980518" w14:textId="77777777" w:rsidR="009111AD" w:rsidRPr="00267F53" w:rsidRDefault="009111AD" w:rsidP="009111AD">
      <w:pPr>
        <w:pStyle w:val="Heading1"/>
      </w:pPr>
      <w:r w:rsidRPr="00267F53">
        <w:br w:type="column"/>
      </w:r>
      <w:bookmarkStart w:id="46" w:name="_Toc65059149"/>
      <w:r w:rsidRPr="00267F53">
        <w:lastRenderedPageBreak/>
        <w:t>Chapter 4: Next steps</w:t>
      </w:r>
      <w:bookmarkEnd w:id="46"/>
    </w:p>
    <w:p w14:paraId="10081F12" w14:textId="77777777" w:rsidR="009111AD" w:rsidRPr="00267F53" w:rsidRDefault="009111AD" w:rsidP="00222482">
      <w:pPr>
        <w:pStyle w:val="mpcbullets1"/>
        <w:numPr>
          <w:ilvl w:val="0"/>
          <w:numId w:val="0"/>
        </w:numPr>
      </w:pPr>
    </w:p>
    <w:p w14:paraId="229CB59B" w14:textId="77777777" w:rsidR="009111AD" w:rsidRPr="00267F53" w:rsidRDefault="009111AD" w:rsidP="009111AD">
      <w:pPr>
        <w:rPr>
          <w:rFonts w:ascii="Calibri" w:hAnsi="Calibri" w:cs="Calibri"/>
        </w:rPr>
      </w:pPr>
      <w:r w:rsidRPr="00267F53">
        <w:rPr>
          <w:rFonts w:ascii="Calibri" w:hAnsi="Calibri" w:cs="Calibri"/>
        </w:rPr>
        <w:t>In March 2020, the Australian New Zealand Forum on Food Regulation (the Forum) endorsed an implementation plan for an ambitious reform agenda for the food regulatory system aimed at ensuring the system remains strong, robust and agile into the future. The reform agenda is being progressed through a number of interconnected projects, including:</w:t>
      </w:r>
    </w:p>
    <w:p w14:paraId="70EFBA65" w14:textId="77777777" w:rsidR="009111AD" w:rsidRPr="00267F53" w:rsidRDefault="009111AD" w:rsidP="009111AD">
      <w:pPr>
        <w:rPr>
          <w:rFonts w:ascii="Calibri" w:hAnsi="Calibri" w:cs="Calibri"/>
        </w:rPr>
      </w:pPr>
    </w:p>
    <w:p w14:paraId="37CEB2A6" w14:textId="77777777" w:rsidR="009111AD" w:rsidRPr="00267F53" w:rsidRDefault="009111AD" w:rsidP="009111AD">
      <w:pPr>
        <w:pStyle w:val="mpcbullets1"/>
      </w:pPr>
      <w:r w:rsidRPr="00267F53">
        <w:t xml:space="preserve">the review of the </w:t>
      </w:r>
      <w:r w:rsidR="00631FBD" w:rsidRPr="00267F53">
        <w:t>F</w:t>
      </w:r>
      <w:r w:rsidRPr="00267F53">
        <w:t xml:space="preserve">ood </w:t>
      </w:r>
      <w:r w:rsidR="00631FBD" w:rsidRPr="00267F53">
        <w:t>Regulation</w:t>
      </w:r>
      <w:r w:rsidRPr="00267F53">
        <w:t xml:space="preserve"> Agreement (FRA)</w:t>
      </w:r>
    </w:p>
    <w:p w14:paraId="0FA84AD2" w14:textId="77777777" w:rsidR="00631FBD" w:rsidRPr="00267F53" w:rsidRDefault="00631FBD" w:rsidP="009111AD">
      <w:pPr>
        <w:pStyle w:val="mpcbullets1"/>
      </w:pPr>
      <w:r w:rsidRPr="00267F53">
        <w:t>the implementation of new operational processes to support the system’s governance</w:t>
      </w:r>
    </w:p>
    <w:p w14:paraId="464B1CD3" w14:textId="77777777" w:rsidR="00631FBD" w:rsidRPr="00267F53" w:rsidRDefault="00631FBD" w:rsidP="009111AD">
      <w:pPr>
        <w:pStyle w:val="mpcbullets1"/>
      </w:pPr>
      <w:r w:rsidRPr="00267F53">
        <w:t xml:space="preserve">the review of the </w:t>
      </w:r>
      <w:r w:rsidRPr="00C573F4">
        <w:rPr>
          <w:i/>
          <w:iCs/>
        </w:rPr>
        <w:t>Food Standards Australia New Zealand Act 1991</w:t>
      </w:r>
      <w:r w:rsidRPr="00267F53">
        <w:t>.</w:t>
      </w:r>
    </w:p>
    <w:p w14:paraId="4A9DAFE1" w14:textId="77777777" w:rsidR="00631FBD" w:rsidRPr="00267F53" w:rsidRDefault="00631FBD" w:rsidP="00631FBD">
      <w:pPr>
        <w:pStyle w:val="mpcbullets1"/>
        <w:numPr>
          <w:ilvl w:val="0"/>
          <w:numId w:val="0"/>
        </w:numPr>
        <w:ind w:left="360" w:hanging="360"/>
      </w:pPr>
    </w:p>
    <w:p w14:paraId="1E7133CA" w14:textId="77777777" w:rsidR="00EB63E4" w:rsidRPr="00267F53" w:rsidRDefault="009111AD" w:rsidP="00631FBD">
      <w:pPr>
        <w:rPr>
          <w:rFonts w:ascii="Calibri" w:hAnsi="Calibri" w:cs="Calibri"/>
        </w:rPr>
      </w:pPr>
      <w:r w:rsidRPr="00267F53">
        <w:rPr>
          <w:rFonts w:ascii="Calibri" w:hAnsi="Calibri" w:cs="Calibri"/>
        </w:rPr>
        <w:t xml:space="preserve">It is expected that </w:t>
      </w:r>
      <w:r w:rsidR="00631FBD" w:rsidRPr="00267F53">
        <w:rPr>
          <w:rFonts w:ascii="Calibri" w:hAnsi="Calibri" w:cs="Calibri"/>
        </w:rPr>
        <w:t>outcomes from this work will feed into the above projects to assist in informing priority areas for reform. This will enable governments to make evidence</w:t>
      </w:r>
      <w:r w:rsidR="00631FBD" w:rsidRPr="00267F53">
        <w:rPr>
          <w:rFonts w:ascii="Calibri" w:hAnsi="Calibri" w:cs="Calibri"/>
        </w:rPr>
        <w:noBreakHyphen/>
        <w:t xml:space="preserve">based decisions regarding the future of the food regulatory system. </w:t>
      </w:r>
    </w:p>
    <w:p w14:paraId="77DC992E" w14:textId="77777777" w:rsidR="005B36D4" w:rsidRPr="00267F53" w:rsidRDefault="005B36D4" w:rsidP="005B36D4">
      <w:pPr>
        <w:pStyle w:val="mpcbullets1"/>
        <w:numPr>
          <w:ilvl w:val="0"/>
          <w:numId w:val="0"/>
        </w:numPr>
        <w:ind w:left="360" w:hanging="360"/>
      </w:pPr>
    </w:p>
    <w:p w14:paraId="64ED80E1" w14:textId="77777777" w:rsidR="005B36D4" w:rsidRPr="00267F53" w:rsidRDefault="005B36D4" w:rsidP="005B36D4">
      <w:pPr>
        <w:pStyle w:val="mpcbullets1"/>
        <w:numPr>
          <w:ilvl w:val="0"/>
          <w:numId w:val="0"/>
        </w:numPr>
      </w:pPr>
      <w:r w:rsidRPr="00267F53">
        <w:t xml:space="preserve">It is acknowledged that, in a </w:t>
      </w:r>
      <w:r w:rsidR="00C573F4">
        <w:t xml:space="preserve">bi-national and </w:t>
      </w:r>
      <w:r w:rsidRPr="00267F53">
        <w:t xml:space="preserve">federated system, </w:t>
      </w:r>
      <w:r w:rsidR="00001DA6" w:rsidRPr="00267F53">
        <w:t>there</w:t>
      </w:r>
      <w:r w:rsidRPr="00267F53">
        <w:t xml:space="preserve"> will necessarily be different approaches to administering regulations and to monitoring, assessing and enforcing compliance based on the systemic differences and different regulatory priorities between </w:t>
      </w:r>
      <w:r w:rsidR="00C573F4">
        <w:t xml:space="preserve">countries and </w:t>
      </w:r>
      <w:r w:rsidRPr="00267F53">
        <w:t xml:space="preserve">jurisdictions. </w:t>
      </w:r>
    </w:p>
    <w:p w14:paraId="06762BA8" w14:textId="77777777" w:rsidR="005B36D4" w:rsidRPr="00267F53" w:rsidRDefault="005B36D4" w:rsidP="005B36D4">
      <w:pPr>
        <w:pStyle w:val="mpcbullets1"/>
        <w:numPr>
          <w:ilvl w:val="0"/>
          <w:numId w:val="0"/>
        </w:numPr>
      </w:pPr>
    </w:p>
    <w:p w14:paraId="0F4EEF8C" w14:textId="49720BC9" w:rsidR="00030727" w:rsidRPr="00EA2F54" w:rsidRDefault="005B36D4" w:rsidP="00EA2F54">
      <w:pPr>
        <w:pStyle w:val="mpcbullets1"/>
        <w:numPr>
          <w:ilvl w:val="0"/>
          <w:numId w:val="0"/>
        </w:numPr>
      </w:pPr>
      <w:r w:rsidRPr="00267F53">
        <w:t xml:space="preserve">However, this report identifies </w:t>
      </w:r>
      <w:proofErr w:type="gramStart"/>
      <w:r w:rsidRPr="00267F53">
        <w:t>a number of</w:t>
      </w:r>
      <w:proofErr w:type="gramEnd"/>
      <w:r w:rsidRPr="00267F53">
        <w:t xml:space="preserve"> areas of impact where government attention could be focused to help improve consistency </w:t>
      </w:r>
      <w:r w:rsidR="00CB1830" w:rsidRPr="00267F53">
        <w:t>while</w:t>
      </w:r>
      <w:r w:rsidRPr="00267F53">
        <w:t xml:space="preserve"> maintain</w:t>
      </w:r>
      <w:r w:rsidR="00CB1830" w:rsidRPr="00267F53">
        <w:t>ing</w:t>
      </w:r>
      <w:r w:rsidRPr="00267F53">
        <w:t xml:space="preserve"> food safety outcomes. </w:t>
      </w:r>
      <w:bookmarkStart w:id="47" w:name="_Chapter_8:_Other"/>
      <w:bookmarkEnd w:id="47"/>
    </w:p>
    <w:p w14:paraId="6248836E" w14:textId="77777777" w:rsidR="003D54D9" w:rsidRPr="00267F53" w:rsidRDefault="00FB3600" w:rsidP="003D54D9">
      <w:pPr>
        <w:pStyle w:val="Heading1"/>
      </w:pPr>
      <w:bookmarkStart w:id="48" w:name="_Attachment_A:_Existing"/>
      <w:bookmarkEnd w:id="48"/>
      <w:r w:rsidRPr="00267F53">
        <w:br w:type="column"/>
      </w:r>
      <w:bookmarkStart w:id="49" w:name="_Toc65059150"/>
      <w:r w:rsidR="003D54D9" w:rsidRPr="00267F53">
        <w:lastRenderedPageBreak/>
        <w:t xml:space="preserve">Attachment A: Existing mechanisms to promote consistency in food </w:t>
      </w:r>
      <w:proofErr w:type="gramStart"/>
      <w:r w:rsidR="003D54D9" w:rsidRPr="00267F53">
        <w:t>regulation</w:t>
      </w:r>
      <w:bookmarkEnd w:id="49"/>
      <w:proofErr w:type="gramEnd"/>
      <w:r w:rsidR="003D54D9" w:rsidRPr="00267F53">
        <w:t xml:space="preserve"> </w:t>
      </w:r>
    </w:p>
    <w:p w14:paraId="12E70E4C" w14:textId="77777777" w:rsidR="003D54D9" w:rsidRPr="00267F53" w:rsidRDefault="003D54D9" w:rsidP="003D54D9">
      <w:pPr>
        <w:rPr>
          <w:lang w:bidi="th-TH"/>
        </w:rPr>
      </w:pPr>
    </w:p>
    <w:p w14:paraId="451C2C56" w14:textId="77777777" w:rsidR="003D54D9" w:rsidRPr="00267F53" w:rsidRDefault="003D54D9" w:rsidP="003D54D9">
      <w:pPr>
        <w:rPr>
          <w:lang w:bidi="th-TH"/>
        </w:rPr>
      </w:pPr>
      <w:r w:rsidRPr="00267F53">
        <w:rPr>
          <w:lang w:bidi="th-TH"/>
        </w:rPr>
        <w:t>There are currently a number of mechanisms aimed at supporting national and bi-national consistency of food regulation:</w:t>
      </w:r>
    </w:p>
    <w:p w14:paraId="64DDB7F5" w14:textId="77777777" w:rsidR="003D54D9" w:rsidRPr="00267F53" w:rsidRDefault="003D54D9" w:rsidP="003D54D9">
      <w:pPr>
        <w:pStyle w:val="TableofAuthorities"/>
        <w:rPr>
          <w:lang w:bidi="th-TH"/>
        </w:rPr>
      </w:pPr>
    </w:p>
    <w:p w14:paraId="28E70E3E" w14:textId="77777777" w:rsidR="00E43631" w:rsidRPr="00267F53" w:rsidRDefault="003D54D9" w:rsidP="003D54D9">
      <w:pPr>
        <w:pStyle w:val="Bullet1"/>
        <w:rPr>
          <w:lang w:bidi="th-TH"/>
        </w:rPr>
      </w:pPr>
      <w:r w:rsidRPr="00267F53">
        <w:rPr>
          <w:lang w:bidi="th-TH"/>
        </w:rPr>
        <w:t xml:space="preserve">One of the objectives of the </w:t>
      </w:r>
      <w:r w:rsidRPr="00267F53">
        <w:rPr>
          <w:b/>
          <w:bCs w:val="0"/>
          <w:lang w:bidi="th-TH"/>
        </w:rPr>
        <w:t>Food Regulation Agreement</w:t>
      </w:r>
      <w:r w:rsidRPr="00267F53">
        <w:rPr>
          <w:lang w:bidi="th-TH"/>
        </w:rPr>
        <w:t xml:space="preserve"> (the FRA) is to provide a consistent regulatory approach across Australia through nationally agreed policy, standards and enforcement procedures. </w:t>
      </w:r>
    </w:p>
    <w:p w14:paraId="431A2B01" w14:textId="77777777" w:rsidR="00E43631" w:rsidRPr="00267F53" w:rsidRDefault="00E43631" w:rsidP="00E43631">
      <w:pPr>
        <w:pStyle w:val="Bullet1"/>
        <w:numPr>
          <w:ilvl w:val="0"/>
          <w:numId w:val="0"/>
        </w:numPr>
        <w:rPr>
          <w:lang w:bidi="th-TH"/>
        </w:rPr>
      </w:pPr>
    </w:p>
    <w:p w14:paraId="5DF08DF8" w14:textId="77777777" w:rsidR="003D54D9" w:rsidRPr="00267F53" w:rsidRDefault="003D54D9" w:rsidP="003D54D9">
      <w:pPr>
        <w:pStyle w:val="Bullet1"/>
        <w:rPr>
          <w:lang w:bidi="th-TH"/>
        </w:rPr>
      </w:pPr>
      <w:r w:rsidRPr="00267F53">
        <w:rPr>
          <w:lang w:bidi="th-TH"/>
        </w:rPr>
        <w:t xml:space="preserve">Likewise, the </w:t>
      </w:r>
      <w:r w:rsidRPr="00267F53">
        <w:rPr>
          <w:b/>
          <w:bCs w:val="0"/>
          <w:lang w:bidi="th-TH"/>
        </w:rPr>
        <w:t>Joint Treaty</w:t>
      </w:r>
      <w:r w:rsidRPr="00267F53">
        <w:rPr>
          <w:lang w:bidi="th-TH"/>
        </w:rPr>
        <w:t xml:space="preserve"> with New Zealand aims to reduce unnecessary barriers to trade between the two countries, including through a joint system for the development and promulgation of food standards.</w:t>
      </w:r>
    </w:p>
    <w:p w14:paraId="70833D4E" w14:textId="77777777" w:rsidR="00E43631" w:rsidRPr="00267F53" w:rsidRDefault="00E43631" w:rsidP="00E43631">
      <w:pPr>
        <w:pStyle w:val="Bullet1"/>
        <w:numPr>
          <w:ilvl w:val="0"/>
          <w:numId w:val="0"/>
        </w:numPr>
        <w:ind w:left="360" w:hanging="360"/>
        <w:rPr>
          <w:lang w:bidi="th-TH"/>
        </w:rPr>
      </w:pPr>
    </w:p>
    <w:p w14:paraId="75D3CDD9" w14:textId="77777777" w:rsidR="003D54D9" w:rsidRPr="00267F53" w:rsidRDefault="003D54D9" w:rsidP="003D54D9">
      <w:pPr>
        <w:pStyle w:val="Bullet1"/>
        <w:rPr>
          <w:rFonts w:asciiTheme="minorHAnsi" w:hAnsiTheme="minorHAnsi" w:cstheme="minorHAnsi"/>
        </w:rPr>
      </w:pPr>
      <w:r w:rsidRPr="00267F53">
        <w:rPr>
          <w:lang w:bidi="th-TH"/>
        </w:rPr>
        <w:t xml:space="preserve">The </w:t>
      </w:r>
      <w:r w:rsidRPr="00267F53">
        <w:rPr>
          <w:b/>
          <w:bCs w:val="0"/>
          <w:lang w:bidi="th-TH"/>
        </w:rPr>
        <w:t>Code</w:t>
      </w:r>
      <w:r w:rsidRPr="00267F53">
        <w:rPr>
          <w:lang w:bidi="th-TH"/>
        </w:rPr>
        <w:t xml:space="preserve"> describes standards or requirements relating to food and food production. Chapters 1 and 2 (relating to labelling,</w:t>
      </w:r>
      <w:r w:rsidRPr="00267F53">
        <w:rPr>
          <w:rFonts w:asciiTheme="minorHAnsi" w:hAnsiTheme="minorHAnsi" w:cstheme="minorHAnsi"/>
        </w:rPr>
        <w:t xml:space="preserve"> food additives, contaminants and chemical residues, foods requiring pre</w:t>
      </w:r>
      <w:r w:rsidRPr="00267F53">
        <w:rPr>
          <w:rFonts w:asciiTheme="minorHAnsi" w:hAnsiTheme="minorHAnsi" w:cstheme="minorHAnsi"/>
        </w:rPr>
        <w:noBreakHyphen/>
        <w:t xml:space="preserve">market clearance, microbiological and processing requirements, and food standards) apply in both Australia and New Zealand. Chapters 3 and 4 (relating to consumer food safety and primary production and processing) apply in Australia only; </w:t>
      </w:r>
      <w:r w:rsidRPr="00267F53">
        <w:rPr>
          <w:lang w:bidi="th-TH"/>
        </w:rPr>
        <w:t>New Zealand has separate standards covering these matters.</w:t>
      </w:r>
    </w:p>
    <w:p w14:paraId="598CE90E" w14:textId="77777777" w:rsidR="00E43631" w:rsidRPr="00267F53" w:rsidRDefault="00E43631" w:rsidP="00E43631">
      <w:pPr>
        <w:pStyle w:val="Bullet1"/>
        <w:numPr>
          <w:ilvl w:val="0"/>
          <w:numId w:val="0"/>
        </w:numPr>
        <w:rPr>
          <w:rFonts w:asciiTheme="minorHAnsi" w:hAnsiTheme="minorHAnsi" w:cstheme="minorHAnsi"/>
        </w:rPr>
      </w:pPr>
    </w:p>
    <w:p w14:paraId="0DD5953B" w14:textId="77777777" w:rsidR="003D54D9" w:rsidRPr="00267F53" w:rsidRDefault="003D54D9" w:rsidP="003D54D9">
      <w:pPr>
        <w:numPr>
          <w:ilvl w:val="0"/>
          <w:numId w:val="4"/>
        </w:numPr>
        <w:rPr>
          <w:lang w:bidi="th-TH"/>
        </w:rPr>
      </w:pPr>
      <w:r w:rsidRPr="00267F53">
        <w:rPr>
          <w:bCs/>
          <w:lang w:bidi="th-TH"/>
        </w:rPr>
        <w:t xml:space="preserve">The </w:t>
      </w:r>
      <w:r w:rsidRPr="00267F53">
        <w:rPr>
          <w:b/>
          <w:lang w:bidi="th-TH"/>
        </w:rPr>
        <w:t>Model Food Provisions</w:t>
      </w:r>
      <w:r w:rsidRPr="00267F53">
        <w:rPr>
          <w:lang w:bidi="th-TH"/>
        </w:rPr>
        <w:t xml:space="preserve"> provide a legislative basis for a ‘substantially equivalent’ national food safety regime and are used by each State and Territory as a basis for their food acts. Model Food Provisions are split into </w:t>
      </w:r>
      <w:hyperlink r:id="rId101" w:history="1">
        <w:r w:rsidRPr="00267F53">
          <w:rPr>
            <w:rStyle w:val="Hyperlink"/>
            <w:lang w:bidi="th-TH"/>
          </w:rPr>
          <w:t>Annex A</w:t>
        </w:r>
      </w:hyperlink>
      <w:r w:rsidRPr="00267F53">
        <w:rPr>
          <w:lang w:bidi="th-TH"/>
        </w:rPr>
        <w:t xml:space="preserve">, which are to be applied consistently and </w:t>
      </w:r>
      <w:hyperlink r:id="rId102" w:history="1">
        <w:r w:rsidRPr="00267F53">
          <w:rPr>
            <w:rStyle w:val="Hyperlink"/>
            <w:lang w:bidi="th-TH"/>
          </w:rPr>
          <w:t>Annex B</w:t>
        </w:r>
      </w:hyperlink>
      <w:r w:rsidRPr="00267F53">
        <w:rPr>
          <w:lang w:bidi="th-TH"/>
        </w:rPr>
        <w:t>, which may be varied by each jurisdiction as required.</w:t>
      </w:r>
    </w:p>
    <w:p w14:paraId="55CAB56D" w14:textId="77777777" w:rsidR="00E43631" w:rsidRPr="00267F53" w:rsidRDefault="00E43631" w:rsidP="00E43631">
      <w:pPr>
        <w:rPr>
          <w:lang w:bidi="th-TH"/>
        </w:rPr>
      </w:pPr>
    </w:p>
    <w:p w14:paraId="5C9EEAE4" w14:textId="77777777" w:rsidR="00E43631" w:rsidRPr="00267F53" w:rsidRDefault="003D54D9" w:rsidP="00E43631">
      <w:pPr>
        <w:numPr>
          <w:ilvl w:val="0"/>
          <w:numId w:val="4"/>
        </w:numPr>
      </w:pPr>
      <w:r w:rsidRPr="00267F53">
        <w:rPr>
          <w:lang w:bidi="th-TH"/>
        </w:rPr>
        <w:t xml:space="preserve">The </w:t>
      </w:r>
      <w:r w:rsidRPr="00267F53">
        <w:rPr>
          <w:b/>
          <w:lang w:bidi="th-TH"/>
        </w:rPr>
        <w:t>FRSC</w:t>
      </w:r>
      <w:r w:rsidRPr="00267F53">
        <w:rPr>
          <w:lang w:bidi="th-TH"/>
        </w:rPr>
        <w:t xml:space="preserve"> </w:t>
      </w:r>
      <w:r w:rsidRPr="00267F53">
        <w:t>coordinates policy advice to the Forum and aims to ensure policy decisions can be consistently applied nationally and bi</w:t>
      </w:r>
      <w:r w:rsidRPr="00267F53">
        <w:noBreakHyphen/>
        <w:t>nationally.</w:t>
      </w:r>
    </w:p>
    <w:p w14:paraId="57A613EE" w14:textId="77777777" w:rsidR="00E43631" w:rsidRPr="00267F53" w:rsidRDefault="00E43631" w:rsidP="00E43631"/>
    <w:p w14:paraId="195768E8" w14:textId="77777777" w:rsidR="003D54D9" w:rsidRPr="00267F53" w:rsidRDefault="003D54D9" w:rsidP="003D54D9">
      <w:pPr>
        <w:numPr>
          <w:ilvl w:val="0"/>
          <w:numId w:val="4"/>
        </w:numPr>
      </w:pPr>
      <w:r w:rsidRPr="00267F53">
        <w:t xml:space="preserve">The </w:t>
      </w:r>
      <w:r w:rsidRPr="00267F53">
        <w:rPr>
          <w:b/>
        </w:rPr>
        <w:t>Implementation Subcommittee for Food Regulation</w:t>
      </w:r>
      <w:r w:rsidRPr="00267F53">
        <w:t xml:space="preserve"> (ISFR) </w:t>
      </w:r>
      <w:r w:rsidRPr="00267F53">
        <w:rPr>
          <w:shd w:val="clear" w:color="auto" w:fill="FFFFFF"/>
        </w:rPr>
        <w:t xml:space="preserve">provides a forum for Australian and New Zealand food regulators to determine common approaches to implementing and enforcing food standards. The ISFR also produces guidelines to support consistency, for example the </w:t>
      </w:r>
      <w:hyperlink r:id="rId103" w:history="1">
        <w:r w:rsidRPr="00267F53">
          <w:rPr>
            <w:rStyle w:val="Hyperlink"/>
            <w:shd w:val="clear" w:color="auto" w:fill="FFFFFF"/>
          </w:rPr>
          <w:t>Australia New Zealand Regulation Compliance, Monitoring and Enforcement Strategy</w:t>
        </w:r>
      </w:hyperlink>
      <w:r w:rsidRPr="00267F53">
        <w:rPr>
          <w:shd w:val="clear" w:color="auto" w:fill="FFFFFF"/>
        </w:rPr>
        <w:t xml:space="preserve">, </w:t>
      </w:r>
      <w:hyperlink r:id="rId104" w:history="1">
        <w:r w:rsidRPr="00267F53">
          <w:rPr>
            <w:rStyle w:val="Hyperlink"/>
            <w:shd w:val="clear" w:color="auto" w:fill="FFFFFF"/>
          </w:rPr>
          <w:t>National regulatory food safety auditor guidelines and policy</w:t>
        </w:r>
      </w:hyperlink>
      <w:r w:rsidRPr="00267F53">
        <w:rPr>
          <w:shd w:val="clear" w:color="auto" w:fill="FFFFFF"/>
        </w:rPr>
        <w:t xml:space="preserve"> and </w:t>
      </w:r>
      <w:hyperlink r:id="rId105" w:history="1">
        <w:r w:rsidRPr="00267F53">
          <w:rPr>
            <w:rStyle w:val="Hyperlink"/>
            <w:shd w:val="clear" w:color="auto" w:fill="FFFFFF"/>
          </w:rPr>
          <w:t>Principles for inspection of food businesses</w:t>
        </w:r>
      </w:hyperlink>
      <w:r w:rsidRPr="00267F53">
        <w:rPr>
          <w:shd w:val="clear" w:color="auto" w:fill="FFFFFF"/>
        </w:rPr>
        <w:t>.</w:t>
      </w:r>
    </w:p>
    <w:p w14:paraId="49603EC8" w14:textId="77777777" w:rsidR="003D54D9" w:rsidRPr="00267F53" w:rsidRDefault="003D54D9" w:rsidP="003A01E8"/>
    <w:p w14:paraId="0C5568D5" w14:textId="77777777" w:rsidR="00631592" w:rsidRPr="00267F53" w:rsidRDefault="00631592" w:rsidP="00631592">
      <w:pPr>
        <w:pStyle w:val="Heading1"/>
      </w:pPr>
      <w:bookmarkStart w:id="50" w:name="_Attachment_B:_Stakeholder"/>
      <w:bookmarkEnd w:id="50"/>
      <w:r w:rsidRPr="00267F53">
        <w:br w:type="column"/>
      </w:r>
      <w:bookmarkStart w:id="51" w:name="_Toc65059151"/>
      <w:r w:rsidRPr="00267F53">
        <w:lastRenderedPageBreak/>
        <w:t>Attachment B: Stakeholder survey questions</w:t>
      </w:r>
      <w:bookmarkEnd w:id="51"/>
    </w:p>
    <w:p w14:paraId="43A3759E" w14:textId="77777777" w:rsidR="00631592" w:rsidRPr="00267F53" w:rsidRDefault="00631592" w:rsidP="00631592">
      <w:pPr>
        <w:rPr>
          <w:lang w:eastAsia="en-US"/>
        </w:rPr>
      </w:pPr>
    </w:p>
    <w:p w14:paraId="70E3F7C0" w14:textId="77777777" w:rsidR="00631592" w:rsidRPr="00267F53" w:rsidRDefault="00631592" w:rsidP="003E4E49">
      <w:pPr>
        <w:pStyle w:val="Heading4"/>
        <w:pBdr>
          <w:top w:val="single" w:sz="4" w:space="1" w:color="auto"/>
          <w:left w:val="single" w:sz="4" w:space="4" w:color="auto"/>
          <w:bottom w:val="single" w:sz="4" w:space="1" w:color="auto"/>
          <w:right w:val="single" w:sz="4" w:space="4" w:color="auto"/>
        </w:pBdr>
      </w:pPr>
      <w:r w:rsidRPr="00267F53">
        <w:t>Guidance for Respondents</w:t>
      </w:r>
    </w:p>
    <w:p w14:paraId="74A47A48" w14:textId="77777777" w:rsidR="00631592" w:rsidRPr="00267F53" w:rsidRDefault="00631592" w:rsidP="00631592"/>
    <w:p w14:paraId="64F40DF8" w14:textId="77777777" w:rsidR="00631592" w:rsidRPr="00267F53" w:rsidRDefault="00631592" w:rsidP="00631592">
      <w:r w:rsidRPr="00267F53">
        <w:t xml:space="preserve">This survey has been divided into: </w:t>
      </w:r>
    </w:p>
    <w:p w14:paraId="01C8E001" w14:textId="77777777" w:rsidR="00631592" w:rsidRPr="00267F53" w:rsidRDefault="00631592" w:rsidP="00631592"/>
    <w:p w14:paraId="124631FA" w14:textId="77777777" w:rsidR="00631592" w:rsidRPr="00267F53" w:rsidRDefault="00000000" w:rsidP="00FC59C0">
      <w:pPr>
        <w:numPr>
          <w:ilvl w:val="0"/>
          <w:numId w:val="13"/>
        </w:numPr>
      </w:pPr>
      <w:hyperlink w:anchor="_Questions_for_Food" w:history="1">
        <w:r w:rsidR="00631592" w:rsidRPr="00267F53">
          <w:rPr>
            <w:rStyle w:val="Hyperlink"/>
          </w:rPr>
          <w:t>Questions for Food Industry Stakeholders</w:t>
        </w:r>
      </w:hyperlink>
    </w:p>
    <w:p w14:paraId="29F7EC5C" w14:textId="77777777" w:rsidR="00631592" w:rsidRPr="00267F53" w:rsidRDefault="00000000" w:rsidP="00FC59C0">
      <w:pPr>
        <w:numPr>
          <w:ilvl w:val="0"/>
          <w:numId w:val="13"/>
        </w:numPr>
      </w:pPr>
      <w:hyperlink w:anchor="_Questions_for_Government" w:history="1">
        <w:r w:rsidR="00631592" w:rsidRPr="00267F53">
          <w:rPr>
            <w:rStyle w:val="Hyperlink"/>
          </w:rPr>
          <w:t>Questions for Government Stakeholders </w:t>
        </w:r>
      </w:hyperlink>
    </w:p>
    <w:p w14:paraId="27335A2B" w14:textId="77777777" w:rsidR="00631592" w:rsidRPr="00267F53" w:rsidRDefault="00000000" w:rsidP="00FC59C0">
      <w:pPr>
        <w:numPr>
          <w:ilvl w:val="0"/>
          <w:numId w:val="13"/>
        </w:numPr>
      </w:pPr>
      <w:hyperlink w:anchor="_Questions_for_Other" w:history="1">
        <w:r w:rsidR="00631592" w:rsidRPr="00267F53">
          <w:rPr>
            <w:rStyle w:val="Hyperlink"/>
          </w:rPr>
          <w:t>Questions for Other Stakeholders</w:t>
        </w:r>
      </w:hyperlink>
      <w:r w:rsidR="00631592" w:rsidRPr="00267F53">
        <w:t xml:space="preserve"> (</w:t>
      </w:r>
      <w:r w:rsidR="00C573F4" w:rsidRPr="00267F53">
        <w:t>e.g.,</w:t>
      </w:r>
      <w:r w:rsidR="00631592" w:rsidRPr="00267F53">
        <w:t xml:space="preserve"> third party auditors, general public, consumer organisations, public health professionals).</w:t>
      </w:r>
    </w:p>
    <w:p w14:paraId="7816E7CE" w14:textId="77777777" w:rsidR="00631592" w:rsidRPr="00267F53" w:rsidRDefault="00631592" w:rsidP="00631592">
      <w:pPr>
        <w:ind w:left="720"/>
      </w:pPr>
    </w:p>
    <w:p w14:paraId="21C7AEEB" w14:textId="77777777" w:rsidR="00631592" w:rsidRPr="00267F53" w:rsidRDefault="00631592" w:rsidP="00631592">
      <w:r w:rsidRPr="00267F53">
        <w:t>We encourage you to respond to the questions that best represent your sector.</w:t>
      </w:r>
    </w:p>
    <w:p w14:paraId="048E2233" w14:textId="77777777" w:rsidR="00631592" w:rsidRPr="00267F53" w:rsidRDefault="00631592" w:rsidP="00631592"/>
    <w:p w14:paraId="5BC2B42D" w14:textId="77777777" w:rsidR="00631592" w:rsidRPr="00267F53" w:rsidRDefault="00631592" w:rsidP="00631592">
      <w:r w:rsidRPr="00267F53">
        <w:t>All respondents should respond to the ‘</w:t>
      </w:r>
      <w:hyperlink w:anchor="_Introductory_questions_(Required)" w:history="1">
        <w:r w:rsidRPr="00267F53">
          <w:rPr>
            <w:rStyle w:val="Hyperlink"/>
          </w:rPr>
          <w:t>Introductory Questions</w:t>
        </w:r>
      </w:hyperlink>
      <w:r w:rsidRPr="00267F53">
        <w:t>’ and are encouraged to respond to the ‘</w:t>
      </w:r>
      <w:hyperlink w:anchor="_Other_General_Comments" w:history="1">
        <w:r w:rsidRPr="00267F53">
          <w:rPr>
            <w:rStyle w:val="Hyperlink"/>
          </w:rPr>
          <w:t>Other General Comments</w:t>
        </w:r>
      </w:hyperlink>
      <w:r w:rsidRPr="00267F53">
        <w:t xml:space="preserve">’ section of the survey. </w:t>
      </w:r>
    </w:p>
    <w:p w14:paraId="5786FE49" w14:textId="77777777" w:rsidR="00631592" w:rsidRPr="00267F53" w:rsidRDefault="00631592" w:rsidP="00631592"/>
    <w:p w14:paraId="70D60B7C" w14:textId="77777777" w:rsidR="00631592" w:rsidRPr="00267F53" w:rsidRDefault="00631592" w:rsidP="00631592">
      <w:r w:rsidRPr="00267F53">
        <w:t xml:space="preserve">A supporting </w:t>
      </w:r>
      <w:hyperlink r:id="rId106" w:history="1">
        <w:r w:rsidRPr="00267F53">
          <w:rPr>
            <w:rStyle w:val="Hyperlink"/>
          </w:rPr>
          <w:t>Consultation Paper</w:t>
        </w:r>
      </w:hyperlink>
      <w:r w:rsidRPr="00267F53">
        <w:t xml:space="preserve"> has been developed to assist stakeholders in responding to the online consultation.</w:t>
      </w:r>
    </w:p>
    <w:p w14:paraId="5E839380" w14:textId="77777777" w:rsidR="00631592" w:rsidRPr="00267F53" w:rsidRDefault="00631592" w:rsidP="00631592"/>
    <w:p w14:paraId="78BE6E49" w14:textId="77777777" w:rsidR="00631592" w:rsidRPr="00267F53" w:rsidRDefault="00631592" w:rsidP="00631592">
      <w:r w:rsidRPr="00267F53">
        <w:t>Please note that you should respond to this survey in the format most appropriate for you and your organisation. You may respond to any of the survey questions or provide a written submission. You are also invited to provide case studies, examples, reports and any other evidence regarding the impact of inconsistencies. You can upload these in the ‘</w:t>
      </w:r>
      <w:hyperlink w:anchor="_Other_General_Comments" w:history="1">
        <w:r w:rsidRPr="00267F53">
          <w:rPr>
            <w:rStyle w:val="Hyperlink"/>
          </w:rPr>
          <w:t>Other General Comments</w:t>
        </w:r>
      </w:hyperlink>
      <w:r w:rsidRPr="00267F53">
        <w:t>' section of the survey.</w:t>
      </w:r>
    </w:p>
    <w:p w14:paraId="3C99F017" w14:textId="77777777" w:rsidR="00631592" w:rsidRPr="00267F53" w:rsidRDefault="00631592" w:rsidP="00631592"/>
    <w:p w14:paraId="789C68B6" w14:textId="77777777" w:rsidR="00631592" w:rsidRPr="00267F53" w:rsidRDefault="00631592" w:rsidP="00631592">
      <w:r w:rsidRPr="00267F53">
        <w:t>All information provided as part of this survey will be treated as confidential and will only be used to inform the identification of potential areas for reform. If we wish to use any of the information or examples you provide as part of your submission, this will be de-</w:t>
      </w:r>
      <w:r w:rsidR="00C573F4" w:rsidRPr="00267F53">
        <w:t>identified,</w:t>
      </w:r>
      <w:r w:rsidRPr="00267F53">
        <w:t xml:space="preserve"> and we will contact you to seek permission first. </w:t>
      </w:r>
    </w:p>
    <w:p w14:paraId="2369FD76" w14:textId="77777777" w:rsidR="00631592" w:rsidRPr="00267F53" w:rsidRDefault="00631592" w:rsidP="00631592">
      <w:pPr>
        <w:rPr>
          <w:lang w:eastAsia="en-US"/>
        </w:rPr>
      </w:pPr>
    </w:p>
    <w:p w14:paraId="342D6EB6" w14:textId="77777777" w:rsidR="00631592" w:rsidRPr="00267F53" w:rsidRDefault="00631592" w:rsidP="003E4E49">
      <w:pPr>
        <w:pStyle w:val="Heading4"/>
        <w:pBdr>
          <w:top w:val="single" w:sz="4" w:space="1" w:color="auto"/>
          <w:left w:val="single" w:sz="4" w:space="4" w:color="auto"/>
          <w:bottom w:val="single" w:sz="4" w:space="1" w:color="auto"/>
          <w:right w:val="single" w:sz="4" w:space="4" w:color="auto"/>
        </w:pBdr>
      </w:pPr>
      <w:bookmarkStart w:id="52" w:name="_Introductory_questions_(Required)"/>
      <w:bookmarkEnd w:id="52"/>
      <w:r w:rsidRPr="00267F53">
        <w:t>Introductory Questions (Required)</w:t>
      </w:r>
    </w:p>
    <w:p w14:paraId="4DFD0399" w14:textId="77777777" w:rsidR="00631592" w:rsidRPr="00267F53" w:rsidRDefault="00631592" w:rsidP="00631592"/>
    <w:p w14:paraId="7E7FE95B" w14:textId="77777777" w:rsidR="00631592" w:rsidRPr="00267F53" w:rsidRDefault="00631592" w:rsidP="00FC59C0">
      <w:pPr>
        <w:pStyle w:val="ListParagraph"/>
        <w:numPr>
          <w:ilvl w:val="0"/>
          <w:numId w:val="14"/>
        </w:numPr>
        <w:ind w:left="360"/>
        <w:rPr>
          <w:b/>
          <w:bCs/>
          <w:iCs/>
        </w:rPr>
      </w:pPr>
      <w:r w:rsidRPr="00267F53">
        <w:rPr>
          <w:b/>
          <w:bCs/>
          <w:iCs/>
        </w:rPr>
        <w:t xml:space="preserve">What is your organisation? </w:t>
      </w:r>
    </w:p>
    <w:p w14:paraId="0C285407" w14:textId="77777777" w:rsidR="00631592" w:rsidRPr="00267F53" w:rsidRDefault="00631592" w:rsidP="00631592">
      <w:pPr>
        <w:rPr>
          <w:b/>
          <w:bCs/>
          <w:iCs/>
        </w:rPr>
      </w:pPr>
    </w:p>
    <w:p w14:paraId="022C4FB6" w14:textId="77777777" w:rsidR="00631592" w:rsidRPr="00267F53" w:rsidRDefault="00631592" w:rsidP="00FC59C0">
      <w:pPr>
        <w:pStyle w:val="ListParagraph"/>
        <w:numPr>
          <w:ilvl w:val="0"/>
          <w:numId w:val="14"/>
        </w:numPr>
        <w:ind w:left="360"/>
        <w:rPr>
          <w:b/>
          <w:bCs/>
          <w:iCs/>
        </w:rPr>
      </w:pPr>
      <w:r w:rsidRPr="00267F53">
        <w:rPr>
          <w:b/>
          <w:bCs/>
          <w:iCs/>
        </w:rPr>
        <w:t xml:space="preserve">What is your name? </w:t>
      </w:r>
    </w:p>
    <w:p w14:paraId="78FAB14F" w14:textId="77777777" w:rsidR="00631592" w:rsidRPr="00267F53" w:rsidRDefault="00631592" w:rsidP="00631592">
      <w:pPr>
        <w:rPr>
          <w:b/>
          <w:bCs/>
          <w:iCs/>
        </w:rPr>
      </w:pPr>
    </w:p>
    <w:p w14:paraId="44712CBF" w14:textId="77777777" w:rsidR="00631592" w:rsidRPr="00267F53" w:rsidRDefault="00631592" w:rsidP="00FC59C0">
      <w:pPr>
        <w:pStyle w:val="ListParagraph"/>
        <w:numPr>
          <w:ilvl w:val="0"/>
          <w:numId w:val="14"/>
        </w:numPr>
        <w:ind w:left="360"/>
        <w:rPr>
          <w:b/>
          <w:bCs/>
          <w:iCs/>
        </w:rPr>
      </w:pPr>
      <w:r w:rsidRPr="00267F53">
        <w:rPr>
          <w:b/>
          <w:bCs/>
          <w:iCs/>
        </w:rPr>
        <w:t xml:space="preserve">What is your email address? </w:t>
      </w:r>
    </w:p>
    <w:p w14:paraId="44CE6E55" w14:textId="77777777" w:rsidR="00631592" w:rsidRPr="00267F53" w:rsidRDefault="00631592" w:rsidP="00631592">
      <w:pPr>
        <w:rPr>
          <w:b/>
          <w:bCs/>
          <w:iCs/>
        </w:rPr>
      </w:pPr>
    </w:p>
    <w:p w14:paraId="3E6B8FA4" w14:textId="77777777" w:rsidR="00631592" w:rsidRPr="00267F53" w:rsidRDefault="00631592" w:rsidP="00FC59C0">
      <w:pPr>
        <w:pStyle w:val="ListParagraph"/>
        <w:numPr>
          <w:ilvl w:val="0"/>
          <w:numId w:val="14"/>
        </w:numPr>
        <w:ind w:left="360"/>
        <w:rPr>
          <w:b/>
          <w:bCs/>
          <w:iCs/>
        </w:rPr>
      </w:pPr>
      <w:r w:rsidRPr="00267F53">
        <w:rPr>
          <w:b/>
          <w:bCs/>
          <w:iCs/>
        </w:rPr>
        <w:t xml:space="preserve">What is your phone number? </w:t>
      </w:r>
    </w:p>
    <w:p w14:paraId="3F725B79" w14:textId="77777777" w:rsidR="00631592" w:rsidRPr="00267F53" w:rsidRDefault="00631592" w:rsidP="00631592">
      <w:pPr>
        <w:rPr>
          <w:b/>
          <w:bCs/>
          <w:iCs/>
        </w:rPr>
      </w:pPr>
    </w:p>
    <w:p w14:paraId="212C0315" w14:textId="77777777" w:rsidR="00631592" w:rsidRPr="00267F53" w:rsidRDefault="00631592" w:rsidP="00FC59C0">
      <w:pPr>
        <w:pStyle w:val="ListParagraph"/>
        <w:numPr>
          <w:ilvl w:val="0"/>
          <w:numId w:val="14"/>
        </w:numPr>
        <w:ind w:left="360"/>
        <w:rPr>
          <w:b/>
          <w:bCs/>
          <w:iCs/>
        </w:rPr>
      </w:pPr>
      <w:r w:rsidRPr="00267F53">
        <w:rPr>
          <w:b/>
          <w:bCs/>
          <w:iCs/>
        </w:rPr>
        <w:t>Do you give us permission to contact you to seek further details about any of the information included in your submission?</w:t>
      </w:r>
    </w:p>
    <w:p w14:paraId="307EF31A" w14:textId="77777777" w:rsidR="00631592" w:rsidRPr="00267F53" w:rsidRDefault="00631592" w:rsidP="00631592">
      <w:pPr>
        <w:rPr>
          <w:b/>
          <w:bCs/>
          <w:iCs/>
        </w:rPr>
      </w:pPr>
    </w:p>
    <w:p w14:paraId="11410850" w14:textId="77777777" w:rsidR="00631592" w:rsidRPr="00267F53" w:rsidRDefault="00631592" w:rsidP="00FC59C0">
      <w:pPr>
        <w:pStyle w:val="mpcbullets1"/>
        <w:numPr>
          <w:ilvl w:val="0"/>
          <w:numId w:val="8"/>
        </w:numPr>
        <w:ind w:left="720"/>
      </w:pPr>
      <w:r w:rsidRPr="00267F53">
        <w:t>Yes</w:t>
      </w:r>
    </w:p>
    <w:p w14:paraId="06E88CB4" w14:textId="77777777" w:rsidR="00631592" w:rsidRPr="00267F53" w:rsidRDefault="00631592" w:rsidP="00FC59C0">
      <w:pPr>
        <w:pStyle w:val="mpcbullets1"/>
        <w:numPr>
          <w:ilvl w:val="0"/>
          <w:numId w:val="8"/>
        </w:numPr>
        <w:ind w:left="720"/>
      </w:pPr>
      <w:r w:rsidRPr="00267F53">
        <w:t>No</w:t>
      </w:r>
    </w:p>
    <w:p w14:paraId="226A8C3E" w14:textId="77777777" w:rsidR="00631592" w:rsidRPr="00267F53" w:rsidRDefault="00631592" w:rsidP="00FC59C0">
      <w:pPr>
        <w:pStyle w:val="ListParagraph"/>
        <w:numPr>
          <w:ilvl w:val="0"/>
          <w:numId w:val="14"/>
        </w:numPr>
        <w:ind w:left="360"/>
        <w:rPr>
          <w:b/>
          <w:bCs/>
          <w:iCs/>
        </w:rPr>
      </w:pPr>
      <w:r w:rsidRPr="00267F53">
        <w:rPr>
          <w:b/>
          <w:bCs/>
          <w:iCs/>
        </w:rPr>
        <w:t xml:space="preserve">What sector do you represent? </w:t>
      </w:r>
    </w:p>
    <w:p w14:paraId="6C92D880" w14:textId="77777777" w:rsidR="00631592" w:rsidRPr="00267F53" w:rsidRDefault="00631592" w:rsidP="00631592">
      <w:pPr>
        <w:rPr>
          <w:b/>
          <w:bCs/>
          <w:iCs/>
        </w:rPr>
      </w:pPr>
    </w:p>
    <w:p w14:paraId="58888642" w14:textId="77777777" w:rsidR="00631592" w:rsidRPr="00267F53" w:rsidRDefault="00631592" w:rsidP="00FC59C0">
      <w:pPr>
        <w:pStyle w:val="mpcbullets1"/>
        <w:numPr>
          <w:ilvl w:val="0"/>
          <w:numId w:val="8"/>
        </w:numPr>
        <w:ind w:left="720"/>
      </w:pPr>
      <w:r w:rsidRPr="00267F53">
        <w:t xml:space="preserve">Food industry - respond to the questions for 'Food Industry' stakeholders   </w:t>
      </w:r>
    </w:p>
    <w:p w14:paraId="08937137" w14:textId="77777777" w:rsidR="00631592" w:rsidRPr="00267F53" w:rsidRDefault="00631592" w:rsidP="00FC59C0">
      <w:pPr>
        <w:pStyle w:val="mpcbullets1"/>
        <w:numPr>
          <w:ilvl w:val="0"/>
          <w:numId w:val="8"/>
        </w:numPr>
        <w:ind w:left="720"/>
      </w:pPr>
      <w:r w:rsidRPr="00267F53">
        <w:t xml:space="preserve">Government - respond to the questions for 'Government' stakeholders   </w:t>
      </w:r>
    </w:p>
    <w:p w14:paraId="1B6AF94A" w14:textId="77777777" w:rsidR="00631592" w:rsidRPr="00267F53" w:rsidRDefault="00631592" w:rsidP="00FC59C0">
      <w:pPr>
        <w:pStyle w:val="mpcbullets1"/>
        <w:numPr>
          <w:ilvl w:val="0"/>
          <w:numId w:val="8"/>
        </w:numPr>
        <w:ind w:left="720"/>
      </w:pPr>
      <w:r w:rsidRPr="00267F53">
        <w:t xml:space="preserve">Third party auditor - respond to the questions for 'Other' stakeholders   </w:t>
      </w:r>
    </w:p>
    <w:p w14:paraId="71EA4919" w14:textId="77777777" w:rsidR="00631592" w:rsidRPr="00267F53" w:rsidRDefault="00631592" w:rsidP="00FC59C0">
      <w:pPr>
        <w:pStyle w:val="mpcbullets1"/>
        <w:numPr>
          <w:ilvl w:val="0"/>
          <w:numId w:val="8"/>
        </w:numPr>
        <w:ind w:left="720"/>
      </w:pPr>
      <w:r w:rsidRPr="00267F53">
        <w:t>Other - respond to the questions for 'Other' stakeholders</w:t>
      </w:r>
    </w:p>
    <w:p w14:paraId="44032D48" w14:textId="77777777" w:rsidR="00631592" w:rsidRPr="00267F53" w:rsidRDefault="00631592" w:rsidP="00631592">
      <w:pPr>
        <w:rPr>
          <w:b/>
          <w:bCs/>
          <w:iCs/>
        </w:rPr>
      </w:pPr>
    </w:p>
    <w:p w14:paraId="48ECFDE5" w14:textId="77777777" w:rsidR="00631592" w:rsidRPr="00267F53" w:rsidRDefault="00631592" w:rsidP="00FC59C0">
      <w:pPr>
        <w:pStyle w:val="ListParagraph"/>
        <w:numPr>
          <w:ilvl w:val="0"/>
          <w:numId w:val="14"/>
        </w:numPr>
        <w:ind w:left="360"/>
        <w:rPr>
          <w:b/>
          <w:bCs/>
          <w:iCs/>
        </w:rPr>
      </w:pPr>
      <w:r w:rsidRPr="00267F53">
        <w:rPr>
          <w:b/>
          <w:bCs/>
          <w:iCs/>
        </w:rPr>
        <w:t xml:space="preserve">Which country are you responding from? </w:t>
      </w:r>
    </w:p>
    <w:p w14:paraId="46D512C2" w14:textId="77777777" w:rsidR="00631592" w:rsidRPr="00267F53" w:rsidRDefault="00631592" w:rsidP="00631592">
      <w:pPr>
        <w:rPr>
          <w:b/>
          <w:bCs/>
          <w:iCs/>
        </w:rPr>
      </w:pPr>
    </w:p>
    <w:p w14:paraId="773D6AC6" w14:textId="77777777" w:rsidR="00631592" w:rsidRPr="00267F53" w:rsidRDefault="00631592" w:rsidP="00FC59C0">
      <w:pPr>
        <w:pStyle w:val="mpcbullets1"/>
        <w:numPr>
          <w:ilvl w:val="0"/>
          <w:numId w:val="8"/>
        </w:numPr>
        <w:ind w:left="720"/>
      </w:pPr>
      <w:r w:rsidRPr="00267F53">
        <w:t xml:space="preserve">Australia   </w:t>
      </w:r>
    </w:p>
    <w:p w14:paraId="0A362704" w14:textId="77777777" w:rsidR="00631592" w:rsidRPr="00267F53" w:rsidRDefault="00631592" w:rsidP="00FC59C0">
      <w:pPr>
        <w:pStyle w:val="mpcbullets1"/>
        <w:numPr>
          <w:ilvl w:val="0"/>
          <w:numId w:val="8"/>
        </w:numPr>
        <w:ind w:left="720"/>
      </w:pPr>
      <w:r w:rsidRPr="00267F53">
        <w:t xml:space="preserve">New Zealand   </w:t>
      </w:r>
    </w:p>
    <w:p w14:paraId="5A838C4F" w14:textId="77777777" w:rsidR="00631592" w:rsidRPr="00267F53" w:rsidRDefault="00631592" w:rsidP="00FC59C0">
      <w:pPr>
        <w:pStyle w:val="mpcbullets1"/>
        <w:numPr>
          <w:ilvl w:val="0"/>
          <w:numId w:val="8"/>
        </w:numPr>
        <w:ind w:left="720"/>
      </w:pPr>
      <w:r w:rsidRPr="00267F53">
        <w:t xml:space="preserve">Trans-Tasman organisation   </w:t>
      </w:r>
    </w:p>
    <w:p w14:paraId="03AA93F6" w14:textId="77777777" w:rsidR="00631592" w:rsidRPr="00267F53" w:rsidRDefault="00631592" w:rsidP="00FC59C0">
      <w:pPr>
        <w:pStyle w:val="mpcbullets1"/>
        <w:numPr>
          <w:ilvl w:val="0"/>
          <w:numId w:val="8"/>
        </w:numPr>
        <w:ind w:left="720"/>
      </w:pPr>
      <w:r w:rsidRPr="00267F53">
        <w:t xml:space="preserve">Other (please specify)   </w:t>
      </w:r>
    </w:p>
    <w:p w14:paraId="41FAEF00" w14:textId="77777777" w:rsidR="00631592" w:rsidRPr="00267F53" w:rsidRDefault="00631592" w:rsidP="00FC59C0">
      <w:pPr>
        <w:pStyle w:val="mpcbullets1"/>
        <w:numPr>
          <w:ilvl w:val="0"/>
          <w:numId w:val="8"/>
        </w:numPr>
        <w:ind w:left="720"/>
      </w:pPr>
      <w:r w:rsidRPr="00267F53">
        <w:t xml:space="preserve">Prefer not to say   </w:t>
      </w:r>
    </w:p>
    <w:p w14:paraId="52AFBA66" w14:textId="77777777" w:rsidR="00631592" w:rsidRPr="00267F53" w:rsidRDefault="00631592" w:rsidP="00631592">
      <w:pPr>
        <w:pStyle w:val="mpcbullets1"/>
        <w:numPr>
          <w:ilvl w:val="0"/>
          <w:numId w:val="0"/>
        </w:numPr>
        <w:ind w:firstLine="720"/>
        <w:rPr>
          <w:rFonts w:asciiTheme="minorHAnsi" w:eastAsiaTheme="minorHAnsi" w:hAnsiTheme="minorHAnsi"/>
          <w:b/>
          <w:bCs/>
          <w:iCs/>
        </w:rPr>
      </w:pPr>
    </w:p>
    <w:p w14:paraId="3A8ECE5F" w14:textId="77777777" w:rsidR="00631592" w:rsidRPr="00267F53" w:rsidRDefault="00631592" w:rsidP="00FC59C0">
      <w:pPr>
        <w:pStyle w:val="ListParagraph"/>
        <w:numPr>
          <w:ilvl w:val="0"/>
          <w:numId w:val="14"/>
        </w:numPr>
        <w:ind w:left="360"/>
        <w:rPr>
          <w:b/>
          <w:bCs/>
          <w:iCs/>
        </w:rPr>
      </w:pPr>
      <w:r w:rsidRPr="00267F53">
        <w:rPr>
          <w:b/>
          <w:bCs/>
          <w:iCs/>
        </w:rPr>
        <w:t>What jurisdictions do you operate in?</w:t>
      </w:r>
    </w:p>
    <w:p w14:paraId="138FDAE5" w14:textId="77777777" w:rsidR="00631592" w:rsidRPr="00267F53" w:rsidRDefault="00631592" w:rsidP="00631592">
      <w:pPr>
        <w:rPr>
          <w:b/>
          <w:bCs/>
          <w:iCs/>
        </w:rPr>
      </w:pPr>
    </w:p>
    <w:p w14:paraId="10CD4881" w14:textId="77777777" w:rsidR="00631592" w:rsidRPr="00267F53" w:rsidRDefault="00631592" w:rsidP="00FC59C0">
      <w:pPr>
        <w:pStyle w:val="mpcbullets1"/>
        <w:numPr>
          <w:ilvl w:val="0"/>
          <w:numId w:val="8"/>
        </w:numPr>
        <w:ind w:left="720"/>
      </w:pPr>
      <w:r w:rsidRPr="00267F53">
        <w:t xml:space="preserve">NZ   </w:t>
      </w:r>
    </w:p>
    <w:p w14:paraId="2E633104" w14:textId="77777777" w:rsidR="00631592" w:rsidRPr="00267F53" w:rsidRDefault="00631592" w:rsidP="00FC59C0">
      <w:pPr>
        <w:pStyle w:val="mpcbullets1"/>
        <w:numPr>
          <w:ilvl w:val="0"/>
          <w:numId w:val="8"/>
        </w:numPr>
        <w:ind w:left="720"/>
      </w:pPr>
      <w:r w:rsidRPr="00267F53">
        <w:t xml:space="preserve">ACT   </w:t>
      </w:r>
    </w:p>
    <w:p w14:paraId="2E5C2A1D" w14:textId="77777777" w:rsidR="00631592" w:rsidRPr="00267F53" w:rsidRDefault="00631592" w:rsidP="00FC59C0">
      <w:pPr>
        <w:pStyle w:val="mpcbullets1"/>
        <w:numPr>
          <w:ilvl w:val="0"/>
          <w:numId w:val="8"/>
        </w:numPr>
        <w:ind w:left="720"/>
      </w:pPr>
      <w:r w:rsidRPr="00267F53">
        <w:t xml:space="preserve">NSW   </w:t>
      </w:r>
    </w:p>
    <w:p w14:paraId="20C87533" w14:textId="77777777" w:rsidR="00631592" w:rsidRPr="00267F53" w:rsidRDefault="00631592" w:rsidP="00FC59C0">
      <w:pPr>
        <w:pStyle w:val="mpcbullets1"/>
        <w:numPr>
          <w:ilvl w:val="0"/>
          <w:numId w:val="8"/>
        </w:numPr>
        <w:ind w:left="720"/>
      </w:pPr>
      <w:r w:rsidRPr="00267F53">
        <w:t xml:space="preserve">NT   </w:t>
      </w:r>
    </w:p>
    <w:p w14:paraId="4544F720" w14:textId="77777777" w:rsidR="00631592" w:rsidRPr="00267F53" w:rsidRDefault="00631592" w:rsidP="00FC59C0">
      <w:pPr>
        <w:pStyle w:val="mpcbullets1"/>
        <w:numPr>
          <w:ilvl w:val="0"/>
          <w:numId w:val="8"/>
        </w:numPr>
        <w:ind w:left="720"/>
      </w:pPr>
      <w:r w:rsidRPr="00267F53">
        <w:t xml:space="preserve">QLD   </w:t>
      </w:r>
    </w:p>
    <w:p w14:paraId="01C9590D" w14:textId="77777777" w:rsidR="00631592" w:rsidRPr="00267F53" w:rsidRDefault="00631592" w:rsidP="00FC59C0">
      <w:pPr>
        <w:pStyle w:val="mpcbullets1"/>
        <w:numPr>
          <w:ilvl w:val="0"/>
          <w:numId w:val="8"/>
        </w:numPr>
        <w:ind w:left="720"/>
      </w:pPr>
      <w:r w:rsidRPr="00267F53">
        <w:t xml:space="preserve">SA   </w:t>
      </w:r>
    </w:p>
    <w:p w14:paraId="2469F3B5" w14:textId="77777777" w:rsidR="00631592" w:rsidRPr="00267F53" w:rsidRDefault="00631592" w:rsidP="00FC59C0">
      <w:pPr>
        <w:pStyle w:val="mpcbullets1"/>
        <w:numPr>
          <w:ilvl w:val="0"/>
          <w:numId w:val="8"/>
        </w:numPr>
        <w:ind w:left="720"/>
      </w:pPr>
      <w:r w:rsidRPr="00267F53">
        <w:t xml:space="preserve">TAS   </w:t>
      </w:r>
    </w:p>
    <w:p w14:paraId="0FB73223" w14:textId="77777777" w:rsidR="00631592" w:rsidRPr="00267F53" w:rsidRDefault="00631592" w:rsidP="00FC59C0">
      <w:pPr>
        <w:pStyle w:val="mpcbullets1"/>
        <w:numPr>
          <w:ilvl w:val="0"/>
          <w:numId w:val="8"/>
        </w:numPr>
        <w:ind w:left="720"/>
      </w:pPr>
      <w:r w:rsidRPr="00267F53">
        <w:t xml:space="preserve">VIC   </w:t>
      </w:r>
    </w:p>
    <w:p w14:paraId="020B28DC" w14:textId="77777777" w:rsidR="00631592" w:rsidRPr="00267F53" w:rsidRDefault="00631592" w:rsidP="00FC59C0">
      <w:pPr>
        <w:pStyle w:val="mpcbullets1"/>
        <w:numPr>
          <w:ilvl w:val="0"/>
          <w:numId w:val="8"/>
        </w:numPr>
        <w:ind w:left="720"/>
      </w:pPr>
      <w:r w:rsidRPr="00267F53">
        <w:t xml:space="preserve">WA   </w:t>
      </w:r>
    </w:p>
    <w:p w14:paraId="012B1F9F" w14:textId="77777777" w:rsidR="00631592" w:rsidRPr="00267F53" w:rsidRDefault="00631592" w:rsidP="00FC59C0">
      <w:pPr>
        <w:pStyle w:val="mpcbullets1"/>
        <w:numPr>
          <w:ilvl w:val="0"/>
          <w:numId w:val="8"/>
        </w:numPr>
        <w:ind w:left="720"/>
      </w:pPr>
      <w:r w:rsidRPr="00267F53">
        <w:t xml:space="preserve">Other (please specify)   </w:t>
      </w:r>
    </w:p>
    <w:p w14:paraId="6E68C3DE" w14:textId="77777777" w:rsidR="00631592" w:rsidRPr="00267F53" w:rsidRDefault="00631592" w:rsidP="00631592">
      <w:pPr>
        <w:rPr>
          <w:b/>
          <w:bCs/>
          <w:iCs/>
        </w:rPr>
      </w:pPr>
    </w:p>
    <w:p w14:paraId="442F19D2" w14:textId="77777777" w:rsidR="00631592" w:rsidRPr="00267F53" w:rsidRDefault="00631592" w:rsidP="00FC59C0">
      <w:pPr>
        <w:pStyle w:val="ListParagraph"/>
        <w:numPr>
          <w:ilvl w:val="0"/>
          <w:numId w:val="14"/>
        </w:numPr>
        <w:ind w:left="360"/>
        <w:rPr>
          <w:b/>
          <w:bCs/>
          <w:iCs/>
        </w:rPr>
      </w:pPr>
      <w:r w:rsidRPr="00267F53">
        <w:rPr>
          <w:b/>
          <w:bCs/>
          <w:iCs/>
        </w:rPr>
        <w:t xml:space="preserve">Is there any information about your organisation you would like to provide? </w:t>
      </w:r>
    </w:p>
    <w:p w14:paraId="5DFE75F6" w14:textId="77777777" w:rsidR="00631592" w:rsidRPr="00267F53" w:rsidRDefault="00631592" w:rsidP="00631592">
      <w:pPr>
        <w:ind w:firstLine="360"/>
        <w:rPr>
          <w:bCs/>
          <w:iCs/>
        </w:rPr>
      </w:pPr>
    </w:p>
    <w:p w14:paraId="0600550F" w14:textId="77777777" w:rsidR="00631592" w:rsidRPr="00267F53" w:rsidRDefault="00631592" w:rsidP="00631592">
      <w:pPr>
        <w:ind w:firstLine="360"/>
        <w:rPr>
          <w:bCs/>
          <w:iCs/>
        </w:rPr>
      </w:pPr>
      <w:r w:rsidRPr="00267F53">
        <w:rPr>
          <w:bCs/>
          <w:iCs/>
        </w:rPr>
        <w:t xml:space="preserve">An opportunity to provide any other information about your organisation. </w:t>
      </w:r>
    </w:p>
    <w:p w14:paraId="55CBC922" w14:textId="77777777" w:rsidR="00631592" w:rsidRPr="00267F53" w:rsidRDefault="00631592" w:rsidP="00631592">
      <w:pPr>
        <w:ind w:firstLine="360"/>
        <w:rPr>
          <w:bCs/>
          <w:iCs/>
        </w:rPr>
      </w:pPr>
      <w:r w:rsidRPr="00267F53">
        <w:rPr>
          <w:bCs/>
          <w:iCs/>
        </w:rPr>
        <w:t>(Upload file here)</w:t>
      </w:r>
    </w:p>
    <w:p w14:paraId="05F00F65" w14:textId="77777777" w:rsidR="00631592" w:rsidRPr="00267F53" w:rsidRDefault="00631592" w:rsidP="00631592"/>
    <w:p w14:paraId="658B5AB3" w14:textId="77777777" w:rsidR="00631592" w:rsidRPr="00267F53" w:rsidRDefault="00631592" w:rsidP="003E4E49">
      <w:pPr>
        <w:pStyle w:val="Heading4"/>
        <w:pBdr>
          <w:top w:val="single" w:sz="4" w:space="1" w:color="auto"/>
          <w:left w:val="single" w:sz="4" w:space="4" w:color="auto"/>
          <w:bottom w:val="single" w:sz="4" w:space="1" w:color="auto"/>
          <w:right w:val="single" w:sz="4" w:space="4" w:color="auto"/>
        </w:pBdr>
      </w:pPr>
      <w:bookmarkStart w:id="53" w:name="_Questions_for_Food"/>
      <w:bookmarkEnd w:id="53"/>
      <w:r w:rsidRPr="00267F53">
        <w:t xml:space="preserve">Questions for Food Industry Stakeholders </w:t>
      </w:r>
    </w:p>
    <w:p w14:paraId="2E236A08" w14:textId="77777777" w:rsidR="00631592" w:rsidRPr="00267F53" w:rsidRDefault="00631592" w:rsidP="00631592"/>
    <w:p w14:paraId="1FA7890E" w14:textId="77777777" w:rsidR="00631592" w:rsidRPr="00267F53" w:rsidRDefault="00631592" w:rsidP="00FC59C0">
      <w:pPr>
        <w:pStyle w:val="ListParagraph"/>
        <w:keepNext/>
        <w:numPr>
          <w:ilvl w:val="0"/>
          <w:numId w:val="7"/>
        </w:numPr>
      </w:pPr>
      <w:r w:rsidRPr="00267F53">
        <w:rPr>
          <w:b/>
          <w:bCs/>
        </w:rPr>
        <w:t xml:space="preserve">What food industry sector do you represent? </w:t>
      </w:r>
    </w:p>
    <w:p w14:paraId="794190E2" w14:textId="77777777" w:rsidR="00631592" w:rsidRPr="00267F53" w:rsidRDefault="00631592" w:rsidP="00631592">
      <w:pPr>
        <w:keepNext/>
        <w:rPr>
          <w:b/>
          <w:bCs/>
        </w:rPr>
      </w:pPr>
    </w:p>
    <w:p w14:paraId="63603425" w14:textId="77777777" w:rsidR="00631592" w:rsidRPr="00267F53" w:rsidRDefault="00631592" w:rsidP="00FC59C0">
      <w:pPr>
        <w:pStyle w:val="mpcbullets1"/>
        <w:numPr>
          <w:ilvl w:val="0"/>
          <w:numId w:val="8"/>
        </w:numPr>
        <w:ind w:left="720"/>
      </w:pPr>
      <w:r w:rsidRPr="00267F53">
        <w:t xml:space="preserve">Association   </w:t>
      </w:r>
    </w:p>
    <w:p w14:paraId="7CBD6DFE" w14:textId="77777777" w:rsidR="00631592" w:rsidRPr="00267F53" w:rsidRDefault="00631592" w:rsidP="00FC59C0">
      <w:pPr>
        <w:pStyle w:val="mpcbullets1"/>
        <w:numPr>
          <w:ilvl w:val="0"/>
          <w:numId w:val="8"/>
        </w:numPr>
        <w:ind w:left="720"/>
      </w:pPr>
      <w:r w:rsidRPr="00267F53">
        <w:t>Primary Producer (</w:t>
      </w:r>
      <w:r w:rsidR="00C573F4" w:rsidRPr="00267F53">
        <w:t>e.g.,</w:t>
      </w:r>
      <w:r w:rsidRPr="00267F53">
        <w:t xml:space="preserve"> agriculture, farming, fishing)   </w:t>
      </w:r>
    </w:p>
    <w:p w14:paraId="0A31A176" w14:textId="77777777" w:rsidR="00631592" w:rsidRPr="00267F53" w:rsidRDefault="00631592" w:rsidP="00FC59C0">
      <w:pPr>
        <w:pStyle w:val="mpcbullets1"/>
        <w:numPr>
          <w:ilvl w:val="0"/>
          <w:numId w:val="8"/>
        </w:numPr>
        <w:ind w:left="720"/>
      </w:pPr>
      <w:r w:rsidRPr="00267F53">
        <w:t>Food processing and manufacturing (</w:t>
      </w:r>
      <w:r w:rsidR="00C573F4" w:rsidRPr="00267F53">
        <w:t>e.g.,</w:t>
      </w:r>
      <w:r w:rsidRPr="00267F53">
        <w:t xml:space="preserve"> flour mills, canneries, bakeries, breweries, wine makers)   </w:t>
      </w:r>
    </w:p>
    <w:p w14:paraId="2D0BECD5" w14:textId="77777777" w:rsidR="00631592" w:rsidRPr="00267F53" w:rsidRDefault="00631592" w:rsidP="00FC59C0">
      <w:pPr>
        <w:pStyle w:val="mpcbullets1"/>
        <w:numPr>
          <w:ilvl w:val="0"/>
          <w:numId w:val="8"/>
        </w:numPr>
        <w:ind w:left="720"/>
      </w:pPr>
      <w:r w:rsidRPr="00267F53">
        <w:t>Transport and distribution (</w:t>
      </w:r>
      <w:r w:rsidR="00C573F4" w:rsidRPr="00267F53">
        <w:t>e.g.,</w:t>
      </w:r>
      <w:r w:rsidRPr="00267F53">
        <w:t xml:space="preserve"> water carriers, warehouses, food delivery vehicles)   </w:t>
      </w:r>
    </w:p>
    <w:p w14:paraId="3D896D5D" w14:textId="77777777" w:rsidR="00631592" w:rsidRPr="00267F53" w:rsidRDefault="00631592" w:rsidP="00FC59C0">
      <w:pPr>
        <w:pStyle w:val="mpcbullets1"/>
        <w:numPr>
          <w:ilvl w:val="0"/>
          <w:numId w:val="8"/>
        </w:numPr>
        <w:ind w:left="720"/>
      </w:pPr>
      <w:r w:rsidRPr="00267F53">
        <w:t>Supplier (</w:t>
      </w:r>
      <w:r w:rsidR="00C573F4" w:rsidRPr="00267F53">
        <w:t>e.g.,</w:t>
      </w:r>
      <w:r w:rsidRPr="00267F53">
        <w:t xml:space="preserve"> wholesale supplies to cafes and restaurants)   </w:t>
      </w:r>
    </w:p>
    <w:p w14:paraId="5C355549" w14:textId="77777777" w:rsidR="00631592" w:rsidRPr="00267F53" w:rsidRDefault="00631592" w:rsidP="00FC59C0">
      <w:pPr>
        <w:pStyle w:val="mpcbullets1"/>
        <w:numPr>
          <w:ilvl w:val="0"/>
          <w:numId w:val="8"/>
        </w:numPr>
        <w:ind w:left="720"/>
      </w:pPr>
      <w:r w:rsidRPr="00267F53">
        <w:t>Retail (</w:t>
      </w:r>
      <w:r w:rsidR="00C573F4" w:rsidRPr="00267F53">
        <w:t>e.g.,</w:t>
      </w:r>
      <w:r w:rsidRPr="00267F53">
        <w:t xml:space="preserve"> supermarkets, delicatessens, convenience stores)   </w:t>
      </w:r>
    </w:p>
    <w:p w14:paraId="0515BCD2" w14:textId="77777777" w:rsidR="00631592" w:rsidRPr="00267F53" w:rsidRDefault="00631592" w:rsidP="00FC59C0">
      <w:pPr>
        <w:pStyle w:val="mpcbullets1"/>
        <w:numPr>
          <w:ilvl w:val="0"/>
          <w:numId w:val="8"/>
        </w:numPr>
        <w:ind w:left="720"/>
      </w:pPr>
      <w:r w:rsidRPr="00267F53">
        <w:t xml:space="preserve">Imports   </w:t>
      </w:r>
    </w:p>
    <w:p w14:paraId="2DF97BF6" w14:textId="77777777" w:rsidR="00631592" w:rsidRDefault="00631592" w:rsidP="00FC59C0">
      <w:pPr>
        <w:pStyle w:val="mpcbullets1"/>
        <w:numPr>
          <w:ilvl w:val="0"/>
          <w:numId w:val="8"/>
        </w:numPr>
        <w:ind w:left="720"/>
      </w:pPr>
      <w:r w:rsidRPr="00267F53">
        <w:t xml:space="preserve">Exports   </w:t>
      </w:r>
    </w:p>
    <w:p w14:paraId="571564A2" w14:textId="77777777" w:rsidR="00E06319" w:rsidRPr="00267F53" w:rsidRDefault="00E06319" w:rsidP="00E06319">
      <w:pPr>
        <w:pStyle w:val="mpcbullets1"/>
        <w:numPr>
          <w:ilvl w:val="0"/>
          <w:numId w:val="0"/>
        </w:numPr>
        <w:ind w:left="720"/>
      </w:pPr>
    </w:p>
    <w:p w14:paraId="6AC273A4" w14:textId="77777777" w:rsidR="00631592" w:rsidRPr="00267F53" w:rsidRDefault="00631592" w:rsidP="00FC59C0">
      <w:pPr>
        <w:pStyle w:val="mpcbullets1"/>
        <w:numPr>
          <w:ilvl w:val="0"/>
          <w:numId w:val="8"/>
        </w:numPr>
        <w:ind w:left="720"/>
      </w:pPr>
      <w:r w:rsidRPr="00267F53">
        <w:lastRenderedPageBreak/>
        <w:t>Hospitality (</w:t>
      </w:r>
      <w:r w:rsidR="00C573F4" w:rsidRPr="00267F53">
        <w:t>e.g.,</w:t>
      </w:r>
      <w:r w:rsidRPr="00267F53">
        <w:t xml:space="preserve"> restaurants, cafes, hotels, take-away stores, events)   </w:t>
      </w:r>
    </w:p>
    <w:p w14:paraId="40DB3DC9" w14:textId="77777777" w:rsidR="00631592" w:rsidRPr="00267F53" w:rsidRDefault="00631592" w:rsidP="00FC59C0">
      <w:pPr>
        <w:pStyle w:val="mpcbullets1"/>
        <w:numPr>
          <w:ilvl w:val="0"/>
          <w:numId w:val="8"/>
        </w:numPr>
        <w:ind w:left="720"/>
      </w:pPr>
      <w:r w:rsidRPr="00267F53">
        <w:t>Health and community (</w:t>
      </w:r>
      <w:r w:rsidR="00C573F4" w:rsidRPr="00267F53">
        <w:t>e.g.,</w:t>
      </w:r>
      <w:r w:rsidRPr="00267F53">
        <w:t xml:space="preserve"> hospital catering, meals on wheels, nursing home catering)   </w:t>
      </w:r>
    </w:p>
    <w:p w14:paraId="35DE0E61" w14:textId="77777777" w:rsidR="00631592" w:rsidRPr="00267F53" w:rsidRDefault="00631592" w:rsidP="00FC59C0">
      <w:pPr>
        <w:pStyle w:val="mpcbullets1"/>
        <w:numPr>
          <w:ilvl w:val="0"/>
          <w:numId w:val="8"/>
        </w:numPr>
        <w:ind w:left="720"/>
      </w:pPr>
      <w:r w:rsidRPr="00267F53">
        <w:t xml:space="preserve">Complementary Medicines </w:t>
      </w:r>
    </w:p>
    <w:p w14:paraId="22DA6838" w14:textId="77777777" w:rsidR="00631592" w:rsidRPr="00267F53" w:rsidRDefault="00631592" w:rsidP="00FC59C0">
      <w:pPr>
        <w:pStyle w:val="mpcbullets1"/>
        <w:numPr>
          <w:ilvl w:val="0"/>
          <w:numId w:val="8"/>
        </w:numPr>
        <w:ind w:left="720"/>
      </w:pPr>
      <w:r w:rsidRPr="00267F53">
        <w:t xml:space="preserve">Other (please specify)   </w:t>
      </w:r>
    </w:p>
    <w:p w14:paraId="2FDD0309" w14:textId="77777777" w:rsidR="00631592" w:rsidRPr="00267F53" w:rsidRDefault="00631592" w:rsidP="00631592">
      <w:pPr>
        <w:rPr>
          <w:rFonts w:ascii="Calibri" w:hAnsi="Calibri"/>
        </w:rPr>
      </w:pPr>
    </w:p>
    <w:p w14:paraId="4CCA502D" w14:textId="77777777" w:rsidR="00631592" w:rsidRPr="00267F53" w:rsidRDefault="00631592" w:rsidP="00FC59C0">
      <w:pPr>
        <w:pStyle w:val="ListParagraph"/>
        <w:keepNext/>
        <w:numPr>
          <w:ilvl w:val="0"/>
          <w:numId w:val="7"/>
        </w:numPr>
        <w:rPr>
          <w:b/>
          <w:bCs/>
        </w:rPr>
      </w:pPr>
      <w:r w:rsidRPr="00267F53">
        <w:rPr>
          <w:b/>
          <w:bCs/>
        </w:rPr>
        <w:t>What size is your organisation?</w:t>
      </w:r>
    </w:p>
    <w:p w14:paraId="0872BB5F" w14:textId="77777777" w:rsidR="00631592" w:rsidRPr="00267F53" w:rsidRDefault="00631592" w:rsidP="00631592">
      <w:pPr>
        <w:keepNext/>
        <w:rPr>
          <w:b/>
          <w:bCs/>
        </w:rPr>
      </w:pPr>
    </w:p>
    <w:p w14:paraId="348AEA01" w14:textId="77777777" w:rsidR="00631592" w:rsidRPr="00267F53" w:rsidRDefault="00631592" w:rsidP="00FC59C0">
      <w:pPr>
        <w:pStyle w:val="mpcbullets1"/>
        <w:numPr>
          <w:ilvl w:val="0"/>
          <w:numId w:val="8"/>
        </w:numPr>
        <w:ind w:left="720"/>
      </w:pPr>
      <w:r w:rsidRPr="00267F53">
        <w:t>Micro (1-4 employees)</w:t>
      </w:r>
    </w:p>
    <w:p w14:paraId="503FEE92" w14:textId="77777777" w:rsidR="00631592" w:rsidRPr="00267F53" w:rsidRDefault="00631592" w:rsidP="00FC59C0">
      <w:pPr>
        <w:pStyle w:val="mpcbullets1"/>
        <w:numPr>
          <w:ilvl w:val="0"/>
          <w:numId w:val="8"/>
        </w:numPr>
        <w:ind w:left="720"/>
      </w:pPr>
      <w:r w:rsidRPr="00267F53">
        <w:t>Small (5-19 employees)</w:t>
      </w:r>
    </w:p>
    <w:p w14:paraId="3FB03872" w14:textId="77777777" w:rsidR="00631592" w:rsidRPr="00267F53" w:rsidRDefault="00631592" w:rsidP="00FC59C0">
      <w:pPr>
        <w:pStyle w:val="mpcbullets1"/>
        <w:numPr>
          <w:ilvl w:val="0"/>
          <w:numId w:val="8"/>
        </w:numPr>
        <w:ind w:left="720"/>
      </w:pPr>
      <w:r w:rsidRPr="00267F53">
        <w:t>Medium (20-199 employees)</w:t>
      </w:r>
    </w:p>
    <w:p w14:paraId="66724C59" w14:textId="77777777" w:rsidR="00631592" w:rsidRPr="00267F53" w:rsidRDefault="00631592" w:rsidP="00FC59C0">
      <w:pPr>
        <w:pStyle w:val="mpcbullets1"/>
        <w:numPr>
          <w:ilvl w:val="0"/>
          <w:numId w:val="8"/>
        </w:numPr>
        <w:ind w:left="720"/>
      </w:pPr>
      <w:r w:rsidRPr="00267F53">
        <w:t>Large (200+ employees)</w:t>
      </w:r>
    </w:p>
    <w:p w14:paraId="49E7D17E" w14:textId="77777777" w:rsidR="00631592" w:rsidRPr="00267F53" w:rsidRDefault="00631592" w:rsidP="00631592">
      <w:pPr>
        <w:keepNext/>
        <w:rPr>
          <w:b/>
          <w:bCs/>
        </w:rPr>
      </w:pPr>
    </w:p>
    <w:p w14:paraId="5D5C9C79" w14:textId="77777777" w:rsidR="00631592" w:rsidRPr="00267F53" w:rsidRDefault="00631592" w:rsidP="00FC59C0">
      <w:pPr>
        <w:pStyle w:val="ListParagraph"/>
        <w:keepNext/>
        <w:numPr>
          <w:ilvl w:val="0"/>
          <w:numId w:val="7"/>
        </w:numPr>
        <w:rPr>
          <w:b/>
          <w:bCs/>
        </w:rPr>
      </w:pPr>
      <w:r w:rsidRPr="00267F53">
        <w:rPr>
          <w:b/>
          <w:bCs/>
        </w:rPr>
        <w:t>Has your business been impacted by inconsistent regulatory approaches (or inconsistent interpretation or enforcement of regulation) in any of the following areas:</w:t>
      </w:r>
    </w:p>
    <w:p w14:paraId="44EBB5A8" w14:textId="77777777" w:rsidR="00631592" w:rsidRPr="00267F53" w:rsidRDefault="00631592" w:rsidP="00631592">
      <w:pPr>
        <w:pStyle w:val="mpcbullets1"/>
        <w:numPr>
          <w:ilvl w:val="0"/>
          <w:numId w:val="0"/>
        </w:numPr>
      </w:pPr>
    </w:p>
    <w:p w14:paraId="21A4D6DC" w14:textId="77777777" w:rsidR="00631592" w:rsidRPr="00267F53" w:rsidRDefault="00631592" w:rsidP="00FC59C0">
      <w:pPr>
        <w:pStyle w:val="mpcbullets1"/>
        <w:numPr>
          <w:ilvl w:val="0"/>
          <w:numId w:val="8"/>
        </w:numPr>
        <w:ind w:left="720"/>
      </w:pPr>
      <w:r w:rsidRPr="00267F53">
        <w:t>Food labelling (identification, warning statements, statements of ingredients, date markings, directions for use)</w:t>
      </w:r>
    </w:p>
    <w:p w14:paraId="4BD36DD1" w14:textId="77777777" w:rsidR="00631592" w:rsidRPr="00267F53" w:rsidRDefault="00631592" w:rsidP="00FC59C0">
      <w:pPr>
        <w:pStyle w:val="mpcbullets1"/>
        <w:numPr>
          <w:ilvl w:val="0"/>
          <w:numId w:val="8"/>
        </w:numPr>
        <w:ind w:left="720"/>
      </w:pPr>
      <w:r w:rsidRPr="00267F53">
        <w:t>Nutrition health and related claims (labelling)</w:t>
      </w:r>
    </w:p>
    <w:p w14:paraId="0928D81A" w14:textId="77777777" w:rsidR="00631592" w:rsidRPr="00267F53" w:rsidRDefault="00631592" w:rsidP="00FC59C0">
      <w:pPr>
        <w:pStyle w:val="mpcbullets1"/>
        <w:numPr>
          <w:ilvl w:val="0"/>
          <w:numId w:val="8"/>
        </w:numPr>
        <w:ind w:left="720"/>
      </w:pPr>
      <w:r w:rsidRPr="00267F53">
        <w:t xml:space="preserve">Foods requiring pre-market clearance (novel foods, food produced using gene technology and irradiation) </w:t>
      </w:r>
    </w:p>
    <w:p w14:paraId="7EF70381" w14:textId="77777777" w:rsidR="00631592" w:rsidRPr="00267F53" w:rsidRDefault="00631592" w:rsidP="00FC59C0">
      <w:pPr>
        <w:pStyle w:val="mpcbullets1"/>
        <w:numPr>
          <w:ilvl w:val="0"/>
          <w:numId w:val="8"/>
        </w:numPr>
        <w:ind w:left="720"/>
      </w:pPr>
      <w:r w:rsidRPr="00267F53">
        <w:t>Substances added to or present in foods (processing aids, vitamins and minerals, food additives)</w:t>
      </w:r>
    </w:p>
    <w:p w14:paraId="654E768E" w14:textId="77777777" w:rsidR="00631592" w:rsidRPr="00267F53" w:rsidRDefault="00631592" w:rsidP="00FC59C0">
      <w:pPr>
        <w:pStyle w:val="mpcbullets1"/>
        <w:numPr>
          <w:ilvl w:val="0"/>
          <w:numId w:val="8"/>
        </w:numPr>
        <w:ind w:left="720"/>
      </w:pPr>
      <w:r w:rsidRPr="00267F53">
        <w:t>Microbiological limits, processing requirements, contaminants and residues</w:t>
      </w:r>
    </w:p>
    <w:p w14:paraId="0E2707D2" w14:textId="77777777" w:rsidR="00631592" w:rsidRPr="00267F53" w:rsidRDefault="00631592" w:rsidP="00FC59C0">
      <w:pPr>
        <w:pStyle w:val="mpcbullets1"/>
        <w:numPr>
          <w:ilvl w:val="0"/>
          <w:numId w:val="8"/>
        </w:numPr>
        <w:ind w:left="720"/>
      </w:pPr>
      <w:r w:rsidRPr="00267F53">
        <w:t>Food safety standards (Australia only)</w:t>
      </w:r>
    </w:p>
    <w:p w14:paraId="0A63BBCA" w14:textId="77777777" w:rsidR="00631592" w:rsidRPr="00267F53" w:rsidRDefault="00631592" w:rsidP="00FC59C0">
      <w:pPr>
        <w:pStyle w:val="mpcbullets1"/>
        <w:numPr>
          <w:ilvl w:val="0"/>
          <w:numId w:val="8"/>
        </w:numPr>
        <w:ind w:left="720"/>
      </w:pPr>
      <w:r w:rsidRPr="00267F53">
        <w:t>Food safety programs (Australia only)</w:t>
      </w:r>
    </w:p>
    <w:p w14:paraId="2F27E636" w14:textId="77777777" w:rsidR="00631592" w:rsidRPr="00267F53" w:rsidRDefault="00631592" w:rsidP="00FC59C0">
      <w:pPr>
        <w:pStyle w:val="mpcbullets1"/>
        <w:numPr>
          <w:ilvl w:val="0"/>
          <w:numId w:val="8"/>
        </w:numPr>
        <w:ind w:left="720"/>
      </w:pPr>
      <w:r w:rsidRPr="00267F53">
        <w:t>Food safety practices (Australia only)</w:t>
      </w:r>
    </w:p>
    <w:p w14:paraId="28B77771" w14:textId="77777777" w:rsidR="00631592" w:rsidRPr="00267F53" w:rsidRDefault="00631592" w:rsidP="00FC59C0">
      <w:pPr>
        <w:pStyle w:val="mpcbullets1"/>
        <w:numPr>
          <w:ilvl w:val="0"/>
          <w:numId w:val="8"/>
        </w:numPr>
        <w:ind w:left="720"/>
      </w:pPr>
      <w:r w:rsidRPr="00267F53">
        <w:t>Food premises and equipment (Australia only)</w:t>
      </w:r>
    </w:p>
    <w:p w14:paraId="216DEB04" w14:textId="77777777" w:rsidR="00631592" w:rsidRPr="00267F53" w:rsidRDefault="00631592" w:rsidP="00FC59C0">
      <w:pPr>
        <w:pStyle w:val="mpcbullets1"/>
        <w:numPr>
          <w:ilvl w:val="0"/>
          <w:numId w:val="8"/>
        </w:numPr>
        <w:ind w:left="720"/>
      </w:pPr>
      <w:r w:rsidRPr="00267F53">
        <w:t>Primary production and processing standards (Australia only)</w:t>
      </w:r>
    </w:p>
    <w:p w14:paraId="10DDBE70" w14:textId="77777777" w:rsidR="00631592" w:rsidRPr="00267F53" w:rsidRDefault="00631592" w:rsidP="00FC59C0">
      <w:pPr>
        <w:pStyle w:val="mpcbullets1"/>
        <w:numPr>
          <w:ilvl w:val="0"/>
          <w:numId w:val="8"/>
        </w:numPr>
        <w:ind w:left="720"/>
      </w:pPr>
      <w:r w:rsidRPr="00267F53">
        <w:t xml:space="preserve">Other – please specify </w:t>
      </w:r>
    </w:p>
    <w:p w14:paraId="25DF9B31" w14:textId="77777777" w:rsidR="00631592" w:rsidRPr="00267F53" w:rsidRDefault="00631592" w:rsidP="00FC59C0">
      <w:pPr>
        <w:pStyle w:val="mpcbullets1"/>
        <w:numPr>
          <w:ilvl w:val="0"/>
          <w:numId w:val="8"/>
        </w:numPr>
        <w:ind w:left="720"/>
      </w:pPr>
      <w:r w:rsidRPr="00267F53">
        <w:t>No</w:t>
      </w:r>
    </w:p>
    <w:p w14:paraId="0E516BBD" w14:textId="77777777" w:rsidR="00631592" w:rsidRPr="00267F53" w:rsidRDefault="00631592" w:rsidP="00631592">
      <w:pPr>
        <w:pStyle w:val="mpcbullets1"/>
        <w:numPr>
          <w:ilvl w:val="0"/>
          <w:numId w:val="0"/>
        </w:numPr>
        <w:ind w:left="360" w:hanging="360"/>
        <w:rPr>
          <w:i/>
          <w:iCs/>
        </w:rPr>
      </w:pPr>
    </w:p>
    <w:p w14:paraId="649EE954" w14:textId="77777777" w:rsidR="00631592" w:rsidRPr="00267F53" w:rsidRDefault="00631592" w:rsidP="00631592">
      <w:pPr>
        <w:pStyle w:val="mpcbullets1"/>
        <w:numPr>
          <w:ilvl w:val="0"/>
          <w:numId w:val="0"/>
        </w:numPr>
        <w:ind w:left="360" w:hanging="360"/>
        <w:rPr>
          <w:i/>
          <w:iCs/>
        </w:rPr>
      </w:pPr>
      <w:r w:rsidRPr="00267F53">
        <w:rPr>
          <w:i/>
          <w:iCs/>
        </w:rPr>
        <w:t>If yes – go to Question 5</w:t>
      </w:r>
    </w:p>
    <w:p w14:paraId="3F6A3A25" w14:textId="77777777" w:rsidR="00631592" w:rsidRPr="00267F53" w:rsidRDefault="00631592" w:rsidP="00631592">
      <w:pPr>
        <w:pStyle w:val="mpcbullets1"/>
        <w:numPr>
          <w:ilvl w:val="0"/>
          <w:numId w:val="0"/>
        </w:numPr>
        <w:ind w:left="360" w:hanging="360"/>
        <w:rPr>
          <w:i/>
          <w:iCs/>
        </w:rPr>
      </w:pPr>
    </w:p>
    <w:p w14:paraId="6945763B" w14:textId="77777777" w:rsidR="00631592" w:rsidRPr="00267F53" w:rsidRDefault="00631592" w:rsidP="00631592">
      <w:pPr>
        <w:pStyle w:val="mpcbullets1"/>
        <w:numPr>
          <w:ilvl w:val="0"/>
          <w:numId w:val="0"/>
        </w:numPr>
        <w:ind w:left="360" w:hanging="360"/>
        <w:rPr>
          <w:i/>
          <w:iCs/>
        </w:rPr>
      </w:pPr>
      <w:r w:rsidRPr="00267F53">
        <w:rPr>
          <w:i/>
          <w:iCs/>
        </w:rPr>
        <w:t>If no – go to Question 7</w:t>
      </w:r>
    </w:p>
    <w:p w14:paraId="28D598A4" w14:textId="77777777" w:rsidR="00631592" w:rsidRPr="00267F53" w:rsidRDefault="00631592" w:rsidP="00631592">
      <w:pPr>
        <w:pStyle w:val="mpcbullets1"/>
        <w:numPr>
          <w:ilvl w:val="0"/>
          <w:numId w:val="0"/>
        </w:numPr>
        <w:ind w:left="360" w:hanging="360"/>
        <w:rPr>
          <w:i/>
          <w:iCs/>
        </w:rPr>
      </w:pPr>
    </w:p>
    <w:p w14:paraId="254D91F0" w14:textId="77777777" w:rsidR="00631592" w:rsidRPr="00267F53" w:rsidRDefault="00631592" w:rsidP="00FC59C0">
      <w:pPr>
        <w:pStyle w:val="ListParagraph"/>
        <w:keepNext/>
        <w:numPr>
          <w:ilvl w:val="0"/>
          <w:numId w:val="7"/>
        </w:numPr>
        <w:rPr>
          <w:b/>
          <w:bCs/>
        </w:rPr>
      </w:pPr>
      <w:r w:rsidRPr="00267F53">
        <w:rPr>
          <w:b/>
          <w:bCs/>
        </w:rPr>
        <w:t>What was the nature of the inconsistency?</w:t>
      </w:r>
    </w:p>
    <w:p w14:paraId="2BE46D2B" w14:textId="77777777" w:rsidR="00631592" w:rsidRPr="00267F53" w:rsidRDefault="00631592" w:rsidP="00631592">
      <w:pPr>
        <w:pStyle w:val="ListParagraph"/>
        <w:keepNext/>
        <w:ind w:left="360"/>
        <w:rPr>
          <w:b/>
          <w:bCs/>
        </w:rPr>
      </w:pPr>
      <w:r w:rsidRPr="00267F53">
        <w:rPr>
          <w:b/>
          <w:bCs/>
        </w:rPr>
        <w:t xml:space="preserve"> </w:t>
      </w:r>
    </w:p>
    <w:p w14:paraId="753CE14F" w14:textId="77777777" w:rsidR="00631592" w:rsidRPr="00267F53" w:rsidRDefault="00631592" w:rsidP="00FC59C0">
      <w:pPr>
        <w:pStyle w:val="ListParagraph"/>
        <w:keepNext/>
        <w:numPr>
          <w:ilvl w:val="0"/>
          <w:numId w:val="7"/>
        </w:numPr>
        <w:rPr>
          <w:b/>
          <w:bCs/>
        </w:rPr>
      </w:pPr>
      <w:r w:rsidRPr="00267F53">
        <w:rPr>
          <w:b/>
          <w:bCs/>
        </w:rPr>
        <w:t>What was the impact on your business?</w:t>
      </w:r>
      <w:r w:rsidRPr="00267F53">
        <w:t xml:space="preserve"> </w:t>
      </w:r>
    </w:p>
    <w:p w14:paraId="3B9C99F9" w14:textId="77777777" w:rsidR="00631592" w:rsidRPr="00267F53" w:rsidRDefault="00631592" w:rsidP="00631592">
      <w:pPr>
        <w:pStyle w:val="ListParagraph"/>
      </w:pPr>
    </w:p>
    <w:p w14:paraId="01CBAC1E" w14:textId="77777777" w:rsidR="00631592" w:rsidRPr="00267F53" w:rsidRDefault="00631592" w:rsidP="00631592">
      <w:pPr>
        <w:keepNext/>
        <w:ind w:left="360"/>
        <w:rPr>
          <w:b/>
          <w:bCs/>
        </w:rPr>
      </w:pPr>
      <w:r w:rsidRPr="00267F53">
        <w:t>Please provide examples or case studies of the impact this issue has on your business and where possible, try to quantify the impact (in terms of the associated cost, compliance burden, market disadvantage, lost opportunity, duplication of effort, etc.).</w:t>
      </w:r>
    </w:p>
    <w:p w14:paraId="7D96B963" w14:textId="77777777" w:rsidR="00631592" w:rsidRPr="00267F53" w:rsidRDefault="00631592" w:rsidP="00631592">
      <w:pPr>
        <w:pStyle w:val="ListParagraph"/>
        <w:rPr>
          <w:b/>
          <w:bCs/>
        </w:rPr>
      </w:pPr>
    </w:p>
    <w:p w14:paraId="1A52F78A" w14:textId="77777777" w:rsidR="00631592" w:rsidRPr="00267F53" w:rsidRDefault="00631592" w:rsidP="00FC59C0">
      <w:pPr>
        <w:pStyle w:val="ListParagraph"/>
        <w:numPr>
          <w:ilvl w:val="0"/>
          <w:numId w:val="7"/>
        </w:numPr>
        <w:rPr>
          <w:b/>
          <w:bCs/>
        </w:rPr>
      </w:pPr>
      <w:r w:rsidRPr="00267F53">
        <w:rPr>
          <w:b/>
          <w:bCs/>
        </w:rPr>
        <w:t>Are there any other areas of food regulation (law or practice) that are inconsistent between States and Territories, or between Australia and New Zealand, that adversely impact your business?</w:t>
      </w:r>
    </w:p>
    <w:p w14:paraId="7BEF3B2D" w14:textId="77777777" w:rsidR="00631592" w:rsidRPr="00267F53" w:rsidRDefault="00631592" w:rsidP="00631592">
      <w:pPr>
        <w:rPr>
          <w:b/>
          <w:bCs/>
        </w:rPr>
      </w:pPr>
    </w:p>
    <w:p w14:paraId="23BE2995" w14:textId="77777777" w:rsidR="00631592" w:rsidRPr="00267F53" w:rsidRDefault="00631592" w:rsidP="00631592">
      <w:pPr>
        <w:ind w:left="360"/>
      </w:pPr>
      <w:r w:rsidRPr="00267F53">
        <w:t xml:space="preserve">For each identified area, please describe the issue and how it impacts on your business. </w:t>
      </w:r>
    </w:p>
    <w:p w14:paraId="514DF2E6" w14:textId="77777777" w:rsidR="00631592" w:rsidRPr="00267F53" w:rsidRDefault="00631592" w:rsidP="00631592">
      <w:pPr>
        <w:ind w:left="360"/>
      </w:pPr>
      <w:r w:rsidRPr="00267F53">
        <w:t>Provide examples or case studies and where possible, try to quantify the impact (in terms of the associated cost, compliance burden, market disadvantage, lost opportunity, duplication of effort, etc.).</w:t>
      </w:r>
    </w:p>
    <w:p w14:paraId="366C3D1E" w14:textId="77777777" w:rsidR="00631592" w:rsidRPr="00267F53" w:rsidRDefault="00631592" w:rsidP="00631592">
      <w:pPr>
        <w:rPr>
          <w:b/>
          <w:bCs/>
        </w:rPr>
      </w:pPr>
    </w:p>
    <w:p w14:paraId="71718063" w14:textId="77777777" w:rsidR="00631592" w:rsidRPr="00267F53" w:rsidRDefault="00631592" w:rsidP="00FC59C0">
      <w:pPr>
        <w:pStyle w:val="ListParagraph"/>
        <w:numPr>
          <w:ilvl w:val="0"/>
          <w:numId w:val="7"/>
        </w:numPr>
        <w:rPr>
          <w:b/>
          <w:bCs/>
        </w:rPr>
      </w:pPr>
      <w:r w:rsidRPr="00267F53">
        <w:rPr>
          <w:b/>
          <w:bCs/>
        </w:rPr>
        <w:t>Are there any areas of duplication between the food regulatory system and related regulatory systems?</w:t>
      </w:r>
    </w:p>
    <w:p w14:paraId="2A5743A9" w14:textId="77777777" w:rsidR="00631592" w:rsidRPr="00267F53" w:rsidRDefault="00631592" w:rsidP="00631592">
      <w:pPr>
        <w:ind w:left="360"/>
        <w:rPr>
          <w:bCs/>
        </w:rPr>
      </w:pPr>
    </w:p>
    <w:p w14:paraId="70CB813C" w14:textId="77777777" w:rsidR="00631592" w:rsidRPr="00267F53" w:rsidRDefault="00631592" w:rsidP="00631592">
      <w:pPr>
        <w:ind w:left="360"/>
        <w:rPr>
          <w:bCs/>
        </w:rPr>
      </w:pPr>
      <w:r w:rsidRPr="00267F53">
        <w:rPr>
          <w:bCs/>
        </w:rPr>
        <w:t>Other regulatory systems could include consumer affairs, biosecurity, agriculture, therapeutic goods, etc.</w:t>
      </w:r>
    </w:p>
    <w:p w14:paraId="4A29C8A4" w14:textId="77777777" w:rsidR="00631592" w:rsidRPr="00267F53" w:rsidRDefault="00631592" w:rsidP="00631592">
      <w:pPr>
        <w:ind w:left="360"/>
        <w:rPr>
          <w:bCs/>
        </w:rPr>
      </w:pPr>
    </w:p>
    <w:p w14:paraId="40032082" w14:textId="77777777" w:rsidR="00631592" w:rsidRPr="00267F53" w:rsidRDefault="00631592" w:rsidP="00631592">
      <w:pPr>
        <w:ind w:left="360"/>
        <w:rPr>
          <w:bCs/>
        </w:rPr>
      </w:pPr>
      <w:r w:rsidRPr="00267F53">
        <w:rPr>
          <w:bCs/>
        </w:rPr>
        <w:t>Please describe these below.</w:t>
      </w:r>
    </w:p>
    <w:p w14:paraId="5302E867" w14:textId="77777777" w:rsidR="00631592" w:rsidRPr="00267F53" w:rsidRDefault="00631592" w:rsidP="00631592">
      <w:pPr>
        <w:rPr>
          <w:bCs/>
        </w:rPr>
      </w:pPr>
    </w:p>
    <w:p w14:paraId="319A94B4" w14:textId="77777777" w:rsidR="00631592" w:rsidRPr="00267F53" w:rsidRDefault="00631592" w:rsidP="00FC59C0">
      <w:pPr>
        <w:pStyle w:val="ListParagraph"/>
        <w:keepNext/>
        <w:numPr>
          <w:ilvl w:val="0"/>
          <w:numId w:val="7"/>
        </w:numPr>
        <w:rPr>
          <w:b/>
          <w:bCs/>
        </w:rPr>
      </w:pPr>
      <w:r w:rsidRPr="00267F53">
        <w:rPr>
          <w:b/>
          <w:bCs/>
        </w:rPr>
        <w:t>Inconsistency in food regulation is:</w:t>
      </w:r>
    </w:p>
    <w:p w14:paraId="12479CB4" w14:textId="77777777" w:rsidR="00631592" w:rsidRPr="00267F53" w:rsidRDefault="00631592" w:rsidP="00631592">
      <w:pPr>
        <w:pStyle w:val="mpcbullets1"/>
        <w:numPr>
          <w:ilvl w:val="0"/>
          <w:numId w:val="0"/>
        </w:numPr>
        <w:ind w:left="360" w:hanging="360"/>
      </w:pPr>
    </w:p>
    <w:p w14:paraId="60535AAA" w14:textId="77777777" w:rsidR="00631592" w:rsidRPr="00267F53" w:rsidRDefault="00631592" w:rsidP="00FC59C0">
      <w:pPr>
        <w:pStyle w:val="mpcbullets1"/>
        <w:numPr>
          <w:ilvl w:val="0"/>
          <w:numId w:val="8"/>
        </w:numPr>
        <w:ind w:left="720"/>
      </w:pPr>
      <w:r w:rsidRPr="00267F53">
        <w:t>Not an issue for my business</w:t>
      </w:r>
    </w:p>
    <w:p w14:paraId="78CA0B37" w14:textId="77777777" w:rsidR="00631592" w:rsidRPr="00267F53" w:rsidRDefault="00631592" w:rsidP="00FC59C0">
      <w:pPr>
        <w:pStyle w:val="mpcbullets1"/>
        <w:numPr>
          <w:ilvl w:val="0"/>
          <w:numId w:val="8"/>
        </w:numPr>
        <w:ind w:left="720"/>
      </w:pPr>
      <w:r w:rsidRPr="00267F53">
        <w:t>A minor issue for my business</w:t>
      </w:r>
    </w:p>
    <w:p w14:paraId="7A1D268D" w14:textId="77777777" w:rsidR="00631592" w:rsidRPr="00267F53" w:rsidRDefault="00631592" w:rsidP="00FC59C0">
      <w:pPr>
        <w:pStyle w:val="mpcbullets1"/>
        <w:numPr>
          <w:ilvl w:val="0"/>
          <w:numId w:val="8"/>
        </w:numPr>
        <w:ind w:left="720"/>
      </w:pPr>
      <w:r w:rsidRPr="00267F53">
        <w:t>A somewhat major issue for my business</w:t>
      </w:r>
    </w:p>
    <w:p w14:paraId="4B5CECE1" w14:textId="77777777" w:rsidR="00631592" w:rsidRPr="00267F53" w:rsidRDefault="00631592" w:rsidP="00FC59C0">
      <w:pPr>
        <w:pStyle w:val="mpcbullets1"/>
        <w:numPr>
          <w:ilvl w:val="0"/>
          <w:numId w:val="8"/>
        </w:numPr>
        <w:ind w:left="720"/>
      </w:pPr>
      <w:r w:rsidRPr="00267F53">
        <w:t xml:space="preserve">A significant issue for my business </w:t>
      </w:r>
    </w:p>
    <w:p w14:paraId="46F83EBE" w14:textId="77777777" w:rsidR="00631592" w:rsidRPr="00267F53" w:rsidRDefault="00631592" w:rsidP="00631592"/>
    <w:p w14:paraId="3C8BD20B" w14:textId="77777777" w:rsidR="00631592" w:rsidRPr="00267F53" w:rsidRDefault="00631592" w:rsidP="003E4E49">
      <w:pPr>
        <w:pStyle w:val="Heading4"/>
        <w:pBdr>
          <w:top w:val="single" w:sz="4" w:space="1" w:color="auto"/>
          <w:left w:val="single" w:sz="4" w:space="4" w:color="auto"/>
          <w:bottom w:val="single" w:sz="4" w:space="1" w:color="auto"/>
          <w:right w:val="single" w:sz="4" w:space="4" w:color="auto"/>
        </w:pBdr>
      </w:pPr>
      <w:bookmarkStart w:id="54" w:name="_Questions_for_Government"/>
      <w:bookmarkEnd w:id="54"/>
      <w:r w:rsidRPr="00267F53">
        <w:t xml:space="preserve">Questions for Government Stakeholders  </w:t>
      </w:r>
    </w:p>
    <w:p w14:paraId="5B05D3B9" w14:textId="77777777" w:rsidR="00631592" w:rsidRPr="00267F53" w:rsidRDefault="00631592" w:rsidP="00631592">
      <w:pPr>
        <w:keepNext/>
      </w:pPr>
    </w:p>
    <w:p w14:paraId="09985759" w14:textId="77777777" w:rsidR="00631592" w:rsidRPr="00267F53" w:rsidRDefault="00631592" w:rsidP="00FC59C0">
      <w:pPr>
        <w:pStyle w:val="ListParagraph"/>
        <w:keepNext/>
        <w:numPr>
          <w:ilvl w:val="0"/>
          <w:numId w:val="9"/>
        </w:numPr>
        <w:rPr>
          <w:b/>
          <w:bCs/>
        </w:rPr>
      </w:pPr>
      <w:r w:rsidRPr="00267F53">
        <w:rPr>
          <w:b/>
          <w:bCs/>
        </w:rPr>
        <w:t xml:space="preserve">What level of Government do you represent? </w:t>
      </w:r>
    </w:p>
    <w:p w14:paraId="345B9D77" w14:textId="77777777" w:rsidR="00631592" w:rsidRPr="00267F53" w:rsidRDefault="00631592" w:rsidP="00631592">
      <w:pPr>
        <w:keepNext/>
        <w:rPr>
          <w:b/>
          <w:bCs/>
        </w:rPr>
      </w:pPr>
    </w:p>
    <w:p w14:paraId="39B4B78C" w14:textId="77777777" w:rsidR="00631592" w:rsidRPr="00267F53" w:rsidRDefault="00631592" w:rsidP="00FC59C0">
      <w:pPr>
        <w:pStyle w:val="mpcbullets1"/>
        <w:numPr>
          <w:ilvl w:val="0"/>
          <w:numId w:val="8"/>
        </w:numPr>
        <w:ind w:left="720"/>
      </w:pPr>
      <w:r w:rsidRPr="00267F53">
        <w:t>Local Government</w:t>
      </w:r>
    </w:p>
    <w:p w14:paraId="64F23D1D" w14:textId="77777777" w:rsidR="00631592" w:rsidRPr="00267F53" w:rsidRDefault="00631592" w:rsidP="00FC59C0">
      <w:pPr>
        <w:pStyle w:val="mpcbullets1"/>
        <w:numPr>
          <w:ilvl w:val="0"/>
          <w:numId w:val="8"/>
        </w:numPr>
        <w:ind w:left="720"/>
      </w:pPr>
      <w:r w:rsidRPr="00267F53">
        <w:t>State Government</w:t>
      </w:r>
    </w:p>
    <w:p w14:paraId="3C1F77C6" w14:textId="77777777" w:rsidR="00631592" w:rsidRPr="00267F53" w:rsidRDefault="00631592" w:rsidP="00FC59C0">
      <w:pPr>
        <w:pStyle w:val="mpcbullets1"/>
        <w:numPr>
          <w:ilvl w:val="0"/>
          <w:numId w:val="8"/>
        </w:numPr>
        <w:ind w:left="720"/>
      </w:pPr>
      <w:r w:rsidRPr="00267F53">
        <w:t>Federal Government</w:t>
      </w:r>
    </w:p>
    <w:p w14:paraId="1E42B289" w14:textId="77777777" w:rsidR="00631592" w:rsidRPr="00267F53" w:rsidRDefault="00631592" w:rsidP="00631592">
      <w:pPr>
        <w:keepNext/>
        <w:rPr>
          <w:b/>
          <w:bCs/>
        </w:rPr>
      </w:pPr>
    </w:p>
    <w:p w14:paraId="7FC7EFCE" w14:textId="77777777" w:rsidR="00631592" w:rsidRPr="00267F53" w:rsidRDefault="00631592" w:rsidP="00FC59C0">
      <w:pPr>
        <w:pStyle w:val="ListParagraph"/>
        <w:keepNext/>
        <w:numPr>
          <w:ilvl w:val="0"/>
          <w:numId w:val="9"/>
        </w:numPr>
        <w:rPr>
          <w:b/>
          <w:bCs/>
        </w:rPr>
      </w:pPr>
      <w:r w:rsidRPr="00267F53">
        <w:rPr>
          <w:b/>
          <w:bCs/>
        </w:rPr>
        <w:t>Identify any areas of food regulation that are inconsistent between States and Territories, or between Australia and New Zealand, that you consider adversely impact food businesses and/or regulatory outcomes. For each of these, please describe:</w:t>
      </w:r>
    </w:p>
    <w:p w14:paraId="3447C153" w14:textId="77777777" w:rsidR="00631592" w:rsidRPr="00267F53" w:rsidRDefault="00631592" w:rsidP="00631592">
      <w:pPr>
        <w:rPr>
          <w:b/>
          <w:bCs/>
        </w:rPr>
      </w:pPr>
    </w:p>
    <w:p w14:paraId="3FD060FF" w14:textId="77777777" w:rsidR="00631592" w:rsidRPr="00267F53" w:rsidRDefault="00631592" w:rsidP="00FC59C0">
      <w:pPr>
        <w:pStyle w:val="ListParagraph"/>
        <w:numPr>
          <w:ilvl w:val="0"/>
          <w:numId w:val="10"/>
        </w:numPr>
        <w:rPr>
          <w:b/>
          <w:bCs/>
        </w:rPr>
      </w:pPr>
      <w:r w:rsidRPr="00267F53">
        <w:rPr>
          <w:b/>
          <w:bCs/>
        </w:rPr>
        <w:t>the nature or source of the inconsistency</w:t>
      </w:r>
    </w:p>
    <w:p w14:paraId="3825FA4B" w14:textId="77777777" w:rsidR="00631592" w:rsidRPr="00267F53" w:rsidRDefault="00631592" w:rsidP="00631592"/>
    <w:p w14:paraId="23FFD90D" w14:textId="77777777" w:rsidR="00631592" w:rsidRPr="00267F53" w:rsidRDefault="00631592" w:rsidP="00FC59C0">
      <w:pPr>
        <w:pStyle w:val="ListParagraph"/>
        <w:numPr>
          <w:ilvl w:val="0"/>
          <w:numId w:val="10"/>
        </w:numPr>
        <w:rPr>
          <w:b/>
          <w:bCs/>
        </w:rPr>
      </w:pPr>
      <w:r w:rsidRPr="00267F53">
        <w:rPr>
          <w:b/>
          <w:bCs/>
        </w:rPr>
        <w:t xml:space="preserve">the impact of the inconsistency </w:t>
      </w:r>
    </w:p>
    <w:p w14:paraId="29369E57" w14:textId="77777777" w:rsidR="00631592" w:rsidRPr="00267F53" w:rsidRDefault="00631592" w:rsidP="00631592">
      <w:pPr>
        <w:pStyle w:val="ListParagraph"/>
      </w:pPr>
    </w:p>
    <w:p w14:paraId="2F65488C" w14:textId="77777777" w:rsidR="00631592" w:rsidRPr="00267F53" w:rsidRDefault="00631592" w:rsidP="00631592">
      <w:pPr>
        <w:pStyle w:val="ListParagraph"/>
      </w:pPr>
      <w:r w:rsidRPr="00267F53">
        <w:t xml:space="preserve">Please provide examples or case studies and where possible, try to quantify the impact. </w:t>
      </w:r>
    </w:p>
    <w:p w14:paraId="5B9CEDA3" w14:textId="77777777" w:rsidR="00631592" w:rsidRPr="00267F53" w:rsidRDefault="00631592" w:rsidP="00631592">
      <w:pPr>
        <w:pStyle w:val="ListParagraph"/>
      </w:pPr>
    </w:p>
    <w:p w14:paraId="2E556AB2" w14:textId="77777777" w:rsidR="00631592" w:rsidRPr="00267F53" w:rsidRDefault="00631592" w:rsidP="00631592">
      <w:pPr>
        <w:pStyle w:val="ListParagraph"/>
      </w:pPr>
      <w:r w:rsidRPr="00267F53">
        <w:t xml:space="preserve">Impacts might include undermining food safety objectives, challenges in monitoring and enforcing regulation, poor regulatory outcomes, reputational damage to the food regulatory system or adverse outcomes for food businesses (in terms of cost, compliance burden, market disadvantage, lost opportunity, duplication of effort, etc.). </w:t>
      </w:r>
    </w:p>
    <w:p w14:paraId="1DEAF865" w14:textId="77777777" w:rsidR="00631592" w:rsidRPr="00267F53" w:rsidRDefault="00631592" w:rsidP="00631592">
      <w:pPr>
        <w:keepNext/>
        <w:rPr>
          <w:b/>
          <w:bCs/>
        </w:rPr>
      </w:pPr>
    </w:p>
    <w:p w14:paraId="5A480A57" w14:textId="77777777" w:rsidR="00631592" w:rsidRPr="00267F53" w:rsidRDefault="00631592" w:rsidP="00FC59C0">
      <w:pPr>
        <w:pStyle w:val="ListParagraph"/>
        <w:keepNext/>
        <w:numPr>
          <w:ilvl w:val="0"/>
          <w:numId w:val="9"/>
        </w:numPr>
        <w:rPr>
          <w:b/>
          <w:bCs/>
        </w:rPr>
      </w:pPr>
      <w:r w:rsidRPr="00267F53">
        <w:rPr>
          <w:b/>
          <w:bCs/>
        </w:rPr>
        <w:t>Are there any areas of duplication between the food regulatory system and related regulatory systems?</w:t>
      </w:r>
    </w:p>
    <w:p w14:paraId="18C188AB" w14:textId="77777777" w:rsidR="00631592" w:rsidRPr="00267F53" w:rsidRDefault="00631592" w:rsidP="00631592">
      <w:pPr>
        <w:pStyle w:val="ListParagraph"/>
        <w:keepNext/>
        <w:ind w:left="360"/>
        <w:rPr>
          <w:bCs/>
        </w:rPr>
      </w:pPr>
    </w:p>
    <w:p w14:paraId="53A4D286" w14:textId="77777777" w:rsidR="00631592" w:rsidRPr="00267F53" w:rsidRDefault="00631592" w:rsidP="00631592">
      <w:pPr>
        <w:pStyle w:val="ListParagraph"/>
        <w:keepNext/>
        <w:ind w:left="360"/>
        <w:rPr>
          <w:bCs/>
        </w:rPr>
      </w:pPr>
      <w:r w:rsidRPr="00267F53">
        <w:rPr>
          <w:bCs/>
        </w:rPr>
        <w:t>Other regulatory systems could include consumer affairs, biosecurity, agriculture, therapeutic goods, etc.</w:t>
      </w:r>
    </w:p>
    <w:p w14:paraId="752D46AD" w14:textId="77777777" w:rsidR="00631592" w:rsidRPr="00267F53" w:rsidRDefault="00631592" w:rsidP="00631592">
      <w:pPr>
        <w:pStyle w:val="ListParagraph"/>
        <w:keepNext/>
        <w:ind w:left="360"/>
        <w:rPr>
          <w:bCs/>
        </w:rPr>
      </w:pPr>
    </w:p>
    <w:p w14:paraId="64FD5F8B" w14:textId="77777777" w:rsidR="00631592" w:rsidRPr="00267F53" w:rsidRDefault="00631592" w:rsidP="00631592">
      <w:pPr>
        <w:pStyle w:val="ListParagraph"/>
        <w:keepNext/>
        <w:ind w:left="360"/>
        <w:rPr>
          <w:bCs/>
        </w:rPr>
      </w:pPr>
      <w:r w:rsidRPr="00267F53">
        <w:rPr>
          <w:bCs/>
        </w:rPr>
        <w:t>Please describe these below.</w:t>
      </w:r>
    </w:p>
    <w:p w14:paraId="67474BB5" w14:textId="77777777" w:rsidR="00631592" w:rsidRPr="00267F53" w:rsidRDefault="00631592" w:rsidP="00631592">
      <w:pPr>
        <w:keepNext/>
        <w:rPr>
          <w:b/>
          <w:bCs/>
        </w:rPr>
      </w:pPr>
    </w:p>
    <w:p w14:paraId="35305464" w14:textId="77777777" w:rsidR="00631592" w:rsidRPr="00267F53" w:rsidRDefault="00631592" w:rsidP="00FC59C0">
      <w:pPr>
        <w:pStyle w:val="ListParagraph"/>
        <w:keepNext/>
        <w:numPr>
          <w:ilvl w:val="0"/>
          <w:numId w:val="9"/>
        </w:numPr>
        <w:rPr>
          <w:b/>
          <w:bCs/>
        </w:rPr>
      </w:pPr>
      <w:r w:rsidRPr="00267F53">
        <w:rPr>
          <w:b/>
          <w:bCs/>
        </w:rPr>
        <w:t>Are there any other areas of the food regulatory system that could be adjusted to improve the way regulation is implemented, monitored and enforced?</w:t>
      </w:r>
    </w:p>
    <w:p w14:paraId="1A2260EA" w14:textId="77777777" w:rsidR="00631592" w:rsidRPr="00267F53" w:rsidRDefault="00631592" w:rsidP="00631592">
      <w:pPr>
        <w:pStyle w:val="ListParagraph"/>
        <w:rPr>
          <w:b/>
          <w:bCs/>
        </w:rPr>
      </w:pPr>
    </w:p>
    <w:p w14:paraId="33ECA9A8" w14:textId="77777777" w:rsidR="00631592" w:rsidRPr="00267F53" w:rsidRDefault="00631592" w:rsidP="00631592">
      <w:pPr>
        <w:pStyle w:val="ListParagraph"/>
        <w:keepNext/>
        <w:ind w:left="360"/>
      </w:pPr>
      <w:r w:rsidRPr="00267F53">
        <w:rPr>
          <w:bCs/>
        </w:rPr>
        <w:t>Consider</w:t>
      </w:r>
      <w:r w:rsidRPr="00267F53">
        <w:t xml:space="preserve"> for example, changes to the Food Standards Code or the Model Food Provisions, providing additional guidance to regulators/industry, improving coordination across regulators, better using data and technology to regulate food businesses, etc.</w:t>
      </w:r>
    </w:p>
    <w:p w14:paraId="193551CC" w14:textId="77777777" w:rsidR="00631592" w:rsidRPr="00267F53" w:rsidRDefault="00631592" w:rsidP="00631592">
      <w:pPr>
        <w:keepNext/>
        <w:rPr>
          <w:b/>
          <w:bCs/>
        </w:rPr>
      </w:pPr>
    </w:p>
    <w:p w14:paraId="2D8FC8B1" w14:textId="77777777" w:rsidR="00631592" w:rsidRPr="00267F53" w:rsidRDefault="00631592" w:rsidP="00FC59C0">
      <w:pPr>
        <w:pStyle w:val="ListParagraph"/>
        <w:keepNext/>
        <w:numPr>
          <w:ilvl w:val="0"/>
          <w:numId w:val="9"/>
        </w:numPr>
        <w:rPr>
          <w:b/>
          <w:bCs/>
        </w:rPr>
      </w:pPr>
      <w:r w:rsidRPr="00267F53">
        <w:rPr>
          <w:b/>
          <w:bCs/>
        </w:rPr>
        <w:t>I consider inconsistency in food regulation to be:</w:t>
      </w:r>
    </w:p>
    <w:p w14:paraId="0012F004" w14:textId="77777777" w:rsidR="00631592" w:rsidRPr="00267F53" w:rsidRDefault="00631592" w:rsidP="00631592">
      <w:pPr>
        <w:pStyle w:val="mpcbullets1"/>
        <w:numPr>
          <w:ilvl w:val="0"/>
          <w:numId w:val="0"/>
        </w:numPr>
        <w:ind w:left="360" w:hanging="360"/>
      </w:pPr>
    </w:p>
    <w:p w14:paraId="718E8864" w14:textId="77777777" w:rsidR="00631592" w:rsidRPr="00267F53" w:rsidRDefault="00631592" w:rsidP="00FC59C0">
      <w:pPr>
        <w:pStyle w:val="mpcbullets1"/>
        <w:numPr>
          <w:ilvl w:val="0"/>
          <w:numId w:val="8"/>
        </w:numPr>
        <w:ind w:left="720"/>
      </w:pPr>
      <w:r w:rsidRPr="00267F53">
        <w:t xml:space="preserve">Not an issue for government </w:t>
      </w:r>
    </w:p>
    <w:p w14:paraId="0413545A" w14:textId="77777777" w:rsidR="00631592" w:rsidRPr="00267F53" w:rsidRDefault="00631592" w:rsidP="00FC59C0">
      <w:pPr>
        <w:pStyle w:val="mpcbullets1"/>
        <w:numPr>
          <w:ilvl w:val="0"/>
          <w:numId w:val="8"/>
        </w:numPr>
        <w:ind w:left="720"/>
      </w:pPr>
      <w:r w:rsidRPr="00267F53">
        <w:t>A minor issue for government</w:t>
      </w:r>
    </w:p>
    <w:p w14:paraId="7497B0B9" w14:textId="77777777" w:rsidR="00631592" w:rsidRPr="00267F53" w:rsidRDefault="00631592" w:rsidP="00FC59C0">
      <w:pPr>
        <w:pStyle w:val="mpcbullets1"/>
        <w:numPr>
          <w:ilvl w:val="0"/>
          <w:numId w:val="8"/>
        </w:numPr>
        <w:ind w:left="720"/>
      </w:pPr>
      <w:r w:rsidRPr="00267F53">
        <w:t>A somewhat major issue for government</w:t>
      </w:r>
    </w:p>
    <w:p w14:paraId="7A63939A" w14:textId="77777777" w:rsidR="00631592" w:rsidRPr="00267F53" w:rsidRDefault="00631592" w:rsidP="00FC59C0">
      <w:pPr>
        <w:pStyle w:val="mpcbullets1"/>
        <w:numPr>
          <w:ilvl w:val="0"/>
          <w:numId w:val="8"/>
        </w:numPr>
        <w:ind w:left="720"/>
      </w:pPr>
      <w:r w:rsidRPr="00267F53">
        <w:t>A significant issue for government</w:t>
      </w:r>
    </w:p>
    <w:p w14:paraId="59227873" w14:textId="77777777" w:rsidR="00631592" w:rsidRPr="00267F53" w:rsidRDefault="00631592" w:rsidP="00631592"/>
    <w:p w14:paraId="1A73B736" w14:textId="77777777" w:rsidR="00631592" w:rsidRPr="00267F53" w:rsidRDefault="00631592" w:rsidP="003E4E49">
      <w:pPr>
        <w:pStyle w:val="Heading4"/>
        <w:pBdr>
          <w:top w:val="single" w:sz="4" w:space="1" w:color="auto"/>
          <w:left w:val="single" w:sz="4" w:space="4" w:color="auto"/>
          <w:bottom w:val="single" w:sz="4" w:space="1" w:color="auto"/>
          <w:right w:val="single" w:sz="4" w:space="4" w:color="auto"/>
        </w:pBdr>
      </w:pPr>
      <w:bookmarkStart w:id="55" w:name="_Questions_for_Other"/>
      <w:bookmarkEnd w:id="55"/>
      <w:r w:rsidRPr="00267F53">
        <w:t>Questions for Other Stakeholders</w:t>
      </w:r>
    </w:p>
    <w:p w14:paraId="64484784" w14:textId="77777777" w:rsidR="00631592" w:rsidRPr="00267F53" w:rsidRDefault="00631592" w:rsidP="00631592">
      <w:pPr>
        <w:keepNext/>
      </w:pPr>
    </w:p>
    <w:p w14:paraId="43EC75EF" w14:textId="77777777" w:rsidR="00631592" w:rsidRPr="00267F53" w:rsidRDefault="00631592" w:rsidP="00FC59C0">
      <w:pPr>
        <w:pStyle w:val="ListParagraph"/>
        <w:keepNext/>
        <w:numPr>
          <w:ilvl w:val="0"/>
          <w:numId w:val="11"/>
        </w:numPr>
        <w:rPr>
          <w:b/>
          <w:bCs/>
        </w:rPr>
      </w:pPr>
      <w:r w:rsidRPr="00267F53">
        <w:rPr>
          <w:b/>
          <w:bCs/>
        </w:rPr>
        <w:t>What other sector do you represent?</w:t>
      </w:r>
    </w:p>
    <w:p w14:paraId="617529A3" w14:textId="77777777" w:rsidR="00631592" w:rsidRPr="00267F53" w:rsidRDefault="00631592" w:rsidP="00631592">
      <w:pPr>
        <w:keepNext/>
        <w:rPr>
          <w:b/>
          <w:bCs/>
        </w:rPr>
      </w:pPr>
    </w:p>
    <w:p w14:paraId="66CB4DEB" w14:textId="77777777" w:rsidR="00631592" w:rsidRPr="00267F53" w:rsidRDefault="00631592" w:rsidP="00FC59C0">
      <w:pPr>
        <w:pStyle w:val="mpcbullets1"/>
        <w:numPr>
          <w:ilvl w:val="0"/>
          <w:numId w:val="8"/>
        </w:numPr>
        <w:ind w:left="720"/>
      </w:pPr>
      <w:r w:rsidRPr="00267F53">
        <w:t xml:space="preserve">Third party auditor   </w:t>
      </w:r>
    </w:p>
    <w:p w14:paraId="20792C4E" w14:textId="77777777" w:rsidR="00631592" w:rsidRPr="00267F53" w:rsidRDefault="00631592" w:rsidP="00FC59C0">
      <w:pPr>
        <w:pStyle w:val="mpcbullets1"/>
        <w:numPr>
          <w:ilvl w:val="0"/>
          <w:numId w:val="8"/>
        </w:numPr>
        <w:ind w:left="720"/>
      </w:pPr>
      <w:r w:rsidRPr="00267F53">
        <w:t xml:space="preserve">General Public   </w:t>
      </w:r>
    </w:p>
    <w:p w14:paraId="63A57072" w14:textId="77777777" w:rsidR="00631592" w:rsidRPr="00267F53" w:rsidRDefault="00631592" w:rsidP="00FC59C0">
      <w:pPr>
        <w:pStyle w:val="mpcbullets1"/>
        <w:numPr>
          <w:ilvl w:val="0"/>
          <w:numId w:val="8"/>
        </w:numPr>
        <w:ind w:left="720"/>
      </w:pPr>
      <w:r w:rsidRPr="00267F53">
        <w:t xml:space="preserve">Consumer Organisation   </w:t>
      </w:r>
    </w:p>
    <w:p w14:paraId="5CD7A386" w14:textId="77777777" w:rsidR="00631592" w:rsidRPr="00267F53" w:rsidRDefault="00631592" w:rsidP="00FC59C0">
      <w:pPr>
        <w:pStyle w:val="mpcbullets1"/>
        <w:numPr>
          <w:ilvl w:val="0"/>
          <w:numId w:val="8"/>
        </w:numPr>
        <w:ind w:left="720"/>
      </w:pPr>
      <w:r w:rsidRPr="00267F53">
        <w:t xml:space="preserve">Public Health Professional   </w:t>
      </w:r>
    </w:p>
    <w:p w14:paraId="57A92AEA" w14:textId="77777777" w:rsidR="00631592" w:rsidRPr="00267F53" w:rsidRDefault="00631592" w:rsidP="00FC59C0">
      <w:pPr>
        <w:pStyle w:val="mpcbullets1"/>
        <w:numPr>
          <w:ilvl w:val="0"/>
          <w:numId w:val="8"/>
        </w:numPr>
        <w:ind w:left="720"/>
      </w:pPr>
      <w:r w:rsidRPr="00267F53">
        <w:t xml:space="preserve">Public Health Organisation   </w:t>
      </w:r>
    </w:p>
    <w:p w14:paraId="0FE027AE" w14:textId="77777777" w:rsidR="00631592" w:rsidRPr="00267F53" w:rsidRDefault="00631592" w:rsidP="00FC59C0">
      <w:pPr>
        <w:pStyle w:val="mpcbullets1"/>
        <w:numPr>
          <w:ilvl w:val="0"/>
          <w:numId w:val="8"/>
        </w:numPr>
        <w:ind w:left="720"/>
      </w:pPr>
      <w:r w:rsidRPr="00267F53">
        <w:t xml:space="preserve">Not-for-Profit Organisation   </w:t>
      </w:r>
    </w:p>
    <w:p w14:paraId="255EFB6E" w14:textId="77777777" w:rsidR="00631592" w:rsidRPr="00267F53" w:rsidRDefault="00631592" w:rsidP="00FC59C0">
      <w:pPr>
        <w:pStyle w:val="mpcbullets1"/>
        <w:numPr>
          <w:ilvl w:val="0"/>
          <w:numId w:val="8"/>
        </w:numPr>
        <w:ind w:left="720"/>
      </w:pPr>
      <w:r w:rsidRPr="00267F53">
        <w:t xml:space="preserve">Researcher   </w:t>
      </w:r>
    </w:p>
    <w:p w14:paraId="47E06DCC" w14:textId="77777777" w:rsidR="00631592" w:rsidRPr="00267F53" w:rsidRDefault="00631592" w:rsidP="00FC59C0">
      <w:pPr>
        <w:pStyle w:val="mpcbullets1"/>
        <w:numPr>
          <w:ilvl w:val="0"/>
          <w:numId w:val="8"/>
        </w:numPr>
        <w:ind w:left="720"/>
      </w:pPr>
      <w:r w:rsidRPr="00267F53">
        <w:t xml:space="preserve">Academic Institution   </w:t>
      </w:r>
    </w:p>
    <w:p w14:paraId="07E105DA" w14:textId="77777777" w:rsidR="00631592" w:rsidRPr="00267F53" w:rsidRDefault="00631592" w:rsidP="00FC59C0">
      <w:pPr>
        <w:pStyle w:val="mpcbullets1"/>
        <w:numPr>
          <w:ilvl w:val="0"/>
          <w:numId w:val="8"/>
        </w:numPr>
        <w:ind w:left="720"/>
      </w:pPr>
      <w:r w:rsidRPr="00267F53">
        <w:t xml:space="preserve">Consultant   </w:t>
      </w:r>
    </w:p>
    <w:p w14:paraId="5EAA2E65" w14:textId="77777777" w:rsidR="00631592" w:rsidRPr="00267F53" w:rsidRDefault="00631592" w:rsidP="00FC59C0">
      <w:pPr>
        <w:pStyle w:val="mpcbullets1"/>
        <w:numPr>
          <w:ilvl w:val="0"/>
          <w:numId w:val="8"/>
        </w:numPr>
        <w:ind w:left="720"/>
      </w:pPr>
      <w:r w:rsidRPr="00267F53">
        <w:t xml:space="preserve">Other (please specify)   </w:t>
      </w:r>
    </w:p>
    <w:p w14:paraId="41C2CD5B" w14:textId="77777777" w:rsidR="00631592" w:rsidRPr="00267F53" w:rsidRDefault="00631592" w:rsidP="00FC59C0">
      <w:pPr>
        <w:pStyle w:val="mpcbullets1"/>
        <w:numPr>
          <w:ilvl w:val="0"/>
          <w:numId w:val="8"/>
        </w:numPr>
        <w:ind w:left="720"/>
      </w:pPr>
      <w:r w:rsidRPr="00267F53">
        <w:t>Prefer not to say</w:t>
      </w:r>
    </w:p>
    <w:p w14:paraId="694CEEC7" w14:textId="77777777" w:rsidR="00631592" w:rsidRPr="00267F53" w:rsidRDefault="00631592" w:rsidP="00631592">
      <w:pPr>
        <w:keepNext/>
        <w:rPr>
          <w:b/>
          <w:bCs/>
        </w:rPr>
      </w:pPr>
    </w:p>
    <w:p w14:paraId="47713683" w14:textId="77777777" w:rsidR="00631592" w:rsidRPr="00267F53" w:rsidRDefault="00631592" w:rsidP="00FC59C0">
      <w:pPr>
        <w:pStyle w:val="ListParagraph"/>
        <w:keepNext/>
        <w:numPr>
          <w:ilvl w:val="0"/>
          <w:numId w:val="11"/>
        </w:numPr>
        <w:rPr>
          <w:b/>
          <w:bCs/>
        </w:rPr>
      </w:pPr>
      <w:r w:rsidRPr="00267F53">
        <w:rPr>
          <w:b/>
          <w:bCs/>
        </w:rPr>
        <w:t>Identify any areas of food regulation that are inconsistent between States and Territories, or between Australia and New Zealand, that you consider adversely impact food businesses and/or regulatory outcomes. For each of these, please describe:</w:t>
      </w:r>
    </w:p>
    <w:p w14:paraId="5D4520D8" w14:textId="77777777" w:rsidR="00631592" w:rsidRPr="00267F53" w:rsidRDefault="00631592" w:rsidP="00631592">
      <w:pPr>
        <w:rPr>
          <w:b/>
          <w:bCs/>
        </w:rPr>
      </w:pPr>
    </w:p>
    <w:p w14:paraId="4009F5D4" w14:textId="77777777" w:rsidR="00631592" w:rsidRPr="00267F53" w:rsidRDefault="00631592" w:rsidP="00FC59C0">
      <w:pPr>
        <w:pStyle w:val="ListParagraph"/>
        <w:numPr>
          <w:ilvl w:val="0"/>
          <w:numId w:val="12"/>
        </w:numPr>
        <w:rPr>
          <w:b/>
          <w:bCs/>
        </w:rPr>
      </w:pPr>
      <w:r w:rsidRPr="00267F53">
        <w:rPr>
          <w:b/>
          <w:bCs/>
        </w:rPr>
        <w:t>the nature or cause of the inconsistency</w:t>
      </w:r>
    </w:p>
    <w:p w14:paraId="5928AD6A" w14:textId="77777777" w:rsidR="00631592" w:rsidRPr="00267F53" w:rsidRDefault="00631592" w:rsidP="00631592">
      <w:pPr>
        <w:rPr>
          <w:b/>
          <w:bCs/>
        </w:rPr>
      </w:pPr>
    </w:p>
    <w:p w14:paraId="0891AED3" w14:textId="77777777" w:rsidR="00631592" w:rsidRPr="00267F53" w:rsidRDefault="00631592" w:rsidP="00FC59C0">
      <w:pPr>
        <w:pStyle w:val="ListParagraph"/>
        <w:numPr>
          <w:ilvl w:val="0"/>
          <w:numId w:val="12"/>
        </w:numPr>
        <w:rPr>
          <w:b/>
          <w:bCs/>
        </w:rPr>
      </w:pPr>
      <w:r w:rsidRPr="00267F53">
        <w:rPr>
          <w:b/>
          <w:bCs/>
        </w:rPr>
        <w:t>the impact of the inconsistency</w:t>
      </w:r>
      <w:r w:rsidRPr="00267F53">
        <w:t xml:space="preserve"> </w:t>
      </w:r>
    </w:p>
    <w:p w14:paraId="57EC9D08" w14:textId="77777777" w:rsidR="00631592" w:rsidRPr="00267F53" w:rsidRDefault="00631592" w:rsidP="00631592">
      <w:pPr>
        <w:pStyle w:val="ListParagraph"/>
        <w:rPr>
          <w:b/>
          <w:bCs/>
        </w:rPr>
      </w:pPr>
    </w:p>
    <w:p w14:paraId="2B512794" w14:textId="77777777" w:rsidR="00631592" w:rsidRPr="00267F53" w:rsidRDefault="00631592" w:rsidP="00631592">
      <w:pPr>
        <w:pStyle w:val="ListParagraph"/>
      </w:pPr>
      <w:r w:rsidRPr="00267F53">
        <w:t xml:space="preserve">Please provide examples or case studies and where possible, try to quantify the impact. </w:t>
      </w:r>
    </w:p>
    <w:p w14:paraId="63683347" w14:textId="77777777" w:rsidR="00631592" w:rsidRPr="00267F53" w:rsidRDefault="00631592" w:rsidP="00631592">
      <w:pPr>
        <w:pStyle w:val="ListParagraph"/>
      </w:pPr>
    </w:p>
    <w:p w14:paraId="2F8414D1" w14:textId="77777777" w:rsidR="00631592" w:rsidRPr="00267F53" w:rsidRDefault="00631592" w:rsidP="00631592">
      <w:pPr>
        <w:pStyle w:val="ListParagraph"/>
      </w:pPr>
      <w:r w:rsidRPr="00267F53">
        <w:t xml:space="preserve">Impacts might include undermining food safety objectives, challenges in monitoring and enforcing regulation, poor regulatory outcomes, reputational damage to the food regulatory system or adverse outcomes for food businesses (in terms of cost, compliance burden, market disadvantage, lost opportunity, duplication of effort, etc.). </w:t>
      </w:r>
    </w:p>
    <w:p w14:paraId="791F7096" w14:textId="77777777" w:rsidR="00631592" w:rsidRPr="00267F53" w:rsidRDefault="00631592" w:rsidP="00631592">
      <w:pPr>
        <w:pStyle w:val="ListParagraph"/>
        <w:rPr>
          <w:b/>
          <w:bCs/>
        </w:rPr>
      </w:pPr>
    </w:p>
    <w:p w14:paraId="462F2274" w14:textId="77777777" w:rsidR="00631592" w:rsidRPr="00267F53" w:rsidRDefault="00631592" w:rsidP="00FC59C0">
      <w:pPr>
        <w:pStyle w:val="ListParagraph"/>
        <w:keepNext/>
        <w:numPr>
          <w:ilvl w:val="0"/>
          <w:numId w:val="11"/>
        </w:numPr>
        <w:rPr>
          <w:b/>
          <w:bCs/>
        </w:rPr>
      </w:pPr>
      <w:r w:rsidRPr="00267F53">
        <w:rPr>
          <w:b/>
          <w:bCs/>
        </w:rPr>
        <w:t>Are there any areas of duplication between the food regulatory system and related regulatory systems?</w:t>
      </w:r>
    </w:p>
    <w:p w14:paraId="19498EA4" w14:textId="77777777" w:rsidR="00631592" w:rsidRPr="00267F53" w:rsidRDefault="00631592" w:rsidP="00631592">
      <w:pPr>
        <w:keepNext/>
        <w:rPr>
          <w:b/>
          <w:bCs/>
        </w:rPr>
      </w:pPr>
    </w:p>
    <w:p w14:paraId="35F1DC88" w14:textId="77777777" w:rsidR="00631592" w:rsidRPr="00267F53" w:rsidRDefault="00631592" w:rsidP="00631592">
      <w:pPr>
        <w:pStyle w:val="ListParagraph"/>
        <w:keepNext/>
        <w:ind w:left="360"/>
        <w:rPr>
          <w:bCs/>
        </w:rPr>
      </w:pPr>
      <w:r w:rsidRPr="00267F53">
        <w:rPr>
          <w:bCs/>
        </w:rPr>
        <w:t>Other regulatory system could include consumer affairs, biosecurity, agriculture, therapeutic goods, etc.</w:t>
      </w:r>
    </w:p>
    <w:p w14:paraId="1AA614AA" w14:textId="77777777" w:rsidR="00631592" w:rsidRPr="00267F53" w:rsidRDefault="00631592" w:rsidP="00631592">
      <w:pPr>
        <w:keepNext/>
        <w:rPr>
          <w:bCs/>
        </w:rPr>
      </w:pPr>
    </w:p>
    <w:p w14:paraId="70738DA1" w14:textId="77777777" w:rsidR="00631592" w:rsidRPr="00267F53" w:rsidRDefault="00631592" w:rsidP="00631592">
      <w:pPr>
        <w:pStyle w:val="ListParagraph"/>
        <w:keepNext/>
        <w:ind w:left="360"/>
        <w:rPr>
          <w:bCs/>
        </w:rPr>
      </w:pPr>
      <w:r w:rsidRPr="00267F53">
        <w:rPr>
          <w:bCs/>
        </w:rPr>
        <w:t>Please describe these below.</w:t>
      </w:r>
    </w:p>
    <w:p w14:paraId="1C0D4B75" w14:textId="77777777" w:rsidR="00631592" w:rsidRPr="00267F53" w:rsidRDefault="00631592" w:rsidP="00631592">
      <w:pPr>
        <w:rPr>
          <w:b/>
          <w:bCs/>
        </w:rPr>
      </w:pPr>
    </w:p>
    <w:p w14:paraId="4514859F" w14:textId="77777777" w:rsidR="00631592" w:rsidRPr="00267F53" w:rsidRDefault="00631592" w:rsidP="00FC59C0">
      <w:pPr>
        <w:pStyle w:val="ListParagraph"/>
        <w:keepNext/>
        <w:numPr>
          <w:ilvl w:val="0"/>
          <w:numId w:val="11"/>
        </w:numPr>
        <w:rPr>
          <w:b/>
          <w:bCs/>
        </w:rPr>
      </w:pPr>
      <w:r w:rsidRPr="00267F53">
        <w:rPr>
          <w:b/>
          <w:bCs/>
        </w:rPr>
        <w:t>I consider inconsistency in food regulation to be:</w:t>
      </w:r>
    </w:p>
    <w:p w14:paraId="3F56EE7E" w14:textId="77777777" w:rsidR="00631592" w:rsidRPr="00267F53" w:rsidRDefault="00631592" w:rsidP="00631592">
      <w:pPr>
        <w:pStyle w:val="mpcbullets1"/>
        <w:numPr>
          <w:ilvl w:val="0"/>
          <w:numId w:val="0"/>
        </w:numPr>
        <w:ind w:left="360" w:hanging="360"/>
      </w:pPr>
    </w:p>
    <w:p w14:paraId="0508276D" w14:textId="77777777" w:rsidR="00631592" w:rsidRPr="00267F53" w:rsidRDefault="00631592" w:rsidP="00FC59C0">
      <w:pPr>
        <w:pStyle w:val="mpcbullets1"/>
        <w:numPr>
          <w:ilvl w:val="0"/>
          <w:numId w:val="8"/>
        </w:numPr>
        <w:ind w:left="720"/>
      </w:pPr>
      <w:r w:rsidRPr="00267F53">
        <w:t xml:space="preserve">Not an issue </w:t>
      </w:r>
    </w:p>
    <w:p w14:paraId="24DD374C" w14:textId="77777777" w:rsidR="00631592" w:rsidRPr="00267F53" w:rsidRDefault="00631592" w:rsidP="00FC59C0">
      <w:pPr>
        <w:pStyle w:val="mpcbullets1"/>
        <w:numPr>
          <w:ilvl w:val="0"/>
          <w:numId w:val="8"/>
        </w:numPr>
        <w:ind w:left="720"/>
      </w:pPr>
      <w:r w:rsidRPr="00267F53">
        <w:t xml:space="preserve">A minor issue </w:t>
      </w:r>
    </w:p>
    <w:p w14:paraId="559F2903" w14:textId="77777777" w:rsidR="00631592" w:rsidRPr="00267F53" w:rsidRDefault="00631592" w:rsidP="00FC59C0">
      <w:pPr>
        <w:pStyle w:val="mpcbullets1"/>
        <w:numPr>
          <w:ilvl w:val="0"/>
          <w:numId w:val="8"/>
        </w:numPr>
        <w:ind w:left="720"/>
      </w:pPr>
      <w:r w:rsidRPr="00267F53">
        <w:t xml:space="preserve">A somewhat major issue </w:t>
      </w:r>
    </w:p>
    <w:p w14:paraId="55F54017" w14:textId="77777777" w:rsidR="00631592" w:rsidRPr="00267F53" w:rsidRDefault="00631592" w:rsidP="00FC59C0">
      <w:pPr>
        <w:pStyle w:val="mpcbullets1"/>
        <w:numPr>
          <w:ilvl w:val="0"/>
          <w:numId w:val="8"/>
        </w:numPr>
        <w:ind w:left="720"/>
      </w:pPr>
      <w:r w:rsidRPr="00267F53">
        <w:t xml:space="preserve">A significant issue </w:t>
      </w:r>
    </w:p>
    <w:p w14:paraId="3CA890B1" w14:textId="77777777" w:rsidR="00631592" w:rsidRPr="00267F53" w:rsidRDefault="00631592" w:rsidP="00631592"/>
    <w:p w14:paraId="29C3A414" w14:textId="77777777" w:rsidR="00631592" w:rsidRPr="00267F53" w:rsidRDefault="00631592" w:rsidP="003E4E49">
      <w:pPr>
        <w:pStyle w:val="Heading4"/>
        <w:pBdr>
          <w:top w:val="single" w:sz="4" w:space="1" w:color="auto"/>
          <w:left w:val="single" w:sz="4" w:space="4" w:color="auto"/>
          <w:bottom w:val="single" w:sz="4" w:space="1" w:color="auto"/>
          <w:right w:val="single" w:sz="4" w:space="4" w:color="auto"/>
        </w:pBdr>
      </w:pPr>
      <w:bookmarkStart w:id="56" w:name="_Other_General_Comments"/>
      <w:bookmarkEnd w:id="56"/>
      <w:r w:rsidRPr="00267F53">
        <w:t xml:space="preserve">Other General Comments </w:t>
      </w:r>
    </w:p>
    <w:p w14:paraId="517A5B92" w14:textId="77777777" w:rsidR="00631592" w:rsidRPr="00267F53" w:rsidRDefault="00631592" w:rsidP="00631592">
      <w:pPr>
        <w:keepNext/>
      </w:pPr>
    </w:p>
    <w:p w14:paraId="5E17D4BE" w14:textId="77777777" w:rsidR="00631592" w:rsidRPr="00267F53" w:rsidRDefault="00631592" w:rsidP="00631592">
      <w:pPr>
        <w:pStyle w:val="mpcbullets1"/>
        <w:numPr>
          <w:ilvl w:val="0"/>
          <w:numId w:val="0"/>
        </w:numPr>
      </w:pPr>
      <w:r w:rsidRPr="00267F53">
        <w:t>An opportunity to provide general comments on the consistency of food regulatory approaches.</w:t>
      </w:r>
    </w:p>
    <w:p w14:paraId="53495BA8" w14:textId="77777777" w:rsidR="00631592" w:rsidRPr="00267F53" w:rsidRDefault="00631592" w:rsidP="00631592">
      <w:pPr>
        <w:pStyle w:val="mpcbullets1"/>
        <w:numPr>
          <w:ilvl w:val="0"/>
          <w:numId w:val="0"/>
        </w:numPr>
      </w:pPr>
    </w:p>
    <w:p w14:paraId="404E25AE" w14:textId="77777777" w:rsidR="00631592" w:rsidRPr="00267F53" w:rsidRDefault="00631592" w:rsidP="00FC59C0">
      <w:pPr>
        <w:pStyle w:val="ListParagraph"/>
        <w:keepNext/>
        <w:numPr>
          <w:ilvl w:val="0"/>
          <w:numId w:val="15"/>
        </w:numPr>
        <w:rPr>
          <w:b/>
          <w:bCs/>
        </w:rPr>
      </w:pPr>
      <w:r w:rsidRPr="00267F53">
        <w:rPr>
          <w:b/>
          <w:bCs/>
        </w:rPr>
        <w:t>Do you have any other general comments on the consistency of food regulatory approaches?</w:t>
      </w:r>
    </w:p>
    <w:p w14:paraId="11086266" w14:textId="77777777" w:rsidR="00631592" w:rsidRPr="00267F53" w:rsidRDefault="00631592" w:rsidP="00631592">
      <w:pPr>
        <w:pStyle w:val="ListParagraph"/>
        <w:keepNext/>
        <w:ind w:left="360"/>
        <w:rPr>
          <w:b/>
          <w:bCs/>
        </w:rPr>
      </w:pPr>
    </w:p>
    <w:p w14:paraId="09B3A2E6" w14:textId="77777777" w:rsidR="00631592" w:rsidRPr="00267F53" w:rsidRDefault="00631592" w:rsidP="00FC59C0">
      <w:pPr>
        <w:pStyle w:val="ListParagraph"/>
        <w:keepNext/>
        <w:numPr>
          <w:ilvl w:val="0"/>
          <w:numId w:val="15"/>
        </w:numPr>
        <w:rPr>
          <w:b/>
          <w:bCs/>
        </w:rPr>
      </w:pPr>
      <w:r w:rsidRPr="00267F53">
        <w:rPr>
          <w:b/>
          <w:bCs/>
        </w:rPr>
        <w:t>Please upload any additional examples, case studies or other supporting evidence here.</w:t>
      </w:r>
    </w:p>
    <w:p w14:paraId="4B7CFBBD" w14:textId="77777777" w:rsidR="003A01E8" w:rsidRPr="00267F53" w:rsidRDefault="003A01E8" w:rsidP="00DC6F1A">
      <w:pPr>
        <w:pStyle w:val="mpcbullets1"/>
        <w:numPr>
          <w:ilvl w:val="0"/>
          <w:numId w:val="0"/>
        </w:numPr>
      </w:pPr>
    </w:p>
    <w:sectPr w:rsidR="003A01E8" w:rsidRPr="00267F53" w:rsidSect="00030727">
      <w:headerReference w:type="default" r:id="rId107"/>
      <w:pgSz w:w="11900" w:h="16840"/>
      <w:pgMar w:top="1304" w:right="1077" w:bottom="1630" w:left="107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75C63" w14:textId="77777777" w:rsidR="0050091B" w:rsidRDefault="0050091B" w:rsidP="00F23CB3">
      <w:r>
        <w:separator/>
      </w:r>
    </w:p>
  </w:endnote>
  <w:endnote w:type="continuationSeparator" w:id="0">
    <w:p w14:paraId="3391E534" w14:textId="77777777" w:rsidR="0050091B" w:rsidRDefault="0050091B" w:rsidP="00F23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27E3" w14:textId="77777777" w:rsidR="00D93783" w:rsidRDefault="00D93783" w:rsidP="00F23CB3">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62EBFA3E" w14:textId="77777777" w:rsidR="00D93783" w:rsidRDefault="00D93783" w:rsidP="00F23CB3">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11EC0101" w14:textId="77777777" w:rsidR="00D93783" w:rsidRDefault="00D93783" w:rsidP="00F23C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71D0" w14:textId="77777777" w:rsidR="00D93783" w:rsidRPr="00167023" w:rsidRDefault="00D93783" w:rsidP="00167023">
    <w:pPr>
      <w:pStyle w:val="Footer"/>
      <w:pBdr>
        <w:top w:val="single" w:sz="4" w:space="1" w:color="auto"/>
      </w:pBdr>
      <w:rPr>
        <w:rFonts w:cstheme="minorHAnsi"/>
        <w:sz w:val="8"/>
        <w:szCs w:val="8"/>
      </w:rPr>
    </w:pPr>
  </w:p>
  <w:p w14:paraId="03DD3D44" w14:textId="77777777" w:rsidR="00D93783" w:rsidRDefault="00D93783" w:rsidP="00417883">
    <w:pPr>
      <w:pStyle w:val="Footer"/>
      <w:pBdr>
        <w:top w:val="single" w:sz="4" w:space="1" w:color="auto"/>
      </w:pBdr>
      <w:rPr>
        <w:rStyle w:val="PageNumber"/>
        <w:rFonts w:cstheme="minorHAnsi"/>
        <w:color w:val="000000" w:themeColor="text1"/>
        <w:szCs w:val="20"/>
      </w:rPr>
    </w:pPr>
    <w:r>
      <w:rPr>
        <w:rFonts w:cstheme="minorHAnsi"/>
        <w:szCs w:val="20"/>
      </w:rPr>
      <w:t xml:space="preserve">Key areas of inconsistency in food regulation – Final draft report </w:t>
    </w:r>
    <w:r w:rsidRPr="00167023">
      <w:rPr>
        <w:rFonts w:cstheme="minorHAnsi"/>
        <w:szCs w:val="20"/>
      </w:rPr>
      <w:tab/>
    </w:r>
    <w:r w:rsidRPr="00167023">
      <w:rPr>
        <w:rStyle w:val="PageNumber"/>
        <w:rFonts w:cstheme="minorHAnsi"/>
        <w:color w:val="000000" w:themeColor="text1"/>
        <w:szCs w:val="20"/>
      </w:rPr>
      <w:t xml:space="preserve">Page </w:t>
    </w:r>
    <w:r w:rsidRPr="00167023">
      <w:rPr>
        <w:rStyle w:val="PageNumber"/>
        <w:rFonts w:cstheme="minorHAnsi"/>
        <w:color w:val="000000" w:themeColor="text1"/>
        <w:szCs w:val="20"/>
      </w:rPr>
      <w:fldChar w:fldCharType="begin"/>
    </w:r>
    <w:r w:rsidRPr="00167023">
      <w:rPr>
        <w:rStyle w:val="PageNumber"/>
        <w:rFonts w:cstheme="minorHAnsi"/>
        <w:color w:val="000000" w:themeColor="text1"/>
        <w:szCs w:val="20"/>
      </w:rPr>
      <w:instrText xml:space="preserve"> PAGE  \* MERGEFORMAT </w:instrText>
    </w:r>
    <w:r w:rsidRPr="00167023">
      <w:rPr>
        <w:rStyle w:val="PageNumber"/>
        <w:rFonts w:cstheme="minorHAnsi"/>
        <w:color w:val="000000" w:themeColor="text1"/>
        <w:szCs w:val="20"/>
      </w:rPr>
      <w:fldChar w:fldCharType="separate"/>
    </w:r>
    <w:r>
      <w:rPr>
        <w:rStyle w:val="PageNumber"/>
        <w:rFonts w:cstheme="minorHAnsi"/>
        <w:noProof/>
        <w:color w:val="000000" w:themeColor="text1"/>
        <w:szCs w:val="20"/>
      </w:rPr>
      <w:t>24</w:t>
    </w:r>
    <w:r w:rsidRPr="00167023">
      <w:rPr>
        <w:rStyle w:val="PageNumber"/>
        <w:rFonts w:cstheme="minorHAnsi"/>
        <w:color w:val="000000" w:themeColor="text1"/>
        <w:szCs w:val="20"/>
      </w:rPr>
      <w:fldChar w:fldCharType="end"/>
    </w:r>
    <w:r w:rsidRPr="00167023">
      <w:rPr>
        <w:rStyle w:val="PageNumber"/>
        <w:rFonts w:cstheme="minorHAnsi"/>
        <w:color w:val="000000" w:themeColor="text1"/>
        <w:szCs w:val="20"/>
      </w:rPr>
      <w:t xml:space="preserve"> of </w:t>
    </w:r>
    <w:r w:rsidRPr="00167023">
      <w:rPr>
        <w:rStyle w:val="PageNumber"/>
        <w:rFonts w:cstheme="minorHAnsi"/>
        <w:color w:val="000000" w:themeColor="text1"/>
        <w:szCs w:val="20"/>
      </w:rPr>
      <w:fldChar w:fldCharType="begin"/>
    </w:r>
    <w:r w:rsidRPr="00167023">
      <w:rPr>
        <w:rStyle w:val="PageNumber"/>
        <w:rFonts w:cstheme="minorHAnsi"/>
        <w:color w:val="000000" w:themeColor="text1"/>
        <w:szCs w:val="20"/>
      </w:rPr>
      <w:instrText xml:space="preserve"> NUMPAGES  \* MERGEFORMAT </w:instrText>
    </w:r>
    <w:r w:rsidRPr="00167023">
      <w:rPr>
        <w:rStyle w:val="PageNumber"/>
        <w:rFonts w:cstheme="minorHAnsi"/>
        <w:color w:val="000000" w:themeColor="text1"/>
        <w:szCs w:val="20"/>
      </w:rPr>
      <w:fldChar w:fldCharType="separate"/>
    </w:r>
    <w:r>
      <w:rPr>
        <w:rStyle w:val="PageNumber"/>
        <w:rFonts w:cstheme="minorHAnsi"/>
        <w:noProof/>
        <w:color w:val="000000" w:themeColor="text1"/>
        <w:szCs w:val="20"/>
      </w:rPr>
      <w:t>49</w:t>
    </w:r>
    <w:r w:rsidRPr="00167023">
      <w:rPr>
        <w:rStyle w:val="PageNumber"/>
        <w:rFonts w:cstheme="minorHAnsi"/>
        <w:color w:val="000000" w:themeColor="text1"/>
        <w:szCs w:val="20"/>
      </w:rPr>
      <w:fldChar w:fldCharType="end"/>
    </w:r>
  </w:p>
  <w:p w14:paraId="59840130" w14:textId="77777777" w:rsidR="00D93783" w:rsidRPr="00030727" w:rsidRDefault="00D93783" w:rsidP="00030727">
    <w:pPr>
      <w:pStyle w:val="Footer"/>
      <w:pBdr>
        <w:top w:val="single" w:sz="4" w:space="1" w:color="auto"/>
      </w:pBdr>
      <w:rPr>
        <w:rFonts w:cstheme="minorHAnsi"/>
        <w:color w:val="000000" w:themeColor="text1"/>
        <w:szCs w:val="20"/>
      </w:rPr>
    </w:pPr>
  </w:p>
  <w:p w14:paraId="382E8413" w14:textId="77777777" w:rsidR="00D93783" w:rsidRDefault="00D93783"/>
  <w:p w14:paraId="6B8DAD7C" w14:textId="77777777" w:rsidR="00D93783" w:rsidRDefault="00D937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F53E0" w14:textId="77777777" w:rsidR="0050091B" w:rsidRDefault="0050091B" w:rsidP="00F23CB3">
      <w:r>
        <w:separator/>
      </w:r>
    </w:p>
  </w:footnote>
  <w:footnote w:type="continuationSeparator" w:id="0">
    <w:p w14:paraId="5F9A39B9" w14:textId="77777777" w:rsidR="0050091B" w:rsidRDefault="0050091B" w:rsidP="00F23CB3">
      <w:r>
        <w:continuationSeparator/>
      </w:r>
    </w:p>
  </w:footnote>
  <w:footnote w:id="1">
    <w:p w14:paraId="089900A1" w14:textId="77777777" w:rsidR="00D93783" w:rsidRDefault="00D93783" w:rsidP="00101538">
      <w:pPr>
        <w:autoSpaceDE w:val="0"/>
        <w:autoSpaceDN w:val="0"/>
        <w:adjustRightInd w:val="0"/>
      </w:pPr>
      <w:r w:rsidRPr="00101538">
        <w:rPr>
          <w:rStyle w:val="FootnoteReference"/>
          <w:rFonts w:cstheme="minorHAnsi"/>
          <w:szCs w:val="20"/>
        </w:rPr>
        <w:footnoteRef/>
      </w:r>
      <w:r w:rsidRPr="00101538">
        <w:rPr>
          <w:rFonts w:cstheme="minorHAnsi"/>
          <w:sz w:val="20"/>
          <w:szCs w:val="20"/>
        </w:rPr>
        <w:t xml:space="preserve"> </w:t>
      </w:r>
      <w:r w:rsidRPr="00101538">
        <w:rPr>
          <w:rFonts w:eastAsiaTheme="minorHAnsi" w:cstheme="minorHAnsi"/>
          <w:sz w:val="20"/>
          <w:szCs w:val="20"/>
          <w:lang w:val="en-GB" w:eastAsia="en-US"/>
        </w:rPr>
        <w:t>Wellard-Cole L</w:t>
      </w:r>
      <w:r>
        <w:rPr>
          <w:rFonts w:eastAsiaTheme="minorHAnsi" w:cstheme="minorHAnsi"/>
          <w:sz w:val="20"/>
          <w:szCs w:val="20"/>
          <w:lang w:val="en-GB" w:eastAsia="en-US"/>
        </w:rPr>
        <w:t>,</w:t>
      </w:r>
      <w:r w:rsidRPr="00101538">
        <w:rPr>
          <w:rFonts w:eastAsiaTheme="minorHAnsi" w:cstheme="minorHAnsi"/>
          <w:sz w:val="20"/>
          <w:szCs w:val="20"/>
          <w:lang w:val="en-GB" w:eastAsia="en-US"/>
        </w:rPr>
        <w:t xml:space="preserve"> Watson WL</w:t>
      </w:r>
      <w:r>
        <w:rPr>
          <w:rFonts w:eastAsiaTheme="minorHAnsi" w:cstheme="minorHAnsi"/>
          <w:sz w:val="20"/>
          <w:szCs w:val="20"/>
          <w:lang w:val="en-GB" w:eastAsia="en-US"/>
        </w:rPr>
        <w:t>,</w:t>
      </w:r>
      <w:r w:rsidRPr="00101538">
        <w:rPr>
          <w:rFonts w:eastAsiaTheme="minorHAnsi" w:cstheme="minorHAnsi"/>
          <w:sz w:val="20"/>
          <w:szCs w:val="20"/>
          <w:lang w:val="en-GB" w:eastAsia="en-US"/>
        </w:rPr>
        <w:t xml:space="preserve"> Hughes C</w:t>
      </w:r>
      <w:r>
        <w:rPr>
          <w:rFonts w:eastAsiaTheme="minorHAnsi" w:cstheme="minorHAnsi"/>
          <w:sz w:val="20"/>
          <w:szCs w:val="20"/>
          <w:lang w:val="en-GB" w:eastAsia="en-US"/>
        </w:rPr>
        <w:t>,</w:t>
      </w:r>
      <w:r w:rsidRPr="00101538">
        <w:rPr>
          <w:rFonts w:eastAsiaTheme="minorHAnsi" w:cstheme="minorHAnsi"/>
          <w:sz w:val="20"/>
          <w:szCs w:val="20"/>
          <w:lang w:val="en-GB" w:eastAsia="en-US"/>
        </w:rPr>
        <w:t xml:space="preserve"> Chapman K</w:t>
      </w:r>
      <w:r>
        <w:rPr>
          <w:rFonts w:eastAsiaTheme="minorHAnsi" w:cstheme="minorHAnsi"/>
          <w:sz w:val="20"/>
          <w:szCs w:val="20"/>
          <w:lang w:val="en-GB" w:eastAsia="en-US"/>
        </w:rPr>
        <w:t>,</w:t>
      </w:r>
      <w:r w:rsidRPr="00101538">
        <w:rPr>
          <w:rFonts w:eastAsiaTheme="minorHAnsi" w:cstheme="minorHAnsi"/>
          <w:sz w:val="20"/>
          <w:szCs w:val="20"/>
          <w:lang w:val="en-GB" w:eastAsia="en-US"/>
        </w:rPr>
        <w:t xml:space="preserve"> </w:t>
      </w:r>
      <w:r>
        <w:rPr>
          <w:rFonts w:eastAsiaTheme="minorHAnsi" w:cstheme="minorHAnsi"/>
          <w:sz w:val="20"/>
          <w:szCs w:val="20"/>
          <w:lang w:val="en-GB" w:eastAsia="en-US"/>
        </w:rPr>
        <w:t>‘</w:t>
      </w:r>
      <w:hyperlink r:id="rId1" w:history="1">
        <w:r w:rsidRPr="00101538">
          <w:rPr>
            <w:rStyle w:val="Hyperlink"/>
            <w:rFonts w:eastAsiaTheme="minorHAnsi" w:cstheme="minorHAnsi"/>
            <w:sz w:val="20"/>
            <w:szCs w:val="20"/>
            <w:lang w:val="en-GB" w:eastAsia="en-US"/>
          </w:rPr>
          <w:t>How effective is food industry self-substantiation of food–health relationships underpinning health claims on food labels in Australia?</w:t>
        </w:r>
      </w:hyperlink>
      <w:r>
        <w:rPr>
          <w:rFonts w:eastAsiaTheme="minorHAnsi" w:cstheme="minorHAnsi"/>
          <w:sz w:val="20"/>
          <w:szCs w:val="20"/>
          <w:lang w:val="en-GB" w:eastAsia="en-US"/>
        </w:rPr>
        <w:t>’</w:t>
      </w:r>
      <w:r w:rsidRPr="00101538">
        <w:rPr>
          <w:rFonts w:eastAsiaTheme="minorHAnsi" w:cstheme="minorHAnsi"/>
          <w:sz w:val="20"/>
          <w:szCs w:val="20"/>
          <w:lang w:val="en-GB" w:eastAsia="en-US"/>
        </w:rPr>
        <w:t xml:space="preserve"> </w:t>
      </w:r>
      <w:r w:rsidRPr="00101538">
        <w:rPr>
          <w:rFonts w:eastAsiaTheme="minorHAnsi" w:cstheme="minorHAnsi"/>
          <w:i/>
          <w:iCs/>
          <w:sz w:val="20"/>
          <w:szCs w:val="20"/>
          <w:lang w:val="en-GB" w:eastAsia="en-US"/>
        </w:rPr>
        <w:t>Public Health Nutrition</w:t>
      </w:r>
      <w:r w:rsidRPr="00101538">
        <w:rPr>
          <w:rFonts w:eastAsiaTheme="minorHAnsi" w:cstheme="minorHAnsi"/>
          <w:sz w:val="20"/>
          <w:szCs w:val="20"/>
          <w:lang w:val="en-GB" w:eastAsia="en-US"/>
        </w:rPr>
        <w:t xml:space="preserve"> 2019, 22, </w:t>
      </w:r>
      <w:r>
        <w:rPr>
          <w:rFonts w:eastAsiaTheme="minorHAnsi" w:cstheme="minorHAnsi"/>
          <w:sz w:val="20"/>
          <w:szCs w:val="20"/>
          <w:lang w:val="en-GB" w:eastAsia="en-US"/>
        </w:rPr>
        <w:t>p.</w:t>
      </w:r>
      <w:r w:rsidRPr="00101538">
        <w:rPr>
          <w:rFonts w:eastAsiaTheme="minorHAnsi" w:cstheme="minorHAnsi"/>
          <w:sz w:val="20"/>
          <w:szCs w:val="20"/>
          <w:lang w:val="en-GB" w:eastAsia="en-US"/>
        </w:rPr>
        <w:t>1686-1695.</w:t>
      </w:r>
    </w:p>
  </w:footnote>
  <w:footnote w:id="2">
    <w:p w14:paraId="70B9D217" w14:textId="77777777" w:rsidR="00D93783" w:rsidRPr="001D1281" w:rsidRDefault="00D93783" w:rsidP="00B21C93">
      <w:pPr>
        <w:autoSpaceDE w:val="0"/>
        <w:autoSpaceDN w:val="0"/>
        <w:adjustRightInd w:val="0"/>
        <w:rPr>
          <w:rFonts w:cstheme="minorHAnsi"/>
          <w:sz w:val="20"/>
          <w:szCs w:val="20"/>
          <w:lang w:val="en-GB" w:eastAsia="en-US"/>
        </w:rPr>
      </w:pPr>
      <w:r w:rsidRPr="001D1281">
        <w:rPr>
          <w:rStyle w:val="FootnoteReference"/>
          <w:szCs w:val="20"/>
        </w:rPr>
        <w:footnoteRef/>
      </w:r>
      <w:r w:rsidRPr="001D1281">
        <w:rPr>
          <w:sz w:val="20"/>
          <w:szCs w:val="20"/>
        </w:rPr>
        <w:t xml:space="preserve"> </w:t>
      </w:r>
      <w:r w:rsidRPr="001D1281">
        <w:rPr>
          <w:rFonts w:cstheme="minorHAnsi"/>
          <w:sz w:val="20"/>
          <w:szCs w:val="20"/>
          <w:lang w:val="en-GB" w:eastAsia="en-US"/>
        </w:rPr>
        <w:t xml:space="preserve">Wellard-Cole, L.; Watson, W.L.; Hughes, C.; Chapman, K. </w:t>
      </w:r>
      <w:hyperlink r:id="rId2" w:history="1">
        <w:r w:rsidRPr="001D1281">
          <w:rPr>
            <w:rStyle w:val="Hyperlink"/>
            <w:rFonts w:cstheme="minorHAnsi"/>
            <w:sz w:val="20"/>
            <w:szCs w:val="20"/>
            <w:lang w:val="en-GB" w:eastAsia="en-US"/>
          </w:rPr>
          <w:t>How effective is food industry self-substantiation of food–health relationships underpinning health claims on food labels in Australia?</w:t>
        </w:r>
      </w:hyperlink>
      <w:r w:rsidRPr="001D1281">
        <w:rPr>
          <w:rFonts w:cstheme="minorHAnsi"/>
          <w:sz w:val="20"/>
          <w:szCs w:val="20"/>
          <w:lang w:val="en-GB" w:eastAsia="en-US"/>
        </w:rPr>
        <w:t xml:space="preserve"> Public Health Nutrition 2019, 22, 1686-1695. Harvey, K.; Li, E.; Stanton, R.; Dashper, S. </w:t>
      </w:r>
      <w:hyperlink r:id="rId3" w:history="1">
        <w:r w:rsidRPr="001D1281">
          <w:rPr>
            <w:rStyle w:val="Hyperlink"/>
            <w:rFonts w:cstheme="minorHAnsi"/>
            <w:sz w:val="20"/>
            <w:szCs w:val="20"/>
            <w:lang w:val="en-GB" w:eastAsia="en-US"/>
          </w:rPr>
          <w:t>Kids' vitamin gummies: Unhealthy, poorly regulated and exploitative</w:t>
        </w:r>
      </w:hyperlink>
      <w:r w:rsidRPr="001D1281">
        <w:rPr>
          <w:rFonts w:cstheme="minorHAnsi"/>
          <w:sz w:val="20"/>
          <w:szCs w:val="20"/>
          <w:lang w:val="en-GB" w:eastAsia="en-US"/>
        </w:rPr>
        <w:t>. Journal of the Home Economics Institute of Australia 2017, 24, 42-43.</w:t>
      </w:r>
    </w:p>
  </w:footnote>
  <w:footnote w:id="3">
    <w:p w14:paraId="23BD9FA3" w14:textId="77777777" w:rsidR="00D93783" w:rsidRDefault="00D93783" w:rsidP="008A1589">
      <w:pPr>
        <w:pStyle w:val="FootnoteText"/>
      </w:pPr>
      <w:r>
        <w:rPr>
          <w:rStyle w:val="FootnoteReference"/>
        </w:rPr>
        <w:footnoteRef/>
      </w:r>
      <w:r>
        <w:t xml:space="preserve"> Mooradian AD, ‘</w:t>
      </w:r>
      <w:hyperlink r:id="rId4" w:history="1">
        <w:r w:rsidRPr="007A2381">
          <w:rPr>
            <w:rStyle w:val="Hyperlink"/>
          </w:rPr>
          <w:t>In search for an alternative to sugar to reduce obesity</w:t>
        </w:r>
      </w:hyperlink>
      <w:r>
        <w:t xml:space="preserve">’, </w:t>
      </w:r>
      <w:r w:rsidRPr="00101538">
        <w:rPr>
          <w:i/>
          <w:iCs/>
        </w:rPr>
        <w:t>Int J Vitam Nutr Res</w:t>
      </w:r>
      <w:r>
        <w:t>. 2019 Sep, 89(3-4), p.113</w:t>
      </w:r>
      <w:r>
        <w:noBreakHyphen/>
        <w:t>117.</w:t>
      </w:r>
    </w:p>
  </w:footnote>
  <w:footnote w:id="4">
    <w:p w14:paraId="3CA1FD9E" w14:textId="77777777" w:rsidR="00D93783" w:rsidRDefault="00D93783">
      <w:pPr>
        <w:pStyle w:val="FootnoteText"/>
      </w:pPr>
      <w:r>
        <w:rPr>
          <w:rStyle w:val="FootnoteReference"/>
        </w:rPr>
        <w:footnoteRef/>
      </w:r>
      <w:r>
        <w:t xml:space="preserve"> It should be noted that kilojoule menu labelling is regulated outside of the Code by State and Territory governments.</w:t>
      </w:r>
    </w:p>
  </w:footnote>
  <w:footnote w:id="5">
    <w:p w14:paraId="2D8B623A" w14:textId="77777777" w:rsidR="00D93783" w:rsidRDefault="00D93783">
      <w:pPr>
        <w:pStyle w:val="FootnoteText"/>
      </w:pPr>
      <w:r>
        <w:rPr>
          <w:rStyle w:val="FootnoteReference"/>
        </w:rPr>
        <w:footnoteRef/>
      </w:r>
      <w:r>
        <w:t xml:space="preserve"> Food regulation, </w:t>
      </w:r>
      <w:hyperlink r:id="rId5" w:history="1">
        <w:r w:rsidRPr="00441984">
          <w:rPr>
            <w:rStyle w:val="Hyperlink"/>
          </w:rPr>
          <w:t>Australia and New Zealand Ministerial Forum on Food Regulation Communique 6 August 2019</w:t>
        </w:r>
      </w:hyperlink>
      <w:r>
        <w:t xml:space="preserve">. </w:t>
      </w:r>
    </w:p>
  </w:footnote>
  <w:footnote w:id="6">
    <w:p w14:paraId="57441E04" w14:textId="77777777" w:rsidR="00D93783" w:rsidRDefault="00D93783">
      <w:pPr>
        <w:pStyle w:val="FootnoteText"/>
      </w:pPr>
      <w:r>
        <w:rPr>
          <w:rStyle w:val="FootnoteReference"/>
        </w:rPr>
        <w:footnoteRef/>
      </w:r>
      <w:r>
        <w:t xml:space="preserve"> It should be noted that school canteen guidelines are regulated outside of the Code by State and Territory governments.</w:t>
      </w:r>
    </w:p>
  </w:footnote>
  <w:footnote w:id="7">
    <w:p w14:paraId="6B405C36" w14:textId="77777777" w:rsidR="00D93783" w:rsidRDefault="00D93783" w:rsidP="00930EBB">
      <w:pPr>
        <w:pStyle w:val="Default"/>
      </w:pPr>
      <w:r>
        <w:rPr>
          <w:rStyle w:val="FootnoteReference"/>
        </w:rPr>
        <w:footnoteRef/>
      </w:r>
      <w:r>
        <w:t xml:space="preserve"> </w:t>
      </w:r>
      <w:r w:rsidRPr="001C39EF">
        <w:rPr>
          <w:rFonts w:asciiTheme="minorHAnsi" w:hAnsiTheme="minorHAnsi" w:cstheme="minorHAnsi"/>
          <w:sz w:val="20"/>
          <w:szCs w:val="20"/>
          <w:lang w:val="en-AU"/>
        </w:rPr>
        <w:t>Harvey K</w:t>
      </w:r>
      <w:r>
        <w:rPr>
          <w:rFonts w:asciiTheme="minorHAnsi" w:hAnsiTheme="minorHAnsi" w:cstheme="minorHAnsi"/>
          <w:sz w:val="20"/>
          <w:szCs w:val="20"/>
          <w:lang w:val="en-AU"/>
        </w:rPr>
        <w:t>,</w:t>
      </w:r>
      <w:r w:rsidRPr="001C39EF">
        <w:rPr>
          <w:rFonts w:asciiTheme="minorHAnsi" w:hAnsiTheme="minorHAnsi" w:cstheme="minorHAnsi"/>
          <w:sz w:val="20"/>
          <w:szCs w:val="20"/>
          <w:lang w:val="en-AU"/>
        </w:rPr>
        <w:t xml:space="preserve"> Li E</w:t>
      </w:r>
      <w:r>
        <w:rPr>
          <w:rFonts w:asciiTheme="minorHAnsi" w:hAnsiTheme="minorHAnsi" w:cstheme="minorHAnsi"/>
          <w:sz w:val="20"/>
          <w:szCs w:val="20"/>
          <w:lang w:val="en-AU"/>
        </w:rPr>
        <w:t>,</w:t>
      </w:r>
      <w:r w:rsidRPr="001C39EF">
        <w:rPr>
          <w:rFonts w:asciiTheme="minorHAnsi" w:hAnsiTheme="minorHAnsi" w:cstheme="minorHAnsi"/>
          <w:sz w:val="20"/>
          <w:szCs w:val="20"/>
          <w:lang w:val="en-AU"/>
        </w:rPr>
        <w:t xml:space="preserve"> Stanton R</w:t>
      </w:r>
      <w:r>
        <w:rPr>
          <w:rFonts w:asciiTheme="minorHAnsi" w:hAnsiTheme="minorHAnsi" w:cstheme="minorHAnsi"/>
          <w:sz w:val="20"/>
          <w:szCs w:val="20"/>
          <w:lang w:val="en-AU"/>
        </w:rPr>
        <w:t>,</w:t>
      </w:r>
      <w:r w:rsidRPr="001C39EF">
        <w:rPr>
          <w:rFonts w:asciiTheme="minorHAnsi" w:hAnsiTheme="minorHAnsi" w:cstheme="minorHAnsi"/>
          <w:sz w:val="20"/>
          <w:szCs w:val="20"/>
          <w:lang w:val="en-AU"/>
        </w:rPr>
        <w:t xml:space="preserve"> Dashper S</w:t>
      </w:r>
      <w:r>
        <w:rPr>
          <w:rFonts w:asciiTheme="minorHAnsi" w:hAnsiTheme="minorHAnsi" w:cstheme="minorHAnsi"/>
          <w:sz w:val="20"/>
          <w:szCs w:val="20"/>
          <w:lang w:val="en-AU"/>
        </w:rPr>
        <w:t>,</w:t>
      </w:r>
      <w:r w:rsidRPr="001C39EF">
        <w:rPr>
          <w:rFonts w:asciiTheme="minorHAnsi" w:hAnsiTheme="minorHAnsi" w:cstheme="minorHAnsi"/>
          <w:sz w:val="20"/>
          <w:szCs w:val="20"/>
          <w:lang w:val="en-AU"/>
        </w:rPr>
        <w:t xml:space="preserve"> </w:t>
      </w:r>
      <w:r>
        <w:rPr>
          <w:rFonts w:asciiTheme="minorHAnsi" w:hAnsiTheme="minorHAnsi" w:cstheme="minorHAnsi"/>
          <w:sz w:val="20"/>
          <w:szCs w:val="20"/>
          <w:lang w:val="en-AU"/>
        </w:rPr>
        <w:t>‘</w:t>
      </w:r>
      <w:r w:rsidRPr="001C39EF">
        <w:rPr>
          <w:rFonts w:asciiTheme="minorHAnsi" w:hAnsiTheme="minorHAnsi" w:cstheme="minorHAnsi"/>
          <w:sz w:val="20"/>
          <w:szCs w:val="20"/>
          <w:lang w:val="en-AU"/>
        </w:rPr>
        <w:t>Kids' vitamin gummies: Unhealthy, poorly regulated and exploitative</w:t>
      </w:r>
      <w:r>
        <w:rPr>
          <w:rFonts w:asciiTheme="minorHAnsi" w:hAnsiTheme="minorHAnsi" w:cstheme="minorHAnsi"/>
          <w:sz w:val="20"/>
          <w:szCs w:val="20"/>
          <w:lang w:val="en-AU"/>
        </w:rPr>
        <w:t>’</w:t>
      </w:r>
      <w:r w:rsidRPr="001C39EF">
        <w:rPr>
          <w:rFonts w:asciiTheme="minorHAnsi" w:hAnsiTheme="minorHAnsi" w:cstheme="minorHAnsi"/>
          <w:sz w:val="20"/>
          <w:szCs w:val="20"/>
          <w:lang w:val="en-AU"/>
        </w:rPr>
        <w:t xml:space="preserve"> </w:t>
      </w:r>
      <w:r w:rsidRPr="00740067">
        <w:rPr>
          <w:rFonts w:asciiTheme="minorHAnsi" w:hAnsiTheme="minorHAnsi" w:cstheme="minorHAnsi"/>
          <w:i/>
          <w:iCs/>
          <w:sz w:val="20"/>
          <w:szCs w:val="20"/>
          <w:lang w:val="en-AU"/>
        </w:rPr>
        <w:t>Journal of the Home Economics Institute of Australia</w:t>
      </w:r>
      <w:r w:rsidRPr="001C39EF">
        <w:rPr>
          <w:rFonts w:asciiTheme="minorHAnsi" w:hAnsiTheme="minorHAnsi" w:cstheme="minorHAnsi"/>
          <w:sz w:val="20"/>
          <w:szCs w:val="20"/>
          <w:lang w:val="en-AU"/>
        </w:rPr>
        <w:t xml:space="preserve"> 2017</w:t>
      </w:r>
      <w:r>
        <w:rPr>
          <w:rFonts w:asciiTheme="minorHAnsi" w:hAnsiTheme="minorHAnsi" w:cstheme="minorHAnsi"/>
          <w:sz w:val="20"/>
          <w:szCs w:val="20"/>
          <w:lang w:val="en-AU"/>
        </w:rPr>
        <w:t xml:space="preserve"> (</w:t>
      </w:r>
      <w:r w:rsidRPr="001C39EF">
        <w:rPr>
          <w:rFonts w:asciiTheme="minorHAnsi" w:hAnsiTheme="minorHAnsi" w:cstheme="minorHAnsi"/>
          <w:sz w:val="20"/>
          <w:szCs w:val="20"/>
          <w:lang w:val="en-AU"/>
        </w:rPr>
        <w:t>24</w:t>
      </w:r>
      <w:r>
        <w:rPr>
          <w:rFonts w:asciiTheme="minorHAnsi" w:hAnsiTheme="minorHAnsi" w:cstheme="minorHAnsi"/>
          <w:sz w:val="20"/>
          <w:szCs w:val="20"/>
          <w:lang w:val="en-AU"/>
        </w:rPr>
        <w:t>)</w:t>
      </w:r>
      <w:r w:rsidRPr="001C39EF">
        <w:rPr>
          <w:rFonts w:asciiTheme="minorHAnsi" w:hAnsiTheme="minorHAnsi" w:cstheme="minorHAnsi"/>
          <w:sz w:val="20"/>
          <w:szCs w:val="20"/>
          <w:lang w:val="en-AU"/>
        </w:rPr>
        <w:t xml:space="preserve"> </w:t>
      </w:r>
      <w:r>
        <w:rPr>
          <w:rFonts w:asciiTheme="minorHAnsi" w:hAnsiTheme="minorHAnsi" w:cstheme="minorHAnsi"/>
          <w:sz w:val="20"/>
          <w:szCs w:val="20"/>
          <w:lang w:val="en-AU"/>
        </w:rPr>
        <w:t>p.</w:t>
      </w:r>
      <w:r w:rsidRPr="001C39EF">
        <w:rPr>
          <w:rFonts w:asciiTheme="minorHAnsi" w:hAnsiTheme="minorHAnsi" w:cstheme="minorHAnsi"/>
          <w:sz w:val="20"/>
          <w:szCs w:val="20"/>
          <w:lang w:val="en-AU"/>
        </w:rPr>
        <w:t>42-43.</w:t>
      </w:r>
      <w:r>
        <w:rPr>
          <w:rFonts w:asciiTheme="minorHAnsi" w:hAnsiTheme="minorHAnsi" w:cstheme="minorHAnsi"/>
          <w:sz w:val="20"/>
          <w:szCs w:val="20"/>
          <w:lang w:val="en-AU"/>
        </w:rPr>
        <w:t xml:space="preserve"> </w:t>
      </w:r>
      <w:r w:rsidRPr="001C39EF">
        <w:rPr>
          <w:rFonts w:asciiTheme="minorHAnsi" w:hAnsiTheme="minorHAnsi" w:cstheme="minorHAnsi"/>
          <w:sz w:val="20"/>
          <w:szCs w:val="20"/>
          <w:lang w:val="en-AU"/>
        </w:rPr>
        <w:t>Harvey K</w:t>
      </w:r>
      <w:r>
        <w:rPr>
          <w:rFonts w:asciiTheme="minorHAnsi" w:hAnsiTheme="minorHAnsi" w:cstheme="minorHAnsi"/>
          <w:sz w:val="20"/>
          <w:szCs w:val="20"/>
          <w:lang w:val="en-AU"/>
        </w:rPr>
        <w:t>,</w:t>
      </w:r>
      <w:r w:rsidRPr="001C39EF">
        <w:rPr>
          <w:rFonts w:asciiTheme="minorHAnsi" w:hAnsiTheme="minorHAnsi" w:cstheme="minorHAnsi"/>
          <w:sz w:val="20"/>
          <w:szCs w:val="20"/>
          <w:lang w:val="en-AU"/>
        </w:rPr>
        <w:t xml:space="preserve"> Watson W</w:t>
      </w:r>
      <w:r>
        <w:rPr>
          <w:rFonts w:asciiTheme="minorHAnsi" w:hAnsiTheme="minorHAnsi" w:cstheme="minorHAnsi"/>
          <w:sz w:val="20"/>
          <w:szCs w:val="20"/>
          <w:lang w:val="en-AU"/>
        </w:rPr>
        <w:t>,</w:t>
      </w:r>
      <w:r w:rsidRPr="001C39EF">
        <w:rPr>
          <w:rFonts w:asciiTheme="minorHAnsi" w:hAnsiTheme="minorHAnsi" w:cstheme="minorHAnsi"/>
          <w:sz w:val="20"/>
          <w:szCs w:val="20"/>
          <w:lang w:val="en-AU"/>
        </w:rPr>
        <w:t xml:space="preserve"> Stanton R</w:t>
      </w:r>
      <w:r>
        <w:rPr>
          <w:rFonts w:asciiTheme="minorHAnsi" w:hAnsiTheme="minorHAnsi" w:cstheme="minorHAnsi"/>
          <w:sz w:val="20"/>
          <w:szCs w:val="20"/>
          <w:lang w:val="en-AU"/>
        </w:rPr>
        <w:t>,</w:t>
      </w:r>
      <w:r w:rsidRPr="001C39EF">
        <w:rPr>
          <w:rFonts w:asciiTheme="minorHAnsi" w:hAnsiTheme="minorHAnsi" w:cstheme="minorHAnsi"/>
          <w:sz w:val="20"/>
          <w:szCs w:val="20"/>
          <w:lang w:val="en-AU"/>
        </w:rPr>
        <w:t xml:space="preserve"> </w:t>
      </w:r>
      <w:r>
        <w:rPr>
          <w:rFonts w:asciiTheme="minorHAnsi" w:hAnsiTheme="minorHAnsi" w:cstheme="minorHAnsi"/>
          <w:sz w:val="20"/>
          <w:szCs w:val="20"/>
          <w:lang w:val="en-AU"/>
        </w:rPr>
        <w:t>‘</w:t>
      </w:r>
      <w:r w:rsidRPr="001C39EF">
        <w:rPr>
          <w:rFonts w:asciiTheme="minorHAnsi" w:hAnsiTheme="minorHAnsi" w:cstheme="minorHAnsi"/>
          <w:sz w:val="20"/>
          <w:szCs w:val="20"/>
          <w:lang w:val="en-AU"/>
        </w:rPr>
        <w:t>Where food meets medicine: reform needed</w:t>
      </w:r>
      <w:r>
        <w:rPr>
          <w:rFonts w:asciiTheme="minorHAnsi" w:hAnsiTheme="minorHAnsi" w:cstheme="minorHAnsi"/>
          <w:i/>
          <w:iCs/>
          <w:sz w:val="20"/>
          <w:szCs w:val="20"/>
          <w:lang w:val="en-AU"/>
        </w:rPr>
        <w:t>’</w:t>
      </w:r>
      <w:r w:rsidRPr="00740067">
        <w:rPr>
          <w:rFonts w:asciiTheme="minorHAnsi" w:hAnsiTheme="minorHAnsi" w:cstheme="minorHAnsi"/>
          <w:i/>
          <w:iCs/>
          <w:sz w:val="20"/>
          <w:szCs w:val="20"/>
          <w:lang w:val="en-AU"/>
        </w:rPr>
        <w:t xml:space="preserve"> MJA Insight</w:t>
      </w:r>
      <w:r w:rsidRPr="001C39EF">
        <w:rPr>
          <w:rFonts w:asciiTheme="minorHAnsi" w:hAnsiTheme="minorHAnsi" w:cstheme="minorHAnsi"/>
          <w:sz w:val="20"/>
          <w:szCs w:val="20"/>
          <w:lang w:val="en-AU"/>
        </w:rPr>
        <w:t xml:space="preserve"> 2019.</w:t>
      </w:r>
    </w:p>
  </w:footnote>
  <w:footnote w:id="8">
    <w:p w14:paraId="1F1E7EE0" w14:textId="77777777" w:rsidR="00D93783" w:rsidRDefault="00D93783">
      <w:pPr>
        <w:pStyle w:val="FootnoteText"/>
      </w:pPr>
      <w:r>
        <w:rPr>
          <w:rStyle w:val="FootnoteReference"/>
        </w:rPr>
        <w:footnoteRef/>
      </w:r>
      <w:r>
        <w:t xml:space="preserve"> Australian Bureau of Statistics, 20 February 2020, </w:t>
      </w:r>
      <w:hyperlink r:id="rId6" w:history="1">
        <w:r w:rsidRPr="00CB1830">
          <w:rPr>
            <w:rStyle w:val="Hyperlink"/>
          </w:rPr>
          <w:t>Counts of Australian Businesses including Entries and Exits</w:t>
        </w:r>
      </w:hyperlink>
      <w:r>
        <w:t>.</w:t>
      </w:r>
    </w:p>
  </w:footnote>
  <w:footnote w:id="9">
    <w:p w14:paraId="6FF62992" w14:textId="77777777" w:rsidR="00D93783" w:rsidRDefault="00D93783" w:rsidP="00CB1830">
      <w:pPr>
        <w:pStyle w:val="FootnoteText"/>
      </w:pPr>
      <w:r>
        <w:rPr>
          <w:rStyle w:val="FootnoteReference"/>
        </w:rPr>
        <w:footnoteRef/>
      </w:r>
      <w:r>
        <w:t xml:space="preserve"> Ministry for Primary Industries, 16 November 2020, </w:t>
      </w:r>
      <w:hyperlink r:id="rId7" w:history="1">
        <w:r w:rsidRPr="00CB1830">
          <w:rPr>
            <w:rStyle w:val="Hyperlink"/>
          </w:rPr>
          <w:t>Register a food business</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E9D2B" w14:textId="77777777" w:rsidR="00D93783" w:rsidRPr="00417883" w:rsidRDefault="00D93783" w:rsidP="00417883">
    <w:pPr>
      <w:pStyle w:val="Header"/>
      <w:jc w:val="center"/>
      <w:rPr>
        <w:b/>
        <w:color w:val="FF0000"/>
        <w:spacing w:val="-20"/>
        <w:sz w:val="28"/>
        <w:szCs w:val="28"/>
      </w:rPr>
    </w:pPr>
    <w:r>
      <w:rPr>
        <w:b/>
        <w:color w:val="FF0000"/>
        <w:spacing w:val="-20"/>
        <w:sz w:val="28"/>
        <w:szCs w:val="28"/>
      </w:rPr>
      <w:t>OFFICIAL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615E" w14:textId="77777777" w:rsidR="0047737B" w:rsidRDefault="0047737B" w:rsidP="0047737B">
    <w:pPr>
      <w:pStyle w:val="Header"/>
      <w:rPr>
        <w:b/>
        <w:color w:val="FF0000"/>
        <w:spacing w:val="-20"/>
        <w:sz w:val="28"/>
        <w:szCs w:val="28"/>
      </w:rPr>
    </w:pPr>
    <w:r w:rsidRPr="00C30FA6">
      <w:rPr>
        <w:noProof/>
        <w:lang w:eastAsia="en-AU"/>
      </w:rPr>
      <w:drawing>
        <wp:anchor distT="0" distB="0" distL="114300" distR="114300" simplePos="0" relativeHeight="251658240" behindDoc="1" locked="0" layoutInCell="1" allowOverlap="1" wp14:anchorId="5D7FDC20" wp14:editId="0D2CA386">
          <wp:simplePos x="0" y="0"/>
          <wp:positionH relativeFrom="column">
            <wp:posOffset>4300220</wp:posOffset>
          </wp:positionH>
          <wp:positionV relativeFrom="paragraph">
            <wp:posOffset>-60474</wp:posOffset>
          </wp:positionV>
          <wp:extent cx="1873885" cy="41275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73885" cy="412750"/>
                  </a:xfrm>
                  <a:prstGeom prst="rect">
                    <a:avLst/>
                  </a:prstGeom>
                </pic:spPr>
              </pic:pic>
            </a:graphicData>
          </a:graphic>
          <wp14:sizeRelH relativeFrom="page">
            <wp14:pctWidth>0</wp14:pctWidth>
          </wp14:sizeRelH>
          <wp14:sizeRelV relativeFrom="page">
            <wp14:pctHeight>0</wp14:pctHeight>
          </wp14:sizeRelV>
        </wp:anchor>
      </w:drawing>
    </w:r>
  </w:p>
  <w:p w14:paraId="473D3036" w14:textId="77777777" w:rsidR="00D93783" w:rsidRPr="00A453A5" w:rsidRDefault="00D93783" w:rsidP="00A453A5">
    <w:pPr>
      <w:jc w:val="right"/>
      <w:rPr>
        <w:rFonts w:ascii="Cambria" w:hAnsi="Cambri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F837" w14:textId="77777777" w:rsidR="00E06319" w:rsidRDefault="00E06319" w:rsidP="0047737B">
    <w:pPr>
      <w:pStyle w:val="Header"/>
      <w:rPr>
        <w:b/>
        <w:color w:val="FF0000"/>
        <w:spacing w:val="-20"/>
        <w:sz w:val="28"/>
        <w:szCs w:val="28"/>
      </w:rPr>
    </w:pPr>
    <w:r w:rsidRPr="00C30FA6">
      <w:rPr>
        <w:noProof/>
        <w:lang w:eastAsia="en-AU"/>
      </w:rPr>
      <w:drawing>
        <wp:anchor distT="0" distB="0" distL="114300" distR="114300" simplePos="0" relativeHeight="251660288" behindDoc="1" locked="0" layoutInCell="1" allowOverlap="1" wp14:anchorId="048A14BD" wp14:editId="404A4DF5">
          <wp:simplePos x="0" y="0"/>
          <wp:positionH relativeFrom="column">
            <wp:posOffset>7061349</wp:posOffset>
          </wp:positionH>
          <wp:positionV relativeFrom="paragraph">
            <wp:posOffset>-60325</wp:posOffset>
          </wp:positionV>
          <wp:extent cx="1873885" cy="41275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73885" cy="412750"/>
                  </a:xfrm>
                  <a:prstGeom prst="rect">
                    <a:avLst/>
                  </a:prstGeom>
                </pic:spPr>
              </pic:pic>
            </a:graphicData>
          </a:graphic>
          <wp14:sizeRelH relativeFrom="page">
            <wp14:pctWidth>0</wp14:pctWidth>
          </wp14:sizeRelH>
          <wp14:sizeRelV relativeFrom="page">
            <wp14:pctHeight>0</wp14:pctHeight>
          </wp14:sizeRelV>
        </wp:anchor>
      </w:drawing>
    </w:r>
  </w:p>
  <w:p w14:paraId="19A41F90" w14:textId="77777777" w:rsidR="00E06319" w:rsidRPr="00A453A5" w:rsidRDefault="00E06319" w:rsidP="00A453A5">
    <w:pPr>
      <w:jc w:val="right"/>
      <w:rPr>
        <w:rFonts w:ascii="Cambria" w:hAnsi="Cambria"/>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A607B" w14:textId="77777777" w:rsidR="00E06319" w:rsidRDefault="00E06319" w:rsidP="0047737B">
    <w:pPr>
      <w:pStyle w:val="Header"/>
      <w:rPr>
        <w:b/>
        <w:color w:val="FF0000"/>
        <w:spacing w:val="-20"/>
        <w:sz w:val="28"/>
        <w:szCs w:val="28"/>
      </w:rPr>
    </w:pPr>
    <w:r w:rsidRPr="00C30FA6">
      <w:rPr>
        <w:noProof/>
        <w:lang w:eastAsia="en-AU"/>
      </w:rPr>
      <w:drawing>
        <wp:anchor distT="0" distB="0" distL="114300" distR="114300" simplePos="0" relativeHeight="251662336" behindDoc="1" locked="0" layoutInCell="1" allowOverlap="1" wp14:anchorId="7D9D8BCA" wp14:editId="2008B1C8">
          <wp:simplePos x="0" y="0"/>
          <wp:positionH relativeFrom="column">
            <wp:posOffset>4300220</wp:posOffset>
          </wp:positionH>
          <wp:positionV relativeFrom="paragraph">
            <wp:posOffset>-60474</wp:posOffset>
          </wp:positionV>
          <wp:extent cx="1873885" cy="41275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73885" cy="412750"/>
                  </a:xfrm>
                  <a:prstGeom prst="rect">
                    <a:avLst/>
                  </a:prstGeom>
                </pic:spPr>
              </pic:pic>
            </a:graphicData>
          </a:graphic>
          <wp14:sizeRelH relativeFrom="page">
            <wp14:pctWidth>0</wp14:pctWidth>
          </wp14:sizeRelH>
          <wp14:sizeRelV relativeFrom="page">
            <wp14:pctHeight>0</wp14:pctHeight>
          </wp14:sizeRelV>
        </wp:anchor>
      </w:drawing>
    </w:r>
  </w:p>
  <w:p w14:paraId="12243EB4" w14:textId="77777777" w:rsidR="00E06319" w:rsidRPr="00A453A5" w:rsidRDefault="00E06319" w:rsidP="00A453A5">
    <w:pPr>
      <w:jc w:val="right"/>
      <w:rPr>
        <w:rFonts w:ascii="Cambria" w:hAnsi="Cambr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EB03FDE"/>
    <w:lvl w:ilvl="0" w:tplc="590A5BF2">
      <w:start w:val="1"/>
      <w:numFmt w:val="bullet"/>
      <w:pStyle w:val="mpcbullets1"/>
      <w:lvlText w:val="•"/>
      <w:lvlJc w:val="left"/>
      <w:pPr>
        <w:ind w:left="360" w:hanging="360"/>
      </w:pPr>
    </w:lvl>
    <w:lvl w:ilvl="1" w:tplc="FFFFFFFF">
      <w:numFmt w:val="decimal"/>
      <w:lvlText w:val=""/>
      <w:lvlJc w:val="left"/>
    </w:lvl>
    <w:lvl w:ilvl="2" w:tplc="FFFFFFFF">
      <w:numFmt w:val="decimal"/>
      <w:lvlText w:val=""/>
      <w:lvlJc w:val="left"/>
    </w:lvl>
    <w:lvl w:ilvl="3" w:tplc="0C090003">
      <w:start w:val="1"/>
      <w:numFmt w:val="bullet"/>
      <w:lvlText w:val="o"/>
      <w:lvlJc w:val="left"/>
      <w:pPr>
        <w:ind w:left="360" w:hanging="360"/>
      </w:pPr>
      <w:rPr>
        <w:rFonts w:ascii="Courier New" w:hAnsi="Courier New" w:cs="Courier New"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7B06917"/>
    <w:multiLevelType w:val="hybridMultilevel"/>
    <w:tmpl w:val="4114FD30"/>
    <w:lvl w:ilvl="0" w:tplc="AA7A7C96">
      <w:start w:val="1"/>
      <w:numFmt w:val="bullet"/>
      <w:pStyle w:val="Bullet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FD7929"/>
    <w:multiLevelType w:val="hybridMultilevel"/>
    <w:tmpl w:val="26808970"/>
    <w:lvl w:ilvl="0" w:tplc="0270CD2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CE2497"/>
    <w:multiLevelType w:val="multilevel"/>
    <w:tmpl w:val="20DA91B6"/>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5794A21"/>
    <w:multiLevelType w:val="hybridMultilevel"/>
    <w:tmpl w:val="05641500"/>
    <w:lvl w:ilvl="0" w:tplc="010A151C">
      <w:start w:val="1"/>
      <w:numFmt w:val="bullet"/>
      <w:pStyle w:val="mpcbullets2"/>
      <w:lvlText w:val="-"/>
      <w:lvlJc w:val="left"/>
      <w:pPr>
        <w:ind w:left="720" w:hanging="360"/>
      </w:pPr>
      <w:rPr>
        <w:rFonts w:ascii="Courier New" w:hAnsi="Courier New" w:hint="default"/>
      </w:rPr>
    </w:lvl>
    <w:lvl w:ilvl="1" w:tplc="07A6BE40">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B673BD"/>
    <w:multiLevelType w:val="hybridMultilevel"/>
    <w:tmpl w:val="D2EAD920"/>
    <w:lvl w:ilvl="0" w:tplc="4044D726">
      <w:start w:val="1"/>
      <w:numFmt w:val="bullet"/>
      <w:lvlText w:val=""/>
      <w:lvlJc w:val="left"/>
      <w:pPr>
        <w:ind w:left="1080" w:hanging="360"/>
      </w:pPr>
      <w:rPr>
        <w:rFonts w:ascii="Tahoma" w:hAnsi="Tahoma"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D695403"/>
    <w:multiLevelType w:val="hybridMultilevel"/>
    <w:tmpl w:val="8D1622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C46769"/>
    <w:multiLevelType w:val="multilevel"/>
    <w:tmpl w:val="20DA91B6"/>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6576B1C"/>
    <w:multiLevelType w:val="hybridMultilevel"/>
    <w:tmpl w:val="A9C69F8A"/>
    <w:lvl w:ilvl="0" w:tplc="DFF65C56">
      <w:start w:val="1"/>
      <w:numFmt w:val="bullet"/>
      <w:pStyle w:val="Bullets2"/>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1667B1D"/>
    <w:multiLevelType w:val="multilevel"/>
    <w:tmpl w:val="5CA45F62"/>
    <w:lvl w:ilvl="0">
      <w:start w:val="1"/>
      <w:numFmt w:val="bullet"/>
      <w:lvlText w:val="-"/>
      <w:lvlJc w:val="left"/>
      <w:pPr>
        <w:tabs>
          <w:tab w:val="num" w:pos="720"/>
        </w:tabs>
        <w:ind w:left="720" w:hanging="360"/>
      </w:pPr>
      <w:rPr>
        <w:rFonts w:ascii="Courier New" w:hAnsi="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5260C0"/>
    <w:multiLevelType w:val="multilevel"/>
    <w:tmpl w:val="0114AD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5E3609C2"/>
    <w:multiLevelType w:val="multilevel"/>
    <w:tmpl w:val="20DA91B6"/>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35173EE"/>
    <w:multiLevelType w:val="multilevel"/>
    <w:tmpl w:val="20DA91B6"/>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669C4E1F"/>
    <w:multiLevelType w:val="hybridMultilevel"/>
    <w:tmpl w:val="D53023B2"/>
    <w:lvl w:ilvl="0" w:tplc="ADC29E36">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CB377E"/>
    <w:multiLevelType w:val="hybridMultilevel"/>
    <w:tmpl w:val="6BE6CFC0"/>
    <w:lvl w:ilvl="0" w:tplc="B7A6E2EE">
      <w:start w:val="1"/>
      <w:numFmt w:val="bullet"/>
      <w:pStyle w:val="Bullets3"/>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E4D5B48"/>
    <w:multiLevelType w:val="hybridMultilevel"/>
    <w:tmpl w:val="D53023B2"/>
    <w:lvl w:ilvl="0" w:tplc="ADC29E36">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2654950">
    <w:abstractNumId w:val="14"/>
  </w:num>
  <w:num w:numId="2" w16cid:durableId="861091927">
    <w:abstractNumId w:val="8"/>
  </w:num>
  <w:num w:numId="3" w16cid:durableId="71315615">
    <w:abstractNumId w:val="1"/>
  </w:num>
  <w:num w:numId="4" w16cid:durableId="2003970294">
    <w:abstractNumId w:val="2"/>
  </w:num>
  <w:num w:numId="5" w16cid:durableId="1962759928">
    <w:abstractNumId w:val="0"/>
  </w:num>
  <w:num w:numId="6" w16cid:durableId="1033968798">
    <w:abstractNumId w:val="4"/>
  </w:num>
  <w:num w:numId="7" w16cid:durableId="1502116366">
    <w:abstractNumId w:val="7"/>
  </w:num>
  <w:num w:numId="8" w16cid:durableId="1150639337">
    <w:abstractNumId w:val="5"/>
  </w:num>
  <w:num w:numId="9" w16cid:durableId="1202860892">
    <w:abstractNumId w:val="11"/>
  </w:num>
  <w:num w:numId="10" w16cid:durableId="389159132">
    <w:abstractNumId w:val="15"/>
  </w:num>
  <w:num w:numId="11" w16cid:durableId="1189104126">
    <w:abstractNumId w:val="3"/>
  </w:num>
  <w:num w:numId="12" w16cid:durableId="676688946">
    <w:abstractNumId w:val="13"/>
  </w:num>
  <w:num w:numId="13" w16cid:durableId="1210991105">
    <w:abstractNumId w:val="10"/>
  </w:num>
  <w:num w:numId="14" w16cid:durableId="1845585863">
    <w:abstractNumId w:val="6"/>
  </w:num>
  <w:num w:numId="15" w16cid:durableId="1995982832">
    <w:abstractNumId w:val="12"/>
  </w:num>
  <w:num w:numId="16" w16cid:durableId="690959661">
    <w:abstractNumId w:val="1"/>
  </w:num>
  <w:num w:numId="17" w16cid:durableId="313685998">
    <w:abstractNumId w:val="1"/>
  </w:num>
  <w:num w:numId="18" w16cid:durableId="1681734873">
    <w:abstractNumId w:val="1"/>
  </w:num>
  <w:num w:numId="19" w16cid:durableId="163400473">
    <w:abstractNumId w:val="1"/>
  </w:num>
  <w:num w:numId="20" w16cid:durableId="552009963">
    <w:abstractNumId w:val="1"/>
  </w:num>
  <w:num w:numId="21" w16cid:durableId="608660092">
    <w:abstractNumId w:val="1"/>
  </w:num>
  <w:num w:numId="22" w16cid:durableId="132328915">
    <w:abstractNumId w:val="1"/>
  </w:num>
  <w:num w:numId="23" w16cid:durableId="1874659370">
    <w:abstractNumId w:val="1"/>
  </w:num>
  <w:num w:numId="24" w16cid:durableId="1286158563">
    <w:abstractNumId w:val="1"/>
  </w:num>
  <w:num w:numId="25" w16cid:durableId="1321612481">
    <w:abstractNumId w:val="1"/>
  </w:num>
  <w:num w:numId="26" w16cid:durableId="1086267871">
    <w:abstractNumId w:val="1"/>
  </w:num>
  <w:num w:numId="27" w16cid:durableId="2086145644">
    <w:abstractNumId w:val="1"/>
  </w:num>
  <w:num w:numId="28" w16cid:durableId="1191455131">
    <w:abstractNumId w:val="1"/>
  </w:num>
  <w:num w:numId="29" w16cid:durableId="569777740">
    <w:abstractNumId w:val="1"/>
  </w:num>
  <w:num w:numId="30" w16cid:durableId="1132401115">
    <w:abstractNumId w:val="1"/>
  </w:num>
  <w:num w:numId="31" w16cid:durableId="1628126750">
    <w:abstractNumId w:val="1"/>
  </w:num>
  <w:num w:numId="32" w16cid:durableId="3751130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it-IT"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colormru v:ext="edit" colors="#62626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EFA"/>
    <w:rsid w:val="00000187"/>
    <w:rsid w:val="000008D2"/>
    <w:rsid w:val="000010A4"/>
    <w:rsid w:val="00001DA6"/>
    <w:rsid w:val="00002089"/>
    <w:rsid w:val="00002C6D"/>
    <w:rsid w:val="00003585"/>
    <w:rsid w:val="00003CD5"/>
    <w:rsid w:val="000040C8"/>
    <w:rsid w:val="00004EAA"/>
    <w:rsid w:val="00005108"/>
    <w:rsid w:val="000058B0"/>
    <w:rsid w:val="00005B6F"/>
    <w:rsid w:val="0000616D"/>
    <w:rsid w:val="00006707"/>
    <w:rsid w:val="00006F58"/>
    <w:rsid w:val="00007283"/>
    <w:rsid w:val="00007FE4"/>
    <w:rsid w:val="00010088"/>
    <w:rsid w:val="000100F5"/>
    <w:rsid w:val="000108B0"/>
    <w:rsid w:val="000112F0"/>
    <w:rsid w:val="00011E68"/>
    <w:rsid w:val="0001249D"/>
    <w:rsid w:val="0001263F"/>
    <w:rsid w:val="00012E27"/>
    <w:rsid w:val="000137F8"/>
    <w:rsid w:val="000137FB"/>
    <w:rsid w:val="00013AEE"/>
    <w:rsid w:val="00013CFC"/>
    <w:rsid w:val="00013EAD"/>
    <w:rsid w:val="00014023"/>
    <w:rsid w:val="000144AA"/>
    <w:rsid w:val="000144D2"/>
    <w:rsid w:val="000149C4"/>
    <w:rsid w:val="00014D1D"/>
    <w:rsid w:val="00016409"/>
    <w:rsid w:val="00016E33"/>
    <w:rsid w:val="00017333"/>
    <w:rsid w:val="00017D82"/>
    <w:rsid w:val="00017F88"/>
    <w:rsid w:val="0002059C"/>
    <w:rsid w:val="00021007"/>
    <w:rsid w:val="0002105A"/>
    <w:rsid w:val="00022166"/>
    <w:rsid w:val="0002224E"/>
    <w:rsid w:val="00022717"/>
    <w:rsid w:val="0002284C"/>
    <w:rsid w:val="000229B1"/>
    <w:rsid w:val="000233CD"/>
    <w:rsid w:val="00023985"/>
    <w:rsid w:val="0002399D"/>
    <w:rsid w:val="00025375"/>
    <w:rsid w:val="000255EB"/>
    <w:rsid w:val="000265F2"/>
    <w:rsid w:val="00026BB7"/>
    <w:rsid w:val="00026D91"/>
    <w:rsid w:val="00027563"/>
    <w:rsid w:val="00030727"/>
    <w:rsid w:val="0003112C"/>
    <w:rsid w:val="000320A0"/>
    <w:rsid w:val="0003240F"/>
    <w:rsid w:val="000332EA"/>
    <w:rsid w:val="0003478C"/>
    <w:rsid w:val="000353C4"/>
    <w:rsid w:val="000369B6"/>
    <w:rsid w:val="00040ABE"/>
    <w:rsid w:val="00042A92"/>
    <w:rsid w:val="00042E65"/>
    <w:rsid w:val="000431D6"/>
    <w:rsid w:val="0004375D"/>
    <w:rsid w:val="00044A69"/>
    <w:rsid w:val="00045620"/>
    <w:rsid w:val="00045DF9"/>
    <w:rsid w:val="00045E69"/>
    <w:rsid w:val="00046246"/>
    <w:rsid w:val="00046621"/>
    <w:rsid w:val="0004714D"/>
    <w:rsid w:val="00047B7A"/>
    <w:rsid w:val="00050041"/>
    <w:rsid w:val="00050544"/>
    <w:rsid w:val="0005069B"/>
    <w:rsid w:val="00050BA0"/>
    <w:rsid w:val="0005111B"/>
    <w:rsid w:val="00051888"/>
    <w:rsid w:val="0005200B"/>
    <w:rsid w:val="00052733"/>
    <w:rsid w:val="00052740"/>
    <w:rsid w:val="0005311A"/>
    <w:rsid w:val="0005344B"/>
    <w:rsid w:val="00053749"/>
    <w:rsid w:val="000540D2"/>
    <w:rsid w:val="00054824"/>
    <w:rsid w:val="0005608C"/>
    <w:rsid w:val="00056224"/>
    <w:rsid w:val="0005650C"/>
    <w:rsid w:val="00057120"/>
    <w:rsid w:val="0005727E"/>
    <w:rsid w:val="00057723"/>
    <w:rsid w:val="000600B7"/>
    <w:rsid w:val="000609D1"/>
    <w:rsid w:val="00060F06"/>
    <w:rsid w:val="00061512"/>
    <w:rsid w:val="00061C7E"/>
    <w:rsid w:val="00062133"/>
    <w:rsid w:val="000622E0"/>
    <w:rsid w:val="000636FA"/>
    <w:rsid w:val="00063954"/>
    <w:rsid w:val="00064BF3"/>
    <w:rsid w:val="00064FEC"/>
    <w:rsid w:val="00065958"/>
    <w:rsid w:val="00065CB4"/>
    <w:rsid w:val="00065D63"/>
    <w:rsid w:val="00065FF2"/>
    <w:rsid w:val="00066216"/>
    <w:rsid w:val="000662FD"/>
    <w:rsid w:val="0006682F"/>
    <w:rsid w:val="00067B4B"/>
    <w:rsid w:val="00067B68"/>
    <w:rsid w:val="00067DBE"/>
    <w:rsid w:val="00067E76"/>
    <w:rsid w:val="000711C3"/>
    <w:rsid w:val="00071230"/>
    <w:rsid w:val="00071D95"/>
    <w:rsid w:val="00071FFF"/>
    <w:rsid w:val="00072E02"/>
    <w:rsid w:val="00072F35"/>
    <w:rsid w:val="000733AD"/>
    <w:rsid w:val="00073E1F"/>
    <w:rsid w:val="00073EDD"/>
    <w:rsid w:val="0007662B"/>
    <w:rsid w:val="00076C46"/>
    <w:rsid w:val="00076D1B"/>
    <w:rsid w:val="00076FCD"/>
    <w:rsid w:val="000772C9"/>
    <w:rsid w:val="00077646"/>
    <w:rsid w:val="00077780"/>
    <w:rsid w:val="0007782C"/>
    <w:rsid w:val="00077AA8"/>
    <w:rsid w:val="00077B2E"/>
    <w:rsid w:val="0008053E"/>
    <w:rsid w:val="00081154"/>
    <w:rsid w:val="000818CE"/>
    <w:rsid w:val="00082445"/>
    <w:rsid w:val="00082DD3"/>
    <w:rsid w:val="000832DC"/>
    <w:rsid w:val="000835BB"/>
    <w:rsid w:val="00083A9C"/>
    <w:rsid w:val="000844DA"/>
    <w:rsid w:val="000845BD"/>
    <w:rsid w:val="00085024"/>
    <w:rsid w:val="00085D5A"/>
    <w:rsid w:val="00085DB3"/>
    <w:rsid w:val="00087F3E"/>
    <w:rsid w:val="00091473"/>
    <w:rsid w:val="00091632"/>
    <w:rsid w:val="00091B39"/>
    <w:rsid w:val="0009283C"/>
    <w:rsid w:val="000936E7"/>
    <w:rsid w:val="00093852"/>
    <w:rsid w:val="000938F4"/>
    <w:rsid w:val="00094E13"/>
    <w:rsid w:val="000950CC"/>
    <w:rsid w:val="000954A0"/>
    <w:rsid w:val="00095B24"/>
    <w:rsid w:val="000967B9"/>
    <w:rsid w:val="00096E1E"/>
    <w:rsid w:val="0009768B"/>
    <w:rsid w:val="00097AB6"/>
    <w:rsid w:val="00097DFD"/>
    <w:rsid w:val="00097FCB"/>
    <w:rsid w:val="000A1088"/>
    <w:rsid w:val="000A1B63"/>
    <w:rsid w:val="000A1B84"/>
    <w:rsid w:val="000A1F85"/>
    <w:rsid w:val="000A2250"/>
    <w:rsid w:val="000A2609"/>
    <w:rsid w:val="000A2BA7"/>
    <w:rsid w:val="000A2E75"/>
    <w:rsid w:val="000A41A8"/>
    <w:rsid w:val="000A51C4"/>
    <w:rsid w:val="000A5279"/>
    <w:rsid w:val="000A584F"/>
    <w:rsid w:val="000A5B9C"/>
    <w:rsid w:val="000A72C0"/>
    <w:rsid w:val="000A7712"/>
    <w:rsid w:val="000A79F8"/>
    <w:rsid w:val="000A7CD8"/>
    <w:rsid w:val="000B024F"/>
    <w:rsid w:val="000B071A"/>
    <w:rsid w:val="000B0776"/>
    <w:rsid w:val="000B1551"/>
    <w:rsid w:val="000B2301"/>
    <w:rsid w:val="000B2408"/>
    <w:rsid w:val="000B2D30"/>
    <w:rsid w:val="000B3281"/>
    <w:rsid w:val="000B3809"/>
    <w:rsid w:val="000B4A1C"/>
    <w:rsid w:val="000B5DFD"/>
    <w:rsid w:val="000B61CA"/>
    <w:rsid w:val="000B699F"/>
    <w:rsid w:val="000B768B"/>
    <w:rsid w:val="000B76C0"/>
    <w:rsid w:val="000C108D"/>
    <w:rsid w:val="000C17A0"/>
    <w:rsid w:val="000C267F"/>
    <w:rsid w:val="000C2792"/>
    <w:rsid w:val="000C3662"/>
    <w:rsid w:val="000C4325"/>
    <w:rsid w:val="000C4764"/>
    <w:rsid w:val="000C4765"/>
    <w:rsid w:val="000C5739"/>
    <w:rsid w:val="000C6042"/>
    <w:rsid w:val="000C6219"/>
    <w:rsid w:val="000C64B0"/>
    <w:rsid w:val="000C68E5"/>
    <w:rsid w:val="000C6D51"/>
    <w:rsid w:val="000C6F23"/>
    <w:rsid w:val="000C710D"/>
    <w:rsid w:val="000C7185"/>
    <w:rsid w:val="000C748B"/>
    <w:rsid w:val="000C75D1"/>
    <w:rsid w:val="000C76DD"/>
    <w:rsid w:val="000C7CC3"/>
    <w:rsid w:val="000C7D27"/>
    <w:rsid w:val="000C7F17"/>
    <w:rsid w:val="000D0CD2"/>
    <w:rsid w:val="000D13FC"/>
    <w:rsid w:val="000D14DB"/>
    <w:rsid w:val="000D1CEC"/>
    <w:rsid w:val="000D209F"/>
    <w:rsid w:val="000D28FE"/>
    <w:rsid w:val="000D31AE"/>
    <w:rsid w:val="000D31FA"/>
    <w:rsid w:val="000D37FD"/>
    <w:rsid w:val="000D4085"/>
    <w:rsid w:val="000D5329"/>
    <w:rsid w:val="000D57E4"/>
    <w:rsid w:val="000D6393"/>
    <w:rsid w:val="000D6685"/>
    <w:rsid w:val="000D6F5B"/>
    <w:rsid w:val="000D7C7B"/>
    <w:rsid w:val="000E0054"/>
    <w:rsid w:val="000E0275"/>
    <w:rsid w:val="000E02CF"/>
    <w:rsid w:val="000E0319"/>
    <w:rsid w:val="000E0418"/>
    <w:rsid w:val="000E0A04"/>
    <w:rsid w:val="000E0BEB"/>
    <w:rsid w:val="000E1A01"/>
    <w:rsid w:val="000E2366"/>
    <w:rsid w:val="000E274A"/>
    <w:rsid w:val="000E301C"/>
    <w:rsid w:val="000E3427"/>
    <w:rsid w:val="000E34DF"/>
    <w:rsid w:val="000E3A05"/>
    <w:rsid w:val="000E3EF7"/>
    <w:rsid w:val="000E4D42"/>
    <w:rsid w:val="000E4D65"/>
    <w:rsid w:val="000E4DA7"/>
    <w:rsid w:val="000E53B5"/>
    <w:rsid w:val="000E58E1"/>
    <w:rsid w:val="000E5F90"/>
    <w:rsid w:val="000E6A5B"/>
    <w:rsid w:val="000E6ABF"/>
    <w:rsid w:val="000E73D9"/>
    <w:rsid w:val="000E7E4E"/>
    <w:rsid w:val="000F0DC4"/>
    <w:rsid w:val="000F1A2A"/>
    <w:rsid w:val="000F1E49"/>
    <w:rsid w:val="000F210C"/>
    <w:rsid w:val="000F2269"/>
    <w:rsid w:val="000F2398"/>
    <w:rsid w:val="000F357F"/>
    <w:rsid w:val="000F38DD"/>
    <w:rsid w:val="000F40FB"/>
    <w:rsid w:val="000F4C37"/>
    <w:rsid w:val="000F4F5A"/>
    <w:rsid w:val="000F57EA"/>
    <w:rsid w:val="000F698D"/>
    <w:rsid w:val="000F6EC6"/>
    <w:rsid w:val="000F6F50"/>
    <w:rsid w:val="001000C6"/>
    <w:rsid w:val="001006A3"/>
    <w:rsid w:val="001012AE"/>
    <w:rsid w:val="00101538"/>
    <w:rsid w:val="00101965"/>
    <w:rsid w:val="001029E6"/>
    <w:rsid w:val="00103AA3"/>
    <w:rsid w:val="00103B39"/>
    <w:rsid w:val="001040DE"/>
    <w:rsid w:val="001044AB"/>
    <w:rsid w:val="00104959"/>
    <w:rsid w:val="00104D65"/>
    <w:rsid w:val="00104E61"/>
    <w:rsid w:val="00104E8E"/>
    <w:rsid w:val="0010518A"/>
    <w:rsid w:val="00105E65"/>
    <w:rsid w:val="0010635A"/>
    <w:rsid w:val="00106849"/>
    <w:rsid w:val="00106AE5"/>
    <w:rsid w:val="0010703C"/>
    <w:rsid w:val="00107650"/>
    <w:rsid w:val="00107837"/>
    <w:rsid w:val="00110125"/>
    <w:rsid w:val="001101DB"/>
    <w:rsid w:val="00110E37"/>
    <w:rsid w:val="00111B9E"/>
    <w:rsid w:val="00111D13"/>
    <w:rsid w:val="00113771"/>
    <w:rsid w:val="00113962"/>
    <w:rsid w:val="00113B02"/>
    <w:rsid w:val="00113B2F"/>
    <w:rsid w:val="00113D69"/>
    <w:rsid w:val="00113FCA"/>
    <w:rsid w:val="001143AB"/>
    <w:rsid w:val="00114DF8"/>
    <w:rsid w:val="00114DFB"/>
    <w:rsid w:val="00115A29"/>
    <w:rsid w:val="00115AF2"/>
    <w:rsid w:val="00116710"/>
    <w:rsid w:val="001168BA"/>
    <w:rsid w:val="00117208"/>
    <w:rsid w:val="00117B05"/>
    <w:rsid w:val="0012041B"/>
    <w:rsid w:val="001207E7"/>
    <w:rsid w:val="00120827"/>
    <w:rsid w:val="001214B6"/>
    <w:rsid w:val="00122069"/>
    <w:rsid w:val="001221E0"/>
    <w:rsid w:val="00122E2E"/>
    <w:rsid w:val="00123EFB"/>
    <w:rsid w:val="00124CBE"/>
    <w:rsid w:val="001254DE"/>
    <w:rsid w:val="0012647B"/>
    <w:rsid w:val="00126775"/>
    <w:rsid w:val="00126ABC"/>
    <w:rsid w:val="00126BC9"/>
    <w:rsid w:val="001272B4"/>
    <w:rsid w:val="0012733B"/>
    <w:rsid w:val="00127723"/>
    <w:rsid w:val="00127D9A"/>
    <w:rsid w:val="0013092F"/>
    <w:rsid w:val="00130E80"/>
    <w:rsid w:val="00130F07"/>
    <w:rsid w:val="001315C5"/>
    <w:rsid w:val="0013287F"/>
    <w:rsid w:val="001329D7"/>
    <w:rsid w:val="00133308"/>
    <w:rsid w:val="00133335"/>
    <w:rsid w:val="00133BAB"/>
    <w:rsid w:val="00134194"/>
    <w:rsid w:val="00134E77"/>
    <w:rsid w:val="0013568D"/>
    <w:rsid w:val="0013628C"/>
    <w:rsid w:val="00136760"/>
    <w:rsid w:val="00136B5D"/>
    <w:rsid w:val="00137140"/>
    <w:rsid w:val="001376DD"/>
    <w:rsid w:val="00137BA4"/>
    <w:rsid w:val="00140315"/>
    <w:rsid w:val="0014140A"/>
    <w:rsid w:val="00141AEF"/>
    <w:rsid w:val="001426D3"/>
    <w:rsid w:val="00142BA2"/>
    <w:rsid w:val="00144B49"/>
    <w:rsid w:val="00144BBD"/>
    <w:rsid w:val="001453A6"/>
    <w:rsid w:val="001454F2"/>
    <w:rsid w:val="00145819"/>
    <w:rsid w:val="00145CB0"/>
    <w:rsid w:val="00145D56"/>
    <w:rsid w:val="00145D94"/>
    <w:rsid w:val="00145E7C"/>
    <w:rsid w:val="001464EC"/>
    <w:rsid w:val="001469CF"/>
    <w:rsid w:val="00146BCF"/>
    <w:rsid w:val="0014704B"/>
    <w:rsid w:val="001473CB"/>
    <w:rsid w:val="001475C0"/>
    <w:rsid w:val="00147B87"/>
    <w:rsid w:val="001507A6"/>
    <w:rsid w:val="00151C21"/>
    <w:rsid w:val="00152406"/>
    <w:rsid w:val="00152C8F"/>
    <w:rsid w:val="00153635"/>
    <w:rsid w:val="00153876"/>
    <w:rsid w:val="00153A1E"/>
    <w:rsid w:val="00153C4C"/>
    <w:rsid w:val="00154847"/>
    <w:rsid w:val="00155C80"/>
    <w:rsid w:val="001565CA"/>
    <w:rsid w:val="001568A7"/>
    <w:rsid w:val="00156B1E"/>
    <w:rsid w:val="00156CB6"/>
    <w:rsid w:val="00156F89"/>
    <w:rsid w:val="00157779"/>
    <w:rsid w:val="00160596"/>
    <w:rsid w:val="00160AE3"/>
    <w:rsid w:val="001614AC"/>
    <w:rsid w:val="00161B69"/>
    <w:rsid w:val="00161DDA"/>
    <w:rsid w:val="00163BDF"/>
    <w:rsid w:val="00164323"/>
    <w:rsid w:val="00164C68"/>
    <w:rsid w:val="00164F39"/>
    <w:rsid w:val="00165D45"/>
    <w:rsid w:val="001661C4"/>
    <w:rsid w:val="001666BA"/>
    <w:rsid w:val="00167023"/>
    <w:rsid w:val="0016762A"/>
    <w:rsid w:val="00170035"/>
    <w:rsid w:val="0017043B"/>
    <w:rsid w:val="001708CA"/>
    <w:rsid w:val="00170AD5"/>
    <w:rsid w:val="00170B31"/>
    <w:rsid w:val="00170B89"/>
    <w:rsid w:val="00170F25"/>
    <w:rsid w:val="00171075"/>
    <w:rsid w:val="00171217"/>
    <w:rsid w:val="00171733"/>
    <w:rsid w:val="0017292F"/>
    <w:rsid w:val="00172948"/>
    <w:rsid w:val="00172F11"/>
    <w:rsid w:val="00173419"/>
    <w:rsid w:val="00173AC6"/>
    <w:rsid w:val="00173B29"/>
    <w:rsid w:val="00173BC6"/>
    <w:rsid w:val="00173D9E"/>
    <w:rsid w:val="0017404F"/>
    <w:rsid w:val="00175248"/>
    <w:rsid w:val="001762EB"/>
    <w:rsid w:val="00177461"/>
    <w:rsid w:val="00180D57"/>
    <w:rsid w:val="001814C0"/>
    <w:rsid w:val="00181629"/>
    <w:rsid w:val="00181E18"/>
    <w:rsid w:val="00181EF0"/>
    <w:rsid w:val="00182D7D"/>
    <w:rsid w:val="0018351C"/>
    <w:rsid w:val="001839BA"/>
    <w:rsid w:val="001842C6"/>
    <w:rsid w:val="001847E7"/>
    <w:rsid w:val="00184CBF"/>
    <w:rsid w:val="00185185"/>
    <w:rsid w:val="00185444"/>
    <w:rsid w:val="00185ABE"/>
    <w:rsid w:val="00185D93"/>
    <w:rsid w:val="001860D2"/>
    <w:rsid w:val="00186207"/>
    <w:rsid w:val="001862B7"/>
    <w:rsid w:val="0018766A"/>
    <w:rsid w:val="00187750"/>
    <w:rsid w:val="001878AA"/>
    <w:rsid w:val="001904CB"/>
    <w:rsid w:val="00190F27"/>
    <w:rsid w:val="00191047"/>
    <w:rsid w:val="00191731"/>
    <w:rsid w:val="00191C48"/>
    <w:rsid w:val="0019232C"/>
    <w:rsid w:val="00192429"/>
    <w:rsid w:val="00192AC2"/>
    <w:rsid w:val="00192B02"/>
    <w:rsid w:val="00193B85"/>
    <w:rsid w:val="00193C94"/>
    <w:rsid w:val="0019405E"/>
    <w:rsid w:val="00194874"/>
    <w:rsid w:val="00194B16"/>
    <w:rsid w:val="00195024"/>
    <w:rsid w:val="00195906"/>
    <w:rsid w:val="001959E1"/>
    <w:rsid w:val="00196005"/>
    <w:rsid w:val="00196292"/>
    <w:rsid w:val="00196527"/>
    <w:rsid w:val="00196698"/>
    <w:rsid w:val="00196A96"/>
    <w:rsid w:val="00196DC1"/>
    <w:rsid w:val="00196F9C"/>
    <w:rsid w:val="00197B0C"/>
    <w:rsid w:val="00197C58"/>
    <w:rsid w:val="001A0754"/>
    <w:rsid w:val="001A08FE"/>
    <w:rsid w:val="001A0B54"/>
    <w:rsid w:val="001A1804"/>
    <w:rsid w:val="001A1F25"/>
    <w:rsid w:val="001A24FB"/>
    <w:rsid w:val="001A2B06"/>
    <w:rsid w:val="001A2F2E"/>
    <w:rsid w:val="001A3130"/>
    <w:rsid w:val="001A3508"/>
    <w:rsid w:val="001A3B05"/>
    <w:rsid w:val="001A4131"/>
    <w:rsid w:val="001A4B60"/>
    <w:rsid w:val="001A4D59"/>
    <w:rsid w:val="001A5062"/>
    <w:rsid w:val="001A50B8"/>
    <w:rsid w:val="001A541F"/>
    <w:rsid w:val="001A6362"/>
    <w:rsid w:val="001A67BA"/>
    <w:rsid w:val="001B043D"/>
    <w:rsid w:val="001B143B"/>
    <w:rsid w:val="001B17F2"/>
    <w:rsid w:val="001B1A08"/>
    <w:rsid w:val="001B1A5F"/>
    <w:rsid w:val="001B1E58"/>
    <w:rsid w:val="001B234C"/>
    <w:rsid w:val="001B23B1"/>
    <w:rsid w:val="001B2B0E"/>
    <w:rsid w:val="001B3140"/>
    <w:rsid w:val="001B38B1"/>
    <w:rsid w:val="001B3D0F"/>
    <w:rsid w:val="001B423A"/>
    <w:rsid w:val="001B4677"/>
    <w:rsid w:val="001B5B7D"/>
    <w:rsid w:val="001B5FEE"/>
    <w:rsid w:val="001B64E1"/>
    <w:rsid w:val="001B6842"/>
    <w:rsid w:val="001B6902"/>
    <w:rsid w:val="001B6B3C"/>
    <w:rsid w:val="001B6DB4"/>
    <w:rsid w:val="001B6F6F"/>
    <w:rsid w:val="001B7590"/>
    <w:rsid w:val="001C005F"/>
    <w:rsid w:val="001C0432"/>
    <w:rsid w:val="001C05C1"/>
    <w:rsid w:val="001C0606"/>
    <w:rsid w:val="001C0B54"/>
    <w:rsid w:val="001C0C68"/>
    <w:rsid w:val="001C1144"/>
    <w:rsid w:val="001C1635"/>
    <w:rsid w:val="001C1B30"/>
    <w:rsid w:val="001C216A"/>
    <w:rsid w:val="001C2C40"/>
    <w:rsid w:val="001C2E98"/>
    <w:rsid w:val="001C2F34"/>
    <w:rsid w:val="001C39A5"/>
    <w:rsid w:val="001C39EF"/>
    <w:rsid w:val="001C3D32"/>
    <w:rsid w:val="001C51F1"/>
    <w:rsid w:val="001C5799"/>
    <w:rsid w:val="001C61FB"/>
    <w:rsid w:val="001C662E"/>
    <w:rsid w:val="001C6DE8"/>
    <w:rsid w:val="001C72CF"/>
    <w:rsid w:val="001D0AEF"/>
    <w:rsid w:val="001D0BC3"/>
    <w:rsid w:val="001D1281"/>
    <w:rsid w:val="001D167A"/>
    <w:rsid w:val="001D1944"/>
    <w:rsid w:val="001D1DA3"/>
    <w:rsid w:val="001D1F7A"/>
    <w:rsid w:val="001D232F"/>
    <w:rsid w:val="001D266C"/>
    <w:rsid w:val="001D293E"/>
    <w:rsid w:val="001D3816"/>
    <w:rsid w:val="001D3950"/>
    <w:rsid w:val="001D3BF8"/>
    <w:rsid w:val="001D3CA8"/>
    <w:rsid w:val="001D52CB"/>
    <w:rsid w:val="001D5BA5"/>
    <w:rsid w:val="001D61FD"/>
    <w:rsid w:val="001D687E"/>
    <w:rsid w:val="001D6F1F"/>
    <w:rsid w:val="001D6FC9"/>
    <w:rsid w:val="001D7702"/>
    <w:rsid w:val="001D7C00"/>
    <w:rsid w:val="001E0453"/>
    <w:rsid w:val="001E0CBF"/>
    <w:rsid w:val="001E1B08"/>
    <w:rsid w:val="001E1C7D"/>
    <w:rsid w:val="001E2AA6"/>
    <w:rsid w:val="001E2F7F"/>
    <w:rsid w:val="001E3392"/>
    <w:rsid w:val="001E3817"/>
    <w:rsid w:val="001E4CA0"/>
    <w:rsid w:val="001E4D1D"/>
    <w:rsid w:val="001E4DD4"/>
    <w:rsid w:val="001E4FFB"/>
    <w:rsid w:val="001E5224"/>
    <w:rsid w:val="001E5675"/>
    <w:rsid w:val="001E7651"/>
    <w:rsid w:val="001E7F05"/>
    <w:rsid w:val="001E7F17"/>
    <w:rsid w:val="001F0330"/>
    <w:rsid w:val="001F04D1"/>
    <w:rsid w:val="001F099A"/>
    <w:rsid w:val="001F0FA2"/>
    <w:rsid w:val="001F1523"/>
    <w:rsid w:val="001F15B0"/>
    <w:rsid w:val="001F16FC"/>
    <w:rsid w:val="001F1CA2"/>
    <w:rsid w:val="001F2011"/>
    <w:rsid w:val="001F2A50"/>
    <w:rsid w:val="001F32C5"/>
    <w:rsid w:val="001F37F8"/>
    <w:rsid w:val="001F3F6F"/>
    <w:rsid w:val="001F42B3"/>
    <w:rsid w:val="001F482E"/>
    <w:rsid w:val="001F4B83"/>
    <w:rsid w:val="001F4E9A"/>
    <w:rsid w:val="001F5FF8"/>
    <w:rsid w:val="001F6934"/>
    <w:rsid w:val="001F6D1E"/>
    <w:rsid w:val="001F7227"/>
    <w:rsid w:val="001F73E3"/>
    <w:rsid w:val="001F7A2C"/>
    <w:rsid w:val="001F7C09"/>
    <w:rsid w:val="001F7FCA"/>
    <w:rsid w:val="002001C8"/>
    <w:rsid w:val="00200DB4"/>
    <w:rsid w:val="0020123A"/>
    <w:rsid w:val="002017CF"/>
    <w:rsid w:val="002017F9"/>
    <w:rsid w:val="00201866"/>
    <w:rsid w:val="002020D2"/>
    <w:rsid w:val="002026FC"/>
    <w:rsid w:val="002037A2"/>
    <w:rsid w:val="002055DC"/>
    <w:rsid w:val="002057EB"/>
    <w:rsid w:val="00205FA1"/>
    <w:rsid w:val="00206544"/>
    <w:rsid w:val="0020723B"/>
    <w:rsid w:val="0020739E"/>
    <w:rsid w:val="00207769"/>
    <w:rsid w:val="00210613"/>
    <w:rsid w:val="002115BF"/>
    <w:rsid w:val="00212032"/>
    <w:rsid w:val="00213873"/>
    <w:rsid w:val="00213AC8"/>
    <w:rsid w:val="00214B54"/>
    <w:rsid w:val="00215E28"/>
    <w:rsid w:val="00215E5E"/>
    <w:rsid w:val="00217579"/>
    <w:rsid w:val="00220ED7"/>
    <w:rsid w:val="00220EE2"/>
    <w:rsid w:val="002211A1"/>
    <w:rsid w:val="002215C0"/>
    <w:rsid w:val="00221632"/>
    <w:rsid w:val="0022204C"/>
    <w:rsid w:val="00222374"/>
    <w:rsid w:val="00222482"/>
    <w:rsid w:val="00223246"/>
    <w:rsid w:val="00223A44"/>
    <w:rsid w:val="00223F3D"/>
    <w:rsid w:val="00224E0D"/>
    <w:rsid w:val="00225552"/>
    <w:rsid w:val="00225E3C"/>
    <w:rsid w:val="00226790"/>
    <w:rsid w:val="002270D8"/>
    <w:rsid w:val="00227E6A"/>
    <w:rsid w:val="00227E96"/>
    <w:rsid w:val="00230477"/>
    <w:rsid w:val="002306FE"/>
    <w:rsid w:val="00232B88"/>
    <w:rsid w:val="002337E1"/>
    <w:rsid w:val="002337FC"/>
    <w:rsid w:val="00233D5E"/>
    <w:rsid w:val="00233E7A"/>
    <w:rsid w:val="00234255"/>
    <w:rsid w:val="00234478"/>
    <w:rsid w:val="00234644"/>
    <w:rsid w:val="00234EA0"/>
    <w:rsid w:val="00235369"/>
    <w:rsid w:val="00235BEA"/>
    <w:rsid w:val="002369D8"/>
    <w:rsid w:val="0023722D"/>
    <w:rsid w:val="002407A8"/>
    <w:rsid w:val="00241286"/>
    <w:rsid w:val="00241E82"/>
    <w:rsid w:val="00242171"/>
    <w:rsid w:val="00242568"/>
    <w:rsid w:val="00242AE9"/>
    <w:rsid w:val="00242E20"/>
    <w:rsid w:val="00243BD5"/>
    <w:rsid w:val="002443B7"/>
    <w:rsid w:val="002449C8"/>
    <w:rsid w:val="00244D51"/>
    <w:rsid w:val="00245466"/>
    <w:rsid w:val="00245EEB"/>
    <w:rsid w:val="0024770D"/>
    <w:rsid w:val="00247F6E"/>
    <w:rsid w:val="002503C9"/>
    <w:rsid w:val="002504AD"/>
    <w:rsid w:val="00250FE5"/>
    <w:rsid w:val="00252DA3"/>
    <w:rsid w:val="00253157"/>
    <w:rsid w:val="00254ED8"/>
    <w:rsid w:val="00255165"/>
    <w:rsid w:val="00255174"/>
    <w:rsid w:val="00255D32"/>
    <w:rsid w:val="002561AF"/>
    <w:rsid w:val="00256852"/>
    <w:rsid w:val="00256C4A"/>
    <w:rsid w:val="00256C72"/>
    <w:rsid w:val="00257068"/>
    <w:rsid w:val="002570A7"/>
    <w:rsid w:val="0025718F"/>
    <w:rsid w:val="002575AF"/>
    <w:rsid w:val="002578B2"/>
    <w:rsid w:val="00261735"/>
    <w:rsid w:val="00261EDC"/>
    <w:rsid w:val="00261F75"/>
    <w:rsid w:val="002620BE"/>
    <w:rsid w:val="002626AC"/>
    <w:rsid w:val="00262F4E"/>
    <w:rsid w:val="002635D2"/>
    <w:rsid w:val="002638F1"/>
    <w:rsid w:val="00263BC7"/>
    <w:rsid w:val="00264582"/>
    <w:rsid w:val="00264D7D"/>
    <w:rsid w:val="00264DD8"/>
    <w:rsid w:val="00264E34"/>
    <w:rsid w:val="00265A70"/>
    <w:rsid w:val="0026602B"/>
    <w:rsid w:val="00266298"/>
    <w:rsid w:val="002668A4"/>
    <w:rsid w:val="00267069"/>
    <w:rsid w:val="002671B2"/>
    <w:rsid w:val="00267234"/>
    <w:rsid w:val="00267B30"/>
    <w:rsid w:val="00267F53"/>
    <w:rsid w:val="00271288"/>
    <w:rsid w:val="00271B3A"/>
    <w:rsid w:val="002721D1"/>
    <w:rsid w:val="00272E23"/>
    <w:rsid w:val="002747A5"/>
    <w:rsid w:val="002753D8"/>
    <w:rsid w:val="0027549A"/>
    <w:rsid w:val="00275818"/>
    <w:rsid w:val="00276BD2"/>
    <w:rsid w:val="002771AE"/>
    <w:rsid w:val="00277345"/>
    <w:rsid w:val="0027782D"/>
    <w:rsid w:val="00277CE0"/>
    <w:rsid w:val="00280674"/>
    <w:rsid w:val="00281D64"/>
    <w:rsid w:val="00281DFB"/>
    <w:rsid w:val="00282835"/>
    <w:rsid w:val="002828A0"/>
    <w:rsid w:val="00283084"/>
    <w:rsid w:val="002835A3"/>
    <w:rsid w:val="00283742"/>
    <w:rsid w:val="00283A72"/>
    <w:rsid w:val="00284654"/>
    <w:rsid w:val="0028505D"/>
    <w:rsid w:val="00285275"/>
    <w:rsid w:val="00285BE3"/>
    <w:rsid w:val="00285C01"/>
    <w:rsid w:val="00286073"/>
    <w:rsid w:val="00286D91"/>
    <w:rsid w:val="002900F6"/>
    <w:rsid w:val="00290A75"/>
    <w:rsid w:val="00291261"/>
    <w:rsid w:val="00291F03"/>
    <w:rsid w:val="00292730"/>
    <w:rsid w:val="00292C62"/>
    <w:rsid w:val="00292CA5"/>
    <w:rsid w:val="0029315B"/>
    <w:rsid w:val="002932F3"/>
    <w:rsid w:val="00293FB5"/>
    <w:rsid w:val="00294087"/>
    <w:rsid w:val="002942FD"/>
    <w:rsid w:val="00294620"/>
    <w:rsid w:val="00294C9F"/>
    <w:rsid w:val="002957DB"/>
    <w:rsid w:val="00295AF3"/>
    <w:rsid w:val="00295C5C"/>
    <w:rsid w:val="00296A38"/>
    <w:rsid w:val="00296E9E"/>
    <w:rsid w:val="00297353"/>
    <w:rsid w:val="00297F35"/>
    <w:rsid w:val="002A03CA"/>
    <w:rsid w:val="002A054C"/>
    <w:rsid w:val="002A0E85"/>
    <w:rsid w:val="002A13E2"/>
    <w:rsid w:val="002A1422"/>
    <w:rsid w:val="002A165A"/>
    <w:rsid w:val="002A1C1E"/>
    <w:rsid w:val="002A22E9"/>
    <w:rsid w:val="002A2315"/>
    <w:rsid w:val="002A3261"/>
    <w:rsid w:val="002A3CE4"/>
    <w:rsid w:val="002A3D2B"/>
    <w:rsid w:val="002A3F35"/>
    <w:rsid w:val="002A560B"/>
    <w:rsid w:val="002A5F27"/>
    <w:rsid w:val="002A6240"/>
    <w:rsid w:val="002A6901"/>
    <w:rsid w:val="002A6D31"/>
    <w:rsid w:val="002A7403"/>
    <w:rsid w:val="002A7F56"/>
    <w:rsid w:val="002B032D"/>
    <w:rsid w:val="002B161B"/>
    <w:rsid w:val="002B2264"/>
    <w:rsid w:val="002B2381"/>
    <w:rsid w:val="002B2607"/>
    <w:rsid w:val="002B2EFB"/>
    <w:rsid w:val="002B2FBB"/>
    <w:rsid w:val="002B33A0"/>
    <w:rsid w:val="002B3492"/>
    <w:rsid w:val="002B375C"/>
    <w:rsid w:val="002B4938"/>
    <w:rsid w:val="002B520D"/>
    <w:rsid w:val="002B526B"/>
    <w:rsid w:val="002B541F"/>
    <w:rsid w:val="002B64A1"/>
    <w:rsid w:val="002B6FBE"/>
    <w:rsid w:val="002B73B6"/>
    <w:rsid w:val="002B77EC"/>
    <w:rsid w:val="002B785E"/>
    <w:rsid w:val="002B787F"/>
    <w:rsid w:val="002C0007"/>
    <w:rsid w:val="002C017A"/>
    <w:rsid w:val="002C01E7"/>
    <w:rsid w:val="002C05D1"/>
    <w:rsid w:val="002C0B3A"/>
    <w:rsid w:val="002C0BF4"/>
    <w:rsid w:val="002C0E56"/>
    <w:rsid w:val="002C1CD5"/>
    <w:rsid w:val="002C1CF8"/>
    <w:rsid w:val="002C1F50"/>
    <w:rsid w:val="002C2245"/>
    <w:rsid w:val="002C2759"/>
    <w:rsid w:val="002C2A25"/>
    <w:rsid w:val="002C304E"/>
    <w:rsid w:val="002C36EB"/>
    <w:rsid w:val="002C38A8"/>
    <w:rsid w:val="002C3A54"/>
    <w:rsid w:val="002C414C"/>
    <w:rsid w:val="002C4BB5"/>
    <w:rsid w:val="002C4DCC"/>
    <w:rsid w:val="002C5BF6"/>
    <w:rsid w:val="002C6081"/>
    <w:rsid w:val="002C6AB9"/>
    <w:rsid w:val="002C6FBA"/>
    <w:rsid w:val="002D03BF"/>
    <w:rsid w:val="002D046F"/>
    <w:rsid w:val="002D08BC"/>
    <w:rsid w:val="002D1CB0"/>
    <w:rsid w:val="002D24AC"/>
    <w:rsid w:val="002D3540"/>
    <w:rsid w:val="002D37CA"/>
    <w:rsid w:val="002D386D"/>
    <w:rsid w:val="002D3885"/>
    <w:rsid w:val="002D38B1"/>
    <w:rsid w:val="002D3BB4"/>
    <w:rsid w:val="002D4955"/>
    <w:rsid w:val="002D4B29"/>
    <w:rsid w:val="002D54DF"/>
    <w:rsid w:val="002D5915"/>
    <w:rsid w:val="002D5F5E"/>
    <w:rsid w:val="002D63FD"/>
    <w:rsid w:val="002D6CD9"/>
    <w:rsid w:val="002D797F"/>
    <w:rsid w:val="002E0D5B"/>
    <w:rsid w:val="002E0ECC"/>
    <w:rsid w:val="002E11B7"/>
    <w:rsid w:val="002E1586"/>
    <w:rsid w:val="002E1750"/>
    <w:rsid w:val="002E1891"/>
    <w:rsid w:val="002E1E2A"/>
    <w:rsid w:val="002E2520"/>
    <w:rsid w:val="002E2857"/>
    <w:rsid w:val="002E39E0"/>
    <w:rsid w:val="002E42F7"/>
    <w:rsid w:val="002E457F"/>
    <w:rsid w:val="002E4828"/>
    <w:rsid w:val="002E4C82"/>
    <w:rsid w:val="002E58BE"/>
    <w:rsid w:val="002E70B2"/>
    <w:rsid w:val="002E7A53"/>
    <w:rsid w:val="002E7E1E"/>
    <w:rsid w:val="002F060E"/>
    <w:rsid w:val="002F0FD2"/>
    <w:rsid w:val="002F1825"/>
    <w:rsid w:val="002F2784"/>
    <w:rsid w:val="002F31FF"/>
    <w:rsid w:val="002F32EC"/>
    <w:rsid w:val="002F395A"/>
    <w:rsid w:val="002F44A1"/>
    <w:rsid w:val="002F46CF"/>
    <w:rsid w:val="002F4845"/>
    <w:rsid w:val="002F619E"/>
    <w:rsid w:val="002F6690"/>
    <w:rsid w:val="002F7601"/>
    <w:rsid w:val="002F7C5C"/>
    <w:rsid w:val="002F7F6B"/>
    <w:rsid w:val="00300BBA"/>
    <w:rsid w:val="0030103D"/>
    <w:rsid w:val="0030129D"/>
    <w:rsid w:val="00301FFC"/>
    <w:rsid w:val="00303601"/>
    <w:rsid w:val="003038AA"/>
    <w:rsid w:val="00303A2C"/>
    <w:rsid w:val="003054C3"/>
    <w:rsid w:val="00306305"/>
    <w:rsid w:val="003063D0"/>
    <w:rsid w:val="003066A0"/>
    <w:rsid w:val="003066F8"/>
    <w:rsid w:val="00306B22"/>
    <w:rsid w:val="00307178"/>
    <w:rsid w:val="00307368"/>
    <w:rsid w:val="0030777D"/>
    <w:rsid w:val="00307CCF"/>
    <w:rsid w:val="003102C8"/>
    <w:rsid w:val="0031079B"/>
    <w:rsid w:val="00310D3D"/>
    <w:rsid w:val="00310EF1"/>
    <w:rsid w:val="0031189C"/>
    <w:rsid w:val="00311A6E"/>
    <w:rsid w:val="0031227E"/>
    <w:rsid w:val="0031260B"/>
    <w:rsid w:val="0031302D"/>
    <w:rsid w:val="00314323"/>
    <w:rsid w:val="0031503D"/>
    <w:rsid w:val="0031511E"/>
    <w:rsid w:val="0031517C"/>
    <w:rsid w:val="00315BBD"/>
    <w:rsid w:val="00316959"/>
    <w:rsid w:val="00316E21"/>
    <w:rsid w:val="00317145"/>
    <w:rsid w:val="0031746D"/>
    <w:rsid w:val="003208B3"/>
    <w:rsid w:val="00320CE0"/>
    <w:rsid w:val="0032123F"/>
    <w:rsid w:val="00321AD3"/>
    <w:rsid w:val="00321AE3"/>
    <w:rsid w:val="00322D0F"/>
    <w:rsid w:val="003230CB"/>
    <w:rsid w:val="00324303"/>
    <w:rsid w:val="0032468F"/>
    <w:rsid w:val="00324FF0"/>
    <w:rsid w:val="00325772"/>
    <w:rsid w:val="00325832"/>
    <w:rsid w:val="00325D8E"/>
    <w:rsid w:val="0032709D"/>
    <w:rsid w:val="00327A75"/>
    <w:rsid w:val="003305DD"/>
    <w:rsid w:val="00330AFC"/>
    <w:rsid w:val="00330F33"/>
    <w:rsid w:val="00330FEA"/>
    <w:rsid w:val="003314B1"/>
    <w:rsid w:val="00331EFA"/>
    <w:rsid w:val="00331F76"/>
    <w:rsid w:val="00331FA7"/>
    <w:rsid w:val="0033233C"/>
    <w:rsid w:val="00332792"/>
    <w:rsid w:val="00332C2C"/>
    <w:rsid w:val="00332C49"/>
    <w:rsid w:val="00332F4A"/>
    <w:rsid w:val="003331E0"/>
    <w:rsid w:val="00333C3F"/>
    <w:rsid w:val="00333C84"/>
    <w:rsid w:val="00333EF3"/>
    <w:rsid w:val="00333F27"/>
    <w:rsid w:val="00334127"/>
    <w:rsid w:val="00334390"/>
    <w:rsid w:val="00334E51"/>
    <w:rsid w:val="00334EEB"/>
    <w:rsid w:val="003350B0"/>
    <w:rsid w:val="00335747"/>
    <w:rsid w:val="003359B2"/>
    <w:rsid w:val="00335AE2"/>
    <w:rsid w:val="00335D41"/>
    <w:rsid w:val="003365F7"/>
    <w:rsid w:val="003369C2"/>
    <w:rsid w:val="00336D7B"/>
    <w:rsid w:val="00337352"/>
    <w:rsid w:val="003375A4"/>
    <w:rsid w:val="00340347"/>
    <w:rsid w:val="003403CD"/>
    <w:rsid w:val="00340FA7"/>
    <w:rsid w:val="00341E72"/>
    <w:rsid w:val="003427B9"/>
    <w:rsid w:val="00342BA0"/>
    <w:rsid w:val="00342C8A"/>
    <w:rsid w:val="00343237"/>
    <w:rsid w:val="003433C5"/>
    <w:rsid w:val="0034391B"/>
    <w:rsid w:val="00343982"/>
    <w:rsid w:val="00343F32"/>
    <w:rsid w:val="003453D2"/>
    <w:rsid w:val="00345B7E"/>
    <w:rsid w:val="00345B9F"/>
    <w:rsid w:val="0034779B"/>
    <w:rsid w:val="00347E9D"/>
    <w:rsid w:val="00350294"/>
    <w:rsid w:val="00350361"/>
    <w:rsid w:val="00350A3F"/>
    <w:rsid w:val="00351152"/>
    <w:rsid w:val="00351D50"/>
    <w:rsid w:val="003525A3"/>
    <w:rsid w:val="00352BBF"/>
    <w:rsid w:val="00353921"/>
    <w:rsid w:val="00353E9C"/>
    <w:rsid w:val="00354810"/>
    <w:rsid w:val="00354A6A"/>
    <w:rsid w:val="00354EBD"/>
    <w:rsid w:val="00355436"/>
    <w:rsid w:val="003555FD"/>
    <w:rsid w:val="00355FC4"/>
    <w:rsid w:val="003560FC"/>
    <w:rsid w:val="00356774"/>
    <w:rsid w:val="00356778"/>
    <w:rsid w:val="00356FCA"/>
    <w:rsid w:val="003572AC"/>
    <w:rsid w:val="0035733D"/>
    <w:rsid w:val="00357469"/>
    <w:rsid w:val="003575B0"/>
    <w:rsid w:val="00357CB9"/>
    <w:rsid w:val="00360307"/>
    <w:rsid w:val="00360872"/>
    <w:rsid w:val="003610AA"/>
    <w:rsid w:val="00361420"/>
    <w:rsid w:val="00361477"/>
    <w:rsid w:val="00361671"/>
    <w:rsid w:val="00361D21"/>
    <w:rsid w:val="0036308C"/>
    <w:rsid w:val="003639F6"/>
    <w:rsid w:val="003640C7"/>
    <w:rsid w:val="003641F6"/>
    <w:rsid w:val="003647C3"/>
    <w:rsid w:val="00365027"/>
    <w:rsid w:val="00365590"/>
    <w:rsid w:val="003658C0"/>
    <w:rsid w:val="00365993"/>
    <w:rsid w:val="00365AF3"/>
    <w:rsid w:val="00365F93"/>
    <w:rsid w:val="003660D7"/>
    <w:rsid w:val="00367D81"/>
    <w:rsid w:val="00370231"/>
    <w:rsid w:val="0037181E"/>
    <w:rsid w:val="00371B7F"/>
    <w:rsid w:val="00371C30"/>
    <w:rsid w:val="00371EF8"/>
    <w:rsid w:val="00373594"/>
    <w:rsid w:val="0037418B"/>
    <w:rsid w:val="003749A6"/>
    <w:rsid w:val="00374CD3"/>
    <w:rsid w:val="00374E40"/>
    <w:rsid w:val="0037530E"/>
    <w:rsid w:val="003765B2"/>
    <w:rsid w:val="0037770B"/>
    <w:rsid w:val="00377DD3"/>
    <w:rsid w:val="00377E93"/>
    <w:rsid w:val="00381018"/>
    <w:rsid w:val="00381169"/>
    <w:rsid w:val="00381349"/>
    <w:rsid w:val="003814BC"/>
    <w:rsid w:val="003817BA"/>
    <w:rsid w:val="003818B7"/>
    <w:rsid w:val="00383DA8"/>
    <w:rsid w:val="003848F3"/>
    <w:rsid w:val="003854DD"/>
    <w:rsid w:val="00385AD2"/>
    <w:rsid w:val="00385C69"/>
    <w:rsid w:val="0038647B"/>
    <w:rsid w:val="00386BBA"/>
    <w:rsid w:val="00387603"/>
    <w:rsid w:val="003877C3"/>
    <w:rsid w:val="003879AF"/>
    <w:rsid w:val="003917A5"/>
    <w:rsid w:val="003917FE"/>
    <w:rsid w:val="00391F69"/>
    <w:rsid w:val="003926F2"/>
    <w:rsid w:val="003930F8"/>
    <w:rsid w:val="00393468"/>
    <w:rsid w:val="003941E1"/>
    <w:rsid w:val="003949C0"/>
    <w:rsid w:val="003959A5"/>
    <w:rsid w:val="00396759"/>
    <w:rsid w:val="00396D44"/>
    <w:rsid w:val="00397DBF"/>
    <w:rsid w:val="00397E47"/>
    <w:rsid w:val="003A01E8"/>
    <w:rsid w:val="003A05DE"/>
    <w:rsid w:val="003A0888"/>
    <w:rsid w:val="003A0ADF"/>
    <w:rsid w:val="003A0F3D"/>
    <w:rsid w:val="003A129F"/>
    <w:rsid w:val="003A1E4A"/>
    <w:rsid w:val="003A2325"/>
    <w:rsid w:val="003A3788"/>
    <w:rsid w:val="003A382C"/>
    <w:rsid w:val="003A4B1D"/>
    <w:rsid w:val="003A4F12"/>
    <w:rsid w:val="003A55B6"/>
    <w:rsid w:val="003A5627"/>
    <w:rsid w:val="003A6F18"/>
    <w:rsid w:val="003A7B36"/>
    <w:rsid w:val="003A7EB0"/>
    <w:rsid w:val="003B0054"/>
    <w:rsid w:val="003B015B"/>
    <w:rsid w:val="003B05CE"/>
    <w:rsid w:val="003B079F"/>
    <w:rsid w:val="003B09DA"/>
    <w:rsid w:val="003B1577"/>
    <w:rsid w:val="003B169B"/>
    <w:rsid w:val="003B2004"/>
    <w:rsid w:val="003B255E"/>
    <w:rsid w:val="003B2588"/>
    <w:rsid w:val="003B27AA"/>
    <w:rsid w:val="003B2AA9"/>
    <w:rsid w:val="003B2C26"/>
    <w:rsid w:val="003B31FD"/>
    <w:rsid w:val="003B3218"/>
    <w:rsid w:val="003B3341"/>
    <w:rsid w:val="003B374A"/>
    <w:rsid w:val="003B4136"/>
    <w:rsid w:val="003B5022"/>
    <w:rsid w:val="003B57B1"/>
    <w:rsid w:val="003B5EB9"/>
    <w:rsid w:val="003B68B5"/>
    <w:rsid w:val="003B6A0F"/>
    <w:rsid w:val="003B6AF8"/>
    <w:rsid w:val="003B7485"/>
    <w:rsid w:val="003B7FE9"/>
    <w:rsid w:val="003C0413"/>
    <w:rsid w:val="003C0455"/>
    <w:rsid w:val="003C0738"/>
    <w:rsid w:val="003C0C8C"/>
    <w:rsid w:val="003C0DC2"/>
    <w:rsid w:val="003C1025"/>
    <w:rsid w:val="003C104D"/>
    <w:rsid w:val="003C2304"/>
    <w:rsid w:val="003C3A3B"/>
    <w:rsid w:val="003C4BC0"/>
    <w:rsid w:val="003C4F43"/>
    <w:rsid w:val="003C679D"/>
    <w:rsid w:val="003C7D8C"/>
    <w:rsid w:val="003D003A"/>
    <w:rsid w:val="003D10D0"/>
    <w:rsid w:val="003D126D"/>
    <w:rsid w:val="003D14CC"/>
    <w:rsid w:val="003D16E6"/>
    <w:rsid w:val="003D1E33"/>
    <w:rsid w:val="003D1E3A"/>
    <w:rsid w:val="003D1FFB"/>
    <w:rsid w:val="003D213E"/>
    <w:rsid w:val="003D2BA4"/>
    <w:rsid w:val="003D2CC1"/>
    <w:rsid w:val="003D307D"/>
    <w:rsid w:val="003D375A"/>
    <w:rsid w:val="003D3991"/>
    <w:rsid w:val="003D39B7"/>
    <w:rsid w:val="003D43D3"/>
    <w:rsid w:val="003D4617"/>
    <w:rsid w:val="003D48A4"/>
    <w:rsid w:val="003D54D9"/>
    <w:rsid w:val="003D563B"/>
    <w:rsid w:val="003D56F6"/>
    <w:rsid w:val="003D5D0F"/>
    <w:rsid w:val="003D6ED2"/>
    <w:rsid w:val="003D6F3B"/>
    <w:rsid w:val="003D712F"/>
    <w:rsid w:val="003D7B0D"/>
    <w:rsid w:val="003E12F9"/>
    <w:rsid w:val="003E1D3D"/>
    <w:rsid w:val="003E1DF3"/>
    <w:rsid w:val="003E2665"/>
    <w:rsid w:val="003E29E1"/>
    <w:rsid w:val="003E2FC4"/>
    <w:rsid w:val="003E3235"/>
    <w:rsid w:val="003E3308"/>
    <w:rsid w:val="003E3586"/>
    <w:rsid w:val="003E4E49"/>
    <w:rsid w:val="003E4F3E"/>
    <w:rsid w:val="003E5102"/>
    <w:rsid w:val="003E5994"/>
    <w:rsid w:val="003E654D"/>
    <w:rsid w:val="003E6C26"/>
    <w:rsid w:val="003F06D4"/>
    <w:rsid w:val="003F08C8"/>
    <w:rsid w:val="003F1147"/>
    <w:rsid w:val="003F1A2F"/>
    <w:rsid w:val="003F2007"/>
    <w:rsid w:val="003F371D"/>
    <w:rsid w:val="003F3729"/>
    <w:rsid w:val="003F4315"/>
    <w:rsid w:val="003F46A0"/>
    <w:rsid w:val="003F4708"/>
    <w:rsid w:val="003F48CD"/>
    <w:rsid w:val="003F539C"/>
    <w:rsid w:val="003F53EA"/>
    <w:rsid w:val="003F57F6"/>
    <w:rsid w:val="0040007D"/>
    <w:rsid w:val="0040089A"/>
    <w:rsid w:val="004015F9"/>
    <w:rsid w:val="00401BA1"/>
    <w:rsid w:val="00401E8D"/>
    <w:rsid w:val="00402984"/>
    <w:rsid w:val="00402CF4"/>
    <w:rsid w:val="00402D41"/>
    <w:rsid w:val="00402FC0"/>
    <w:rsid w:val="00403173"/>
    <w:rsid w:val="0040367A"/>
    <w:rsid w:val="00403758"/>
    <w:rsid w:val="00403BB7"/>
    <w:rsid w:val="0040481D"/>
    <w:rsid w:val="0040551E"/>
    <w:rsid w:val="0040634E"/>
    <w:rsid w:val="00406C57"/>
    <w:rsid w:val="00406E0E"/>
    <w:rsid w:val="00407236"/>
    <w:rsid w:val="00407404"/>
    <w:rsid w:val="004078FE"/>
    <w:rsid w:val="00407A22"/>
    <w:rsid w:val="0041060D"/>
    <w:rsid w:val="004107AB"/>
    <w:rsid w:val="004108C2"/>
    <w:rsid w:val="00410B25"/>
    <w:rsid w:val="00410B81"/>
    <w:rsid w:val="00410C4C"/>
    <w:rsid w:val="004114F1"/>
    <w:rsid w:val="00412626"/>
    <w:rsid w:val="0041292D"/>
    <w:rsid w:val="00412CB3"/>
    <w:rsid w:val="00412DA1"/>
    <w:rsid w:val="004131ED"/>
    <w:rsid w:val="0041365E"/>
    <w:rsid w:val="0041396D"/>
    <w:rsid w:val="00414349"/>
    <w:rsid w:val="004147EE"/>
    <w:rsid w:val="00414B24"/>
    <w:rsid w:val="00415013"/>
    <w:rsid w:val="0041519F"/>
    <w:rsid w:val="00415450"/>
    <w:rsid w:val="0041565D"/>
    <w:rsid w:val="004161F9"/>
    <w:rsid w:val="00416A0B"/>
    <w:rsid w:val="0041754E"/>
    <w:rsid w:val="00417883"/>
    <w:rsid w:val="00417C88"/>
    <w:rsid w:val="00420084"/>
    <w:rsid w:val="004220A4"/>
    <w:rsid w:val="004224BA"/>
    <w:rsid w:val="004231F1"/>
    <w:rsid w:val="00423339"/>
    <w:rsid w:val="00423B8C"/>
    <w:rsid w:val="0042444E"/>
    <w:rsid w:val="00425063"/>
    <w:rsid w:val="004257C6"/>
    <w:rsid w:val="00425C99"/>
    <w:rsid w:val="00425C9F"/>
    <w:rsid w:val="00426908"/>
    <w:rsid w:val="00426B3B"/>
    <w:rsid w:val="00427B78"/>
    <w:rsid w:val="00427FBC"/>
    <w:rsid w:val="00430274"/>
    <w:rsid w:val="00430BB2"/>
    <w:rsid w:val="00430DC0"/>
    <w:rsid w:val="00430E37"/>
    <w:rsid w:val="0043165A"/>
    <w:rsid w:val="00431A83"/>
    <w:rsid w:val="00431B28"/>
    <w:rsid w:val="0043250B"/>
    <w:rsid w:val="004339B8"/>
    <w:rsid w:val="00434553"/>
    <w:rsid w:val="00434D57"/>
    <w:rsid w:val="00435968"/>
    <w:rsid w:val="00435BE3"/>
    <w:rsid w:val="00437795"/>
    <w:rsid w:val="00437E99"/>
    <w:rsid w:val="004400B7"/>
    <w:rsid w:val="004403CA"/>
    <w:rsid w:val="00440FF7"/>
    <w:rsid w:val="004414D8"/>
    <w:rsid w:val="00441984"/>
    <w:rsid w:val="004421AE"/>
    <w:rsid w:val="004427D2"/>
    <w:rsid w:val="00442CD6"/>
    <w:rsid w:val="00442F3A"/>
    <w:rsid w:val="00443825"/>
    <w:rsid w:val="00443E59"/>
    <w:rsid w:val="00444269"/>
    <w:rsid w:val="00444B87"/>
    <w:rsid w:val="004452EC"/>
    <w:rsid w:val="0044620A"/>
    <w:rsid w:val="00446529"/>
    <w:rsid w:val="00447867"/>
    <w:rsid w:val="00447F56"/>
    <w:rsid w:val="004504E3"/>
    <w:rsid w:val="004505D1"/>
    <w:rsid w:val="004508D2"/>
    <w:rsid w:val="00450EC6"/>
    <w:rsid w:val="00450F7B"/>
    <w:rsid w:val="004514B3"/>
    <w:rsid w:val="00451956"/>
    <w:rsid w:val="00452437"/>
    <w:rsid w:val="00452A66"/>
    <w:rsid w:val="00453B25"/>
    <w:rsid w:val="00453BBE"/>
    <w:rsid w:val="00453CE2"/>
    <w:rsid w:val="0045414D"/>
    <w:rsid w:val="00454DE5"/>
    <w:rsid w:val="00454ED2"/>
    <w:rsid w:val="004551C1"/>
    <w:rsid w:val="00455D7D"/>
    <w:rsid w:val="00455F12"/>
    <w:rsid w:val="00455FF4"/>
    <w:rsid w:val="00457F1A"/>
    <w:rsid w:val="0046051B"/>
    <w:rsid w:val="00460E13"/>
    <w:rsid w:val="004616AD"/>
    <w:rsid w:val="004618EA"/>
    <w:rsid w:val="00462BEE"/>
    <w:rsid w:val="00462F2C"/>
    <w:rsid w:val="00463028"/>
    <w:rsid w:val="004632A4"/>
    <w:rsid w:val="004634A6"/>
    <w:rsid w:val="00463587"/>
    <w:rsid w:val="00463DDA"/>
    <w:rsid w:val="00463E6C"/>
    <w:rsid w:val="0046425D"/>
    <w:rsid w:val="004645FA"/>
    <w:rsid w:val="00464997"/>
    <w:rsid w:val="00464C13"/>
    <w:rsid w:val="00465E8B"/>
    <w:rsid w:val="004660C4"/>
    <w:rsid w:val="004668F4"/>
    <w:rsid w:val="00466DFF"/>
    <w:rsid w:val="00466F93"/>
    <w:rsid w:val="00467F36"/>
    <w:rsid w:val="00470C48"/>
    <w:rsid w:val="00470F2C"/>
    <w:rsid w:val="00471742"/>
    <w:rsid w:val="004718A9"/>
    <w:rsid w:val="00471C3C"/>
    <w:rsid w:val="00471DD1"/>
    <w:rsid w:val="00471DEC"/>
    <w:rsid w:val="00471E5B"/>
    <w:rsid w:val="004724E9"/>
    <w:rsid w:val="0047289F"/>
    <w:rsid w:val="0047301B"/>
    <w:rsid w:val="004739E0"/>
    <w:rsid w:val="00473B79"/>
    <w:rsid w:val="0047451E"/>
    <w:rsid w:val="00475182"/>
    <w:rsid w:val="0047579A"/>
    <w:rsid w:val="00476276"/>
    <w:rsid w:val="0047641F"/>
    <w:rsid w:val="0047669B"/>
    <w:rsid w:val="00476919"/>
    <w:rsid w:val="00476A29"/>
    <w:rsid w:val="00476A6D"/>
    <w:rsid w:val="0047737B"/>
    <w:rsid w:val="00477B98"/>
    <w:rsid w:val="004801AA"/>
    <w:rsid w:val="004814B5"/>
    <w:rsid w:val="0048221A"/>
    <w:rsid w:val="004826C0"/>
    <w:rsid w:val="00482E97"/>
    <w:rsid w:val="0048537B"/>
    <w:rsid w:val="004855E8"/>
    <w:rsid w:val="00485CA5"/>
    <w:rsid w:val="00485E2E"/>
    <w:rsid w:val="0048607E"/>
    <w:rsid w:val="004866D8"/>
    <w:rsid w:val="00486856"/>
    <w:rsid w:val="0048686B"/>
    <w:rsid w:val="00486FE2"/>
    <w:rsid w:val="00487961"/>
    <w:rsid w:val="004900F8"/>
    <w:rsid w:val="00490870"/>
    <w:rsid w:val="00491139"/>
    <w:rsid w:val="004916C1"/>
    <w:rsid w:val="00491760"/>
    <w:rsid w:val="00491C07"/>
    <w:rsid w:val="00494516"/>
    <w:rsid w:val="004954E6"/>
    <w:rsid w:val="00495954"/>
    <w:rsid w:val="00497A3A"/>
    <w:rsid w:val="00497C4F"/>
    <w:rsid w:val="004A0698"/>
    <w:rsid w:val="004A0964"/>
    <w:rsid w:val="004A12C8"/>
    <w:rsid w:val="004A2816"/>
    <w:rsid w:val="004A320C"/>
    <w:rsid w:val="004A33D1"/>
    <w:rsid w:val="004A3BEA"/>
    <w:rsid w:val="004A417D"/>
    <w:rsid w:val="004A4311"/>
    <w:rsid w:val="004A4872"/>
    <w:rsid w:val="004A4878"/>
    <w:rsid w:val="004A4B7B"/>
    <w:rsid w:val="004A52E4"/>
    <w:rsid w:val="004A5A27"/>
    <w:rsid w:val="004A5B0C"/>
    <w:rsid w:val="004A5B5C"/>
    <w:rsid w:val="004A5E36"/>
    <w:rsid w:val="004A712B"/>
    <w:rsid w:val="004A7A3A"/>
    <w:rsid w:val="004A7C77"/>
    <w:rsid w:val="004A7D7D"/>
    <w:rsid w:val="004B00E7"/>
    <w:rsid w:val="004B056F"/>
    <w:rsid w:val="004B0797"/>
    <w:rsid w:val="004B1195"/>
    <w:rsid w:val="004B164C"/>
    <w:rsid w:val="004B260C"/>
    <w:rsid w:val="004B27F0"/>
    <w:rsid w:val="004B2B80"/>
    <w:rsid w:val="004B2EF4"/>
    <w:rsid w:val="004B30FA"/>
    <w:rsid w:val="004B33A0"/>
    <w:rsid w:val="004B3E65"/>
    <w:rsid w:val="004B4234"/>
    <w:rsid w:val="004B48C4"/>
    <w:rsid w:val="004B4BA3"/>
    <w:rsid w:val="004B502F"/>
    <w:rsid w:val="004B5721"/>
    <w:rsid w:val="004B60DF"/>
    <w:rsid w:val="004B6A54"/>
    <w:rsid w:val="004B6A7C"/>
    <w:rsid w:val="004B7476"/>
    <w:rsid w:val="004C0358"/>
    <w:rsid w:val="004C0848"/>
    <w:rsid w:val="004C1699"/>
    <w:rsid w:val="004C276D"/>
    <w:rsid w:val="004C28F9"/>
    <w:rsid w:val="004C2C6A"/>
    <w:rsid w:val="004C2DD0"/>
    <w:rsid w:val="004C34D9"/>
    <w:rsid w:val="004C36CA"/>
    <w:rsid w:val="004C46F1"/>
    <w:rsid w:val="004C4A7E"/>
    <w:rsid w:val="004C5765"/>
    <w:rsid w:val="004C5A7F"/>
    <w:rsid w:val="004C651C"/>
    <w:rsid w:val="004C6990"/>
    <w:rsid w:val="004C6A04"/>
    <w:rsid w:val="004C6C6C"/>
    <w:rsid w:val="004D0026"/>
    <w:rsid w:val="004D005D"/>
    <w:rsid w:val="004D1CF1"/>
    <w:rsid w:val="004D2B80"/>
    <w:rsid w:val="004D2C4A"/>
    <w:rsid w:val="004D2FE8"/>
    <w:rsid w:val="004D377A"/>
    <w:rsid w:val="004D3C4C"/>
    <w:rsid w:val="004D4000"/>
    <w:rsid w:val="004D4120"/>
    <w:rsid w:val="004D41CB"/>
    <w:rsid w:val="004D4497"/>
    <w:rsid w:val="004D464A"/>
    <w:rsid w:val="004D489B"/>
    <w:rsid w:val="004D57F2"/>
    <w:rsid w:val="004D6122"/>
    <w:rsid w:val="004D61BF"/>
    <w:rsid w:val="004D7082"/>
    <w:rsid w:val="004D79E8"/>
    <w:rsid w:val="004D7B6C"/>
    <w:rsid w:val="004E06C9"/>
    <w:rsid w:val="004E0B9E"/>
    <w:rsid w:val="004E147D"/>
    <w:rsid w:val="004E207F"/>
    <w:rsid w:val="004E20D7"/>
    <w:rsid w:val="004E24A5"/>
    <w:rsid w:val="004E30DF"/>
    <w:rsid w:val="004E3584"/>
    <w:rsid w:val="004E3633"/>
    <w:rsid w:val="004E4245"/>
    <w:rsid w:val="004E4707"/>
    <w:rsid w:val="004E4726"/>
    <w:rsid w:val="004E50F6"/>
    <w:rsid w:val="004E53D3"/>
    <w:rsid w:val="004E5BE1"/>
    <w:rsid w:val="004E66BB"/>
    <w:rsid w:val="004E6AEB"/>
    <w:rsid w:val="004E7A49"/>
    <w:rsid w:val="004F0223"/>
    <w:rsid w:val="004F039D"/>
    <w:rsid w:val="004F17E7"/>
    <w:rsid w:val="004F2082"/>
    <w:rsid w:val="004F2161"/>
    <w:rsid w:val="004F22BF"/>
    <w:rsid w:val="004F2540"/>
    <w:rsid w:val="004F30C7"/>
    <w:rsid w:val="004F3459"/>
    <w:rsid w:val="004F3A76"/>
    <w:rsid w:val="004F3F97"/>
    <w:rsid w:val="004F419B"/>
    <w:rsid w:val="004F66A9"/>
    <w:rsid w:val="004F6F27"/>
    <w:rsid w:val="00500495"/>
    <w:rsid w:val="005008D4"/>
    <w:rsid w:val="0050091B"/>
    <w:rsid w:val="00500937"/>
    <w:rsid w:val="00500E5A"/>
    <w:rsid w:val="00501668"/>
    <w:rsid w:val="00501779"/>
    <w:rsid w:val="00501C69"/>
    <w:rsid w:val="005025F7"/>
    <w:rsid w:val="005029E4"/>
    <w:rsid w:val="00502E64"/>
    <w:rsid w:val="0050390A"/>
    <w:rsid w:val="0050444C"/>
    <w:rsid w:val="00505463"/>
    <w:rsid w:val="005055F2"/>
    <w:rsid w:val="005059EC"/>
    <w:rsid w:val="00505A31"/>
    <w:rsid w:val="0050641D"/>
    <w:rsid w:val="00506A8C"/>
    <w:rsid w:val="005070E5"/>
    <w:rsid w:val="0050729D"/>
    <w:rsid w:val="00507B1D"/>
    <w:rsid w:val="00507BDB"/>
    <w:rsid w:val="0051019B"/>
    <w:rsid w:val="005101E1"/>
    <w:rsid w:val="005107E0"/>
    <w:rsid w:val="0051087F"/>
    <w:rsid w:val="00510923"/>
    <w:rsid w:val="0051167A"/>
    <w:rsid w:val="00511C1D"/>
    <w:rsid w:val="005123C0"/>
    <w:rsid w:val="0051476E"/>
    <w:rsid w:val="00514964"/>
    <w:rsid w:val="00514A0E"/>
    <w:rsid w:val="005152F5"/>
    <w:rsid w:val="0051601F"/>
    <w:rsid w:val="0051641F"/>
    <w:rsid w:val="00516922"/>
    <w:rsid w:val="00516C87"/>
    <w:rsid w:val="005173E7"/>
    <w:rsid w:val="0052069A"/>
    <w:rsid w:val="00520D27"/>
    <w:rsid w:val="00521036"/>
    <w:rsid w:val="00521182"/>
    <w:rsid w:val="00521878"/>
    <w:rsid w:val="005228A8"/>
    <w:rsid w:val="00522A3D"/>
    <w:rsid w:val="00522E80"/>
    <w:rsid w:val="00523B3E"/>
    <w:rsid w:val="00523E5E"/>
    <w:rsid w:val="00524C48"/>
    <w:rsid w:val="005256B6"/>
    <w:rsid w:val="0052596E"/>
    <w:rsid w:val="0052725A"/>
    <w:rsid w:val="005277FD"/>
    <w:rsid w:val="00530025"/>
    <w:rsid w:val="00530395"/>
    <w:rsid w:val="00530639"/>
    <w:rsid w:val="00530957"/>
    <w:rsid w:val="00531D42"/>
    <w:rsid w:val="005322E6"/>
    <w:rsid w:val="00532C67"/>
    <w:rsid w:val="00532CD2"/>
    <w:rsid w:val="00532E15"/>
    <w:rsid w:val="00532FA1"/>
    <w:rsid w:val="0053391F"/>
    <w:rsid w:val="00534085"/>
    <w:rsid w:val="00534542"/>
    <w:rsid w:val="005348DB"/>
    <w:rsid w:val="00534F30"/>
    <w:rsid w:val="005353B1"/>
    <w:rsid w:val="00535D78"/>
    <w:rsid w:val="005373D8"/>
    <w:rsid w:val="00537659"/>
    <w:rsid w:val="005376B1"/>
    <w:rsid w:val="00540847"/>
    <w:rsid w:val="00540968"/>
    <w:rsid w:val="0054105B"/>
    <w:rsid w:val="005415DA"/>
    <w:rsid w:val="0054172C"/>
    <w:rsid w:val="00541FE6"/>
    <w:rsid w:val="00542014"/>
    <w:rsid w:val="005435E0"/>
    <w:rsid w:val="00543C40"/>
    <w:rsid w:val="00544279"/>
    <w:rsid w:val="0054481E"/>
    <w:rsid w:val="0054504D"/>
    <w:rsid w:val="00545097"/>
    <w:rsid w:val="00545902"/>
    <w:rsid w:val="00545AFD"/>
    <w:rsid w:val="00545B58"/>
    <w:rsid w:val="00545BC9"/>
    <w:rsid w:val="00545ECB"/>
    <w:rsid w:val="005465E9"/>
    <w:rsid w:val="00546B6E"/>
    <w:rsid w:val="0054737F"/>
    <w:rsid w:val="00547820"/>
    <w:rsid w:val="00547B74"/>
    <w:rsid w:val="00550644"/>
    <w:rsid w:val="0055066A"/>
    <w:rsid w:val="00552134"/>
    <w:rsid w:val="00552ACD"/>
    <w:rsid w:val="00552E0E"/>
    <w:rsid w:val="00553BF4"/>
    <w:rsid w:val="00554649"/>
    <w:rsid w:val="0055558D"/>
    <w:rsid w:val="005561A7"/>
    <w:rsid w:val="00556518"/>
    <w:rsid w:val="00556861"/>
    <w:rsid w:val="00556AE5"/>
    <w:rsid w:val="00556E43"/>
    <w:rsid w:val="00557333"/>
    <w:rsid w:val="00560AF2"/>
    <w:rsid w:val="00560F8E"/>
    <w:rsid w:val="0056141A"/>
    <w:rsid w:val="005617BB"/>
    <w:rsid w:val="0056205C"/>
    <w:rsid w:val="00562D56"/>
    <w:rsid w:val="00562E7E"/>
    <w:rsid w:val="005632E2"/>
    <w:rsid w:val="00563945"/>
    <w:rsid w:val="00565096"/>
    <w:rsid w:val="005650F1"/>
    <w:rsid w:val="00565515"/>
    <w:rsid w:val="005667F2"/>
    <w:rsid w:val="00566B78"/>
    <w:rsid w:val="00566DE8"/>
    <w:rsid w:val="00567AB9"/>
    <w:rsid w:val="00567F64"/>
    <w:rsid w:val="005700D1"/>
    <w:rsid w:val="00570280"/>
    <w:rsid w:val="00571E00"/>
    <w:rsid w:val="005722D3"/>
    <w:rsid w:val="0057231F"/>
    <w:rsid w:val="0057352B"/>
    <w:rsid w:val="00573808"/>
    <w:rsid w:val="00573976"/>
    <w:rsid w:val="00573F26"/>
    <w:rsid w:val="0057409A"/>
    <w:rsid w:val="005741DE"/>
    <w:rsid w:val="00574741"/>
    <w:rsid w:val="00574C02"/>
    <w:rsid w:val="00574E4A"/>
    <w:rsid w:val="0057565B"/>
    <w:rsid w:val="00575803"/>
    <w:rsid w:val="00575E3C"/>
    <w:rsid w:val="00576A73"/>
    <w:rsid w:val="00577D09"/>
    <w:rsid w:val="00577F5E"/>
    <w:rsid w:val="005802A9"/>
    <w:rsid w:val="00580870"/>
    <w:rsid w:val="00580D62"/>
    <w:rsid w:val="00580EF7"/>
    <w:rsid w:val="00582A01"/>
    <w:rsid w:val="00583E9C"/>
    <w:rsid w:val="00585871"/>
    <w:rsid w:val="00585DC4"/>
    <w:rsid w:val="00586650"/>
    <w:rsid w:val="0058686E"/>
    <w:rsid w:val="00587862"/>
    <w:rsid w:val="00590B3B"/>
    <w:rsid w:val="00591A3C"/>
    <w:rsid w:val="00593811"/>
    <w:rsid w:val="00593C95"/>
    <w:rsid w:val="00593D98"/>
    <w:rsid w:val="00594246"/>
    <w:rsid w:val="00595458"/>
    <w:rsid w:val="00596813"/>
    <w:rsid w:val="005968E6"/>
    <w:rsid w:val="00596D10"/>
    <w:rsid w:val="00596DA9"/>
    <w:rsid w:val="00597B75"/>
    <w:rsid w:val="00597F55"/>
    <w:rsid w:val="005A12F5"/>
    <w:rsid w:val="005A1BA2"/>
    <w:rsid w:val="005A25F4"/>
    <w:rsid w:val="005A2701"/>
    <w:rsid w:val="005A2AEA"/>
    <w:rsid w:val="005A3CF1"/>
    <w:rsid w:val="005A423C"/>
    <w:rsid w:val="005A479C"/>
    <w:rsid w:val="005A47B5"/>
    <w:rsid w:val="005A49B8"/>
    <w:rsid w:val="005A4C02"/>
    <w:rsid w:val="005A4C84"/>
    <w:rsid w:val="005A525D"/>
    <w:rsid w:val="005A5562"/>
    <w:rsid w:val="005A5A35"/>
    <w:rsid w:val="005A5E10"/>
    <w:rsid w:val="005A666C"/>
    <w:rsid w:val="005A68B9"/>
    <w:rsid w:val="005A7748"/>
    <w:rsid w:val="005A7ADE"/>
    <w:rsid w:val="005B0570"/>
    <w:rsid w:val="005B1130"/>
    <w:rsid w:val="005B1624"/>
    <w:rsid w:val="005B183E"/>
    <w:rsid w:val="005B1C36"/>
    <w:rsid w:val="005B1CB3"/>
    <w:rsid w:val="005B2692"/>
    <w:rsid w:val="005B274E"/>
    <w:rsid w:val="005B36BA"/>
    <w:rsid w:val="005B36D4"/>
    <w:rsid w:val="005B40D2"/>
    <w:rsid w:val="005B49D6"/>
    <w:rsid w:val="005B511B"/>
    <w:rsid w:val="005B5439"/>
    <w:rsid w:val="005B57A6"/>
    <w:rsid w:val="005B5920"/>
    <w:rsid w:val="005B5A1A"/>
    <w:rsid w:val="005B6897"/>
    <w:rsid w:val="005B70BF"/>
    <w:rsid w:val="005C1B8D"/>
    <w:rsid w:val="005C1E18"/>
    <w:rsid w:val="005C228D"/>
    <w:rsid w:val="005C2DAE"/>
    <w:rsid w:val="005C2FD2"/>
    <w:rsid w:val="005C3231"/>
    <w:rsid w:val="005C3BB8"/>
    <w:rsid w:val="005C3FF0"/>
    <w:rsid w:val="005C4A53"/>
    <w:rsid w:val="005C4C64"/>
    <w:rsid w:val="005C5725"/>
    <w:rsid w:val="005C67E4"/>
    <w:rsid w:val="005C696D"/>
    <w:rsid w:val="005C7E23"/>
    <w:rsid w:val="005C7F73"/>
    <w:rsid w:val="005D08D8"/>
    <w:rsid w:val="005D1CB7"/>
    <w:rsid w:val="005D2E04"/>
    <w:rsid w:val="005D387F"/>
    <w:rsid w:val="005D42BD"/>
    <w:rsid w:val="005D42F7"/>
    <w:rsid w:val="005D43D7"/>
    <w:rsid w:val="005D43ED"/>
    <w:rsid w:val="005D60D6"/>
    <w:rsid w:val="005D6296"/>
    <w:rsid w:val="005D698A"/>
    <w:rsid w:val="005D6DA1"/>
    <w:rsid w:val="005D73B9"/>
    <w:rsid w:val="005D781B"/>
    <w:rsid w:val="005D7B15"/>
    <w:rsid w:val="005D7C2C"/>
    <w:rsid w:val="005E05F4"/>
    <w:rsid w:val="005E0B94"/>
    <w:rsid w:val="005E0C0B"/>
    <w:rsid w:val="005E17B0"/>
    <w:rsid w:val="005E18DD"/>
    <w:rsid w:val="005E2041"/>
    <w:rsid w:val="005E21FC"/>
    <w:rsid w:val="005E25C3"/>
    <w:rsid w:val="005E38BD"/>
    <w:rsid w:val="005E3B5C"/>
    <w:rsid w:val="005E5FF4"/>
    <w:rsid w:val="005E648D"/>
    <w:rsid w:val="005E651A"/>
    <w:rsid w:val="005E6611"/>
    <w:rsid w:val="005E6C63"/>
    <w:rsid w:val="005E78C9"/>
    <w:rsid w:val="005F0A62"/>
    <w:rsid w:val="005F129A"/>
    <w:rsid w:val="005F1EB2"/>
    <w:rsid w:val="005F1F25"/>
    <w:rsid w:val="005F3165"/>
    <w:rsid w:val="005F3173"/>
    <w:rsid w:val="005F523D"/>
    <w:rsid w:val="005F5E67"/>
    <w:rsid w:val="005F60D6"/>
    <w:rsid w:val="005F6C58"/>
    <w:rsid w:val="005F6ED2"/>
    <w:rsid w:val="005F7698"/>
    <w:rsid w:val="006000EE"/>
    <w:rsid w:val="006003D8"/>
    <w:rsid w:val="006011D1"/>
    <w:rsid w:val="00601333"/>
    <w:rsid w:val="006026BF"/>
    <w:rsid w:val="00602758"/>
    <w:rsid w:val="006028F1"/>
    <w:rsid w:val="006033EC"/>
    <w:rsid w:val="006037BE"/>
    <w:rsid w:val="006039F7"/>
    <w:rsid w:val="00603CAD"/>
    <w:rsid w:val="00603F12"/>
    <w:rsid w:val="00605422"/>
    <w:rsid w:val="00606276"/>
    <w:rsid w:val="00606575"/>
    <w:rsid w:val="00606A6A"/>
    <w:rsid w:val="0060732E"/>
    <w:rsid w:val="00607353"/>
    <w:rsid w:val="00607528"/>
    <w:rsid w:val="00607843"/>
    <w:rsid w:val="00607F94"/>
    <w:rsid w:val="00610938"/>
    <w:rsid w:val="00611770"/>
    <w:rsid w:val="006119F0"/>
    <w:rsid w:val="006128A4"/>
    <w:rsid w:val="00612A6E"/>
    <w:rsid w:val="00613CEB"/>
    <w:rsid w:val="0061445A"/>
    <w:rsid w:val="00614D1B"/>
    <w:rsid w:val="00615F4B"/>
    <w:rsid w:val="00616270"/>
    <w:rsid w:val="0061640E"/>
    <w:rsid w:val="0061688A"/>
    <w:rsid w:val="00617466"/>
    <w:rsid w:val="00620506"/>
    <w:rsid w:val="006207FA"/>
    <w:rsid w:val="00620BD6"/>
    <w:rsid w:val="00620FAC"/>
    <w:rsid w:val="0062110F"/>
    <w:rsid w:val="006215AF"/>
    <w:rsid w:val="00621D11"/>
    <w:rsid w:val="00621D1A"/>
    <w:rsid w:val="00621E1C"/>
    <w:rsid w:val="00621E20"/>
    <w:rsid w:val="0062378C"/>
    <w:rsid w:val="00623B20"/>
    <w:rsid w:val="006247EB"/>
    <w:rsid w:val="00625D7B"/>
    <w:rsid w:val="006260EF"/>
    <w:rsid w:val="00626E01"/>
    <w:rsid w:val="00626E27"/>
    <w:rsid w:val="006277C1"/>
    <w:rsid w:val="00630488"/>
    <w:rsid w:val="00631592"/>
    <w:rsid w:val="006316A3"/>
    <w:rsid w:val="00631FBD"/>
    <w:rsid w:val="00632598"/>
    <w:rsid w:val="00632666"/>
    <w:rsid w:val="00633A3E"/>
    <w:rsid w:val="00633DA9"/>
    <w:rsid w:val="0063442B"/>
    <w:rsid w:val="006348A9"/>
    <w:rsid w:val="00634B3C"/>
    <w:rsid w:val="00634D6D"/>
    <w:rsid w:val="00634E86"/>
    <w:rsid w:val="00635657"/>
    <w:rsid w:val="00637014"/>
    <w:rsid w:val="00637367"/>
    <w:rsid w:val="0064048B"/>
    <w:rsid w:val="0064081F"/>
    <w:rsid w:val="00640FE7"/>
    <w:rsid w:val="0064116C"/>
    <w:rsid w:val="006411B4"/>
    <w:rsid w:val="006412FB"/>
    <w:rsid w:val="00641356"/>
    <w:rsid w:val="00641548"/>
    <w:rsid w:val="0064172D"/>
    <w:rsid w:val="00641E2E"/>
    <w:rsid w:val="00642262"/>
    <w:rsid w:val="00642443"/>
    <w:rsid w:val="006437F1"/>
    <w:rsid w:val="00643924"/>
    <w:rsid w:val="00643F66"/>
    <w:rsid w:val="00644182"/>
    <w:rsid w:val="00644914"/>
    <w:rsid w:val="0064535C"/>
    <w:rsid w:val="006457D9"/>
    <w:rsid w:val="00645DA1"/>
    <w:rsid w:val="00645DA3"/>
    <w:rsid w:val="00645F1E"/>
    <w:rsid w:val="00646818"/>
    <w:rsid w:val="00646B34"/>
    <w:rsid w:val="00646D66"/>
    <w:rsid w:val="00647D7B"/>
    <w:rsid w:val="00647F67"/>
    <w:rsid w:val="006509B3"/>
    <w:rsid w:val="006512DA"/>
    <w:rsid w:val="00651396"/>
    <w:rsid w:val="00651C11"/>
    <w:rsid w:val="00651D73"/>
    <w:rsid w:val="00651F7D"/>
    <w:rsid w:val="00652112"/>
    <w:rsid w:val="00652135"/>
    <w:rsid w:val="00652879"/>
    <w:rsid w:val="00652A79"/>
    <w:rsid w:val="00653DEB"/>
    <w:rsid w:val="00653FC3"/>
    <w:rsid w:val="006549AA"/>
    <w:rsid w:val="00654EAA"/>
    <w:rsid w:val="00655FB8"/>
    <w:rsid w:val="00656043"/>
    <w:rsid w:val="0065605C"/>
    <w:rsid w:val="006572FF"/>
    <w:rsid w:val="00657E8C"/>
    <w:rsid w:val="0066030D"/>
    <w:rsid w:val="006605F5"/>
    <w:rsid w:val="00660F64"/>
    <w:rsid w:val="00660FC5"/>
    <w:rsid w:val="00661372"/>
    <w:rsid w:val="00662542"/>
    <w:rsid w:val="00662798"/>
    <w:rsid w:val="006632C3"/>
    <w:rsid w:val="006634EE"/>
    <w:rsid w:val="0066351D"/>
    <w:rsid w:val="0066356D"/>
    <w:rsid w:val="00664954"/>
    <w:rsid w:val="00664A6B"/>
    <w:rsid w:val="00664D27"/>
    <w:rsid w:val="00665595"/>
    <w:rsid w:val="00665742"/>
    <w:rsid w:val="00665895"/>
    <w:rsid w:val="00665F84"/>
    <w:rsid w:val="00666589"/>
    <w:rsid w:val="00667C32"/>
    <w:rsid w:val="0067096E"/>
    <w:rsid w:val="006712DB"/>
    <w:rsid w:val="00671F7E"/>
    <w:rsid w:val="00672866"/>
    <w:rsid w:val="00672CFB"/>
    <w:rsid w:val="00672F82"/>
    <w:rsid w:val="00672FE2"/>
    <w:rsid w:val="0067304F"/>
    <w:rsid w:val="00673474"/>
    <w:rsid w:val="00673DA9"/>
    <w:rsid w:val="00675B65"/>
    <w:rsid w:val="0067611E"/>
    <w:rsid w:val="00676A55"/>
    <w:rsid w:val="00676C77"/>
    <w:rsid w:val="006770AD"/>
    <w:rsid w:val="00677492"/>
    <w:rsid w:val="00677BFA"/>
    <w:rsid w:val="00677FA7"/>
    <w:rsid w:val="00680043"/>
    <w:rsid w:val="00680843"/>
    <w:rsid w:val="00680A8E"/>
    <w:rsid w:val="00680AF4"/>
    <w:rsid w:val="0068247D"/>
    <w:rsid w:val="00682BB6"/>
    <w:rsid w:val="0068315F"/>
    <w:rsid w:val="006833D3"/>
    <w:rsid w:val="006833E6"/>
    <w:rsid w:val="0068353A"/>
    <w:rsid w:val="006836CE"/>
    <w:rsid w:val="00684CF0"/>
    <w:rsid w:val="00684D83"/>
    <w:rsid w:val="00684E46"/>
    <w:rsid w:val="00685014"/>
    <w:rsid w:val="006857C8"/>
    <w:rsid w:val="006861CA"/>
    <w:rsid w:val="0068628D"/>
    <w:rsid w:val="00686495"/>
    <w:rsid w:val="00686568"/>
    <w:rsid w:val="00686B15"/>
    <w:rsid w:val="00687216"/>
    <w:rsid w:val="00687C4E"/>
    <w:rsid w:val="00687C7B"/>
    <w:rsid w:val="00687EAA"/>
    <w:rsid w:val="00687FFC"/>
    <w:rsid w:val="0069028A"/>
    <w:rsid w:val="0069078B"/>
    <w:rsid w:val="006916D3"/>
    <w:rsid w:val="00691AA5"/>
    <w:rsid w:val="00691E3C"/>
    <w:rsid w:val="00691EAF"/>
    <w:rsid w:val="006923CB"/>
    <w:rsid w:val="0069333C"/>
    <w:rsid w:val="0069387F"/>
    <w:rsid w:val="00693C1F"/>
    <w:rsid w:val="00694487"/>
    <w:rsid w:val="00694786"/>
    <w:rsid w:val="00694B9D"/>
    <w:rsid w:val="00694CE9"/>
    <w:rsid w:val="0069549D"/>
    <w:rsid w:val="00695653"/>
    <w:rsid w:val="0069599E"/>
    <w:rsid w:val="00695B2A"/>
    <w:rsid w:val="00696A1C"/>
    <w:rsid w:val="0069766A"/>
    <w:rsid w:val="006978CE"/>
    <w:rsid w:val="006A0053"/>
    <w:rsid w:val="006A04A7"/>
    <w:rsid w:val="006A0ADC"/>
    <w:rsid w:val="006A1471"/>
    <w:rsid w:val="006A1625"/>
    <w:rsid w:val="006A23E0"/>
    <w:rsid w:val="006A245A"/>
    <w:rsid w:val="006A2909"/>
    <w:rsid w:val="006A2F18"/>
    <w:rsid w:val="006A3892"/>
    <w:rsid w:val="006A3D22"/>
    <w:rsid w:val="006A3E07"/>
    <w:rsid w:val="006A4090"/>
    <w:rsid w:val="006A429E"/>
    <w:rsid w:val="006A4785"/>
    <w:rsid w:val="006A56F3"/>
    <w:rsid w:val="006A5706"/>
    <w:rsid w:val="006A6D39"/>
    <w:rsid w:val="006A6E4C"/>
    <w:rsid w:val="006A7033"/>
    <w:rsid w:val="006A779A"/>
    <w:rsid w:val="006A77E8"/>
    <w:rsid w:val="006B0897"/>
    <w:rsid w:val="006B0B6B"/>
    <w:rsid w:val="006B18F8"/>
    <w:rsid w:val="006B2298"/>
    <w:rsid w:val="006B26BE"/>
    <w:rsid w:val="006B2A74"/>
    <w:rsid w:val="006B3101"/>
    <w:rsid w:val="006B3810"/>
    <w:rsid w:val="006B39E7"/>
    <w:rsid w:val="006B4322"/>
    <w:rsid w:val="006B4638"/>
    <w:rsid w:val="006B52F0"/>
    <w:rsid w:val="006B6139"/>
    <w:rsid w:val="006B66C5"/>
    <w:rsid w:val="006B7C4C"/>
    <w:rsid w:val="006C044B"/>
    <w:rsid w:val="006C0E2F"/>
    <w:rsid w:val="006C1435"/>
    <w:rsid w:val="006C20BE"/>
    <w:rsid w:val="006C2324"/>
    <w:rsid w:val="006C25A2"/>
    <w:rsid w:val="006C28D4"/>
    <w:rsid w:val="006C2C6A"/>
    <w:rsid w:val="006C2F6A"/>
    <w:rsid w:val="006C3A6D"/>
    <w:rsid w:val="006C4B29"/>
    <w:rsid w:val="006C4CDD"/>
    <w:rsid w:val="006C4F6E"/>
    <w:rsid w:val="006C63DD"/>
    <w:rsid w:val="006C739C"/>
    <w:rsid w:val="006C7A52"/>
    <w:rsid w:val="006D0673"/>
    <w:rsid w:val="006D080C"/>
    <w:rsid w:val="006D0C62"/>
    <w:rsid w:val="006D0EFD"/>
    <w:rsid w:val="006D118C"/>
    <w:rsid w:val="006D35BD"/>
    <w:rsid w:val="006D3866"/>
    <w:rsid w:val="006D3D1B"/>
    <w:rsid w:val="006D3D67"/>
    <w:rsid w:val="006D3DE5"/>
    <w:rsid w:val="006D486D"/>
    <w:rsid w:val="006D4BD6"/>
    <w:rsid w:val="006D5541"/>
    <w:rsid w:val="006D59D4"/>
    <w:rsid w:val="006D5A46"/>
    <w:rsid w:val="006D623E"/>
    <w:rsid w:val="006D634C"/>
    <w:rsid w:val="006D6497"/>
    <w:rsid w:val="006D64EF"/>
    <w:rsid w:val="006D7166"/>
    <w:rsid w:val="006D77AB"/>
    <w:rsid w:val="006E00E7"/>
    <w:rsid w:val="006E0606"/>
    <w:rsid w:val="006E061A"/>
    <w:rsid w:val="006E0959"/>
    <w:rsid w:val="006E13FE"/>
    <w:rsid w:val="006E14DA"/>
    <w:rsid w:val="006E2360"/>
    <w:rsid w:val="006E2DAC"/>
    <w:rsid w:val="006E2DE4"/>
    <w:rsid w:val="006E2EC0"/>
    <w:rsid w:val="006E2ECC"/>
    <w:rsid w:val="006E39BA"/>
    <w:rsid w:val="006E3E0D"/>
    <w:rsid w:val="006E4CDB"/>
    <w:rsid w:val="006E51AA"/>
    <w:rsid w:val="006E6807"/>
    <w:rsid w:val="006E6E30"/>
    <w:rsid w:val="006E7BC8"/>
    <w:rsid w:val="006F2B69"/>
    <w:rsid w:val="006F37F5"/>
    <w:rsid w:val="006F4012"/>
    <w:rsid w:val="006F45D0"/>
    <w:rsid w:val="006F473D"/>
    <w:rsid w:val="006F4866"/>
    <w:rsid w:val="006F49D1"/>
    <w:rsid w:val="006F4ACC"/>
    <w:rsid w:val="006F4BBE"/>
    <w:rsid w:val="006F512C"/>
    <w:rsid w:val="006F52C1"/>
    <w:rsid w:val="006F56CB"/>
    <w:rsid w:val="006F605C"/>
    <w:rsid w:val="006F6091"/>
    <w:rsid w:val="006F69E3"/>
    <w:rsid w:val="006F69F4"/>
    <w:rsid w:val="006F6BF2"/>
    <w:rsid w:val="006F737A"/>
    <w:rsid w:val="006F76B2"/>
    <w:rsid w:val="00700CA2"/>
    <w:rsid w:val="007011A1"/>
    <w:rsid w:val="00701220"/>
    <w:rsid w:val="00701662"/>
    <w:rsid w:val="00701EA0"/>
    <w:rsid w:val="0070222A"/>
    <w:rsid w:val="0070257C"/>
    <w:rsid w:val="00702711"/>
    <w:rsid w:val="00702F22"/>
    <w:rsid w:val="0070354A"/>
    <w:rsid w:val="007036CD"/>
    <w:rsid w:val="007042B7"/>
    <w:rsid w:val="0070439A"/>
    <w:rsid w:val="00704D56"/>
    <w:rsid w:val="00704DBB"/>
    <w:rsid w:val="00704E67"/>
    <w:rsid w:val="00705083"/>
    <w:rsid w:val="00705C71"/>
    <w:rsid w:val="00706225"/>
    <w:rsid w:val="00706786"/>
    <w:rsid w:val="00706895"/>
    <w:rsid w:val="00706E26"/>
    <w:rsid w:val="00707466"/>
    <w:rsid w:val="007078DF"/>
    <w:rsid w:val="00707E6B"/>
    <w:rsid w:val="00710173"/>
    <w:rsid w:val="007101B5"/>
    <w:rsid w:val="007101EB"/>
    <w:rsid w:val="00711796"/>
    <w:rsid w:val="00711EA0"/>
    <w:rsid w:val="00712B49"/>
    <w:rsid w:val="00712D44"/>
    <w:rsid w:val="00712DE4"/>
    <w:rsid w:val="00712E93"/>
    <w:rsid w:val="00713412"/>
    <w:rsid w:val="007139C5"/>
    <w:rsid w:val="00714538"/>
    <w:rsid w:val="007146AE"/>
    <w:rsid w:val="0071612B"/>
    <w:rsid w:val="00716508"/>
    <w:rsid w:val="00716F91"/>
    <w:rsid w:val="00717310"/>
    <w:rsid w:val="007178F4"/>
    <w:rsid w:val="007178F8"/>
    <w:rsid w:val="00717B03"/>
    <w:rsid w:val="00720D98"/>
    <w:rsid w:val="00720F85"/>
    <w:rsid w:val="00722E2D"/>
    <w:rsid w:val="00722FB8"/>
    <w:rsid w:val="007232B6"/>
    <w:rsid w:val="007237B1"/>
    <w:rsid w:val="00723B54"/>
    <w:rsid w:val="00723D6E"/>
    <w:rsid w:val="007243C7"/>
    <w:rsid w:val="007247A7"/>
    <w:rsid w:val="0072497C"/>
    <w:rsid w:val="00724EA3"/>
    <w:rsid w:val="0072565C"/>
    <w:rsid w:val="007265AC"/>
    <w:rsid w:val="0072669F"/>
    <w:rsid w:val="00727021"/>
    <w:rsid w:val="00727F4D"/>
    <w:rsid w:val="0073025D"/>
    <w:rsid w:val="00730AF9"/>
    <w:rsid w:val="00730E34"/>
    <w:rsid w:val="007321D0"/>
    <w:rsid w:val="00733080"/>
    <w:rsid w:val="007336EC"/>
    <w:rsid w:val="007338DB"/>
    <w:rsid w:val="00733A49"/>
    <w:rsid w:val="00733B8C"/>
    <w:rsid w:val="0073550A"/>
    <w:rsid w:val="007364E3"/>
    <w:rsid w:val="00736942"/>
    <w:rsid w:val="00736C1A"/>
    <w:rsid w:val="007375B0"/>
    <w:rsid w:val="00737F6A"/>
    <w:rsid w:val="00740067"/>
    <w:rsid w:val="0074068C"/>
    <w:rsid w:val="0074091B"/>
    <w:rsid w:val="007414F1"/>
    <w:rsid w:val="007416E7"/>
    <w:rsid w:val="007418B8"/>
    <w:rsid w:val="00741CF8"/>
    <w:rsid w:val="00741D4F"/>
    <w:rsid w:val="007420FF"/>
    <w:rsid w:val="00742C59"/>
    <w:rsid w:val="007437D2"/>
    <w:rsid w:val="007437E7"/>
    <w:rsid w:val="00743CD1"/>
    <w:rsid w:val="00744153"/>
    <w:rsid w:val="0074625D"/>
    <w:rsid w:val="007467D6"/>
    <w:rsid w:val="00746ECF"/>
    <w:rsid w:val="00746FD4"/>
    <w:rsid w:val="00747DFD"/>
    <w:rsid w:val="00747EB3"/>
    <w:rsid w:val="007505BE"/>
    <w:rsid w:val="007505EA"/>
    <w:rsid w:val="00750E82"/>
    <w:rsid w:val="00751114"/>
    <w:rsid w:val="007511EB"/>
    <w:rsid w:val="0075157E"/>
    <w:rsid w:val="00751EE3"/>
    <w:rsid w:val="00751F04"/>
    <w:rsid w:val="0075230B"/>
    <w:rsid w:val="0075267B"/>
    <w:rsid w:val="00753838"/>
    <w:rsid w:val="00753FF6"/>
    <w:rsid w:val="00755250"/>
    <w:rsid w:val="00755A14"/>
    <w:rsid w:val="00755ADF"/>
    <w:rsid w:val="00755C8C"/>
    <w:rsid w:val="00757D05"/>
    <w:rsid w:val="00760D7B"/>
    <w:rsid w:val="00761F15"/>
    <w:rsid w:val="0076211B"/>
    <w:rsid w:val="007623D7"/>
    <w:rsid w:val="007625E1"/>
    <w:rsid w:val="0076271D"/>
    <w:rsid w:val="0076283E"/>
    <w:rsid w:val="00762905"/>
    <w:rsid w:val="00762CD0"/>
    <w:rsid w:val="007635DA"/>
    <w:rsid w:val="00763D30"/>
    <w:rsid w:val="007644FA"/>
    <w:rsid w:val="00764916"/>
    <w:rsid w:val="00764E09"/>
    <w:rsid w:val="00764E8F"/>
    <w:rsid w:val="007656F3"/>
    <w:rsid w:val="00765726"/>
    <w:rsid w:val="00765807"/>
    <w:rsid w:val="00765880"/>
    <w:rsid w:val="007659A8"/>
    <w:rsid w:val="007660B5"/>
    <w:rsid w:val="0076660E"/>
    <w:rsid w:val="00766F5F"/>
    <w:rsid w:val="007672CE"/>
    <w:rsid w:val="00770EBE"/>
    <w:rsid w:val="00770EF0"/>
    <w:rsid w:val="007714B3"/>
    <w:rsid w:val="00771621"/>
    <w:rsid w:val="00771C2F"/>
    <w:rsid w:val="00772B81"/>
    <w:rsid w:val="00773922"/>
    <w:rsid w:val="00773BE9"/>
    <w:rsid w:val="00773CCA"/>
    <w:rsid w:val="00774E59"/>
    <w:rsid w:val="00775181"/>
    <w:rsid w:val="00775203"/>
    <w:rsid w:val="007754F1"/>
    <w:rsid w:val="00775A2E"/>
    <w:rsid w:val="00775F13"/>
    <w:rsid w:val="00776108"/>
    <w:rsid w:val="00776546"/>
    <w:rsid w:val="00776939"/>
    <w:rsid w:val="00780DA9"/>
    <w:rsid w:val="00782590"/>
    <w:rsid w:val="00782E02"/>
    <w:rsid w:val="00783DAE"/>
    <w:rsid w:val="007845C8"/>
    <w:rsid w:val="007853B2"/>
    <w:rsid w:val="007859B9"/>
    <w:rsid w:val="00785A04"/>
    <w:rsid w:val="00786282"/>
    <w:rsid w:val="007869EC"/>
    <w:rsid w:val="00787569"/>
    <w:rsid w:val="00787D74"/>
    <w:rsid w:val="00790133"/>
    <w:rsid w:val="00790206"/>
    <w:rsid w:val="00791D2D"/>
    <w:rsid w:val="007931F3"/>
    <w:rsid w:val="0079386D"/>
    <w:rsid w:val="00793953"/>
    <w:rsid w:val="00793CA0"/>
    <w:rsid w:val="0079433E"/>
    <w:rsid w:val="007949AD"/>
    <w:rsid w:val="00795201"/>
    <w:rsid w:val="0079584C"/>
    <w:rsid w:val="00796114"/>
    <w:rsid w:val="0079650A"/>
    <w:rsid w:val="00796A9F"/>
    <w:rsid w:val="0079712F"/>
    <w:rsid w:val="0079735C"/>
    <w:rsid w:val="007974A9"/>
    <w:rsid w:val="007975AB"/>
    <w:rsid w:val="007975E2"/>
    <w:rsid w:val="0079790C"/>
    <w:rsid w:val="00797D76"/>
    <w:rsid w:val="00797FE1"/>
    <w:rsid w:val="007A0B32"/>
    <w:rsid w:val="007A0DEC"/>
    <w:rsid w:val="007A1855"/>
    <w:rsid w:val="007A1BA2"/>
    <w:rsid w:val="007A2381"/>
    <w:rsid w:val="007A36A9"/>
    <w:rsid w:val="007A3CDB"/>
    <w:rsid w:val="007A49B6"/>
    <w:rsid w:val="007A53FB"/>
    <w:rsid w:val="007A597F"/>
    <w:rsid w:val="007A5A12"/>
    <w:rsid w:val="007A6083"/>
    <w:rsid w:val="007A6861"/>
    <w:rsid w:val="007A6C8E"/>
    <w:rsid w:val="007A6FA9"/>
    <w:rsid w:val="007A75AD"/>
    <w:rsid w:val="007A766F"/>
    <w:rsid w:val="007B059A"/>
    <w:rsid w:val="007B0AC6"/>
    <w:rsid w:val="007B0D13"/>
    <w:rsid w:val="007B1732"/>
    <w:rsid w:val="007B2064"/>
    <w:rsid w:val="007B208A"/>
    <w:rsid w:val="007B2530"/>
    <w:rsid w:val="007B3C94"/>
    <w:rsid w:val="007B3D45"/>
    <w:rsid w:val="007B3DC4"/>
    <w:rsid w:val="007B4336"/>
    <w:rsid w:val="007B5D68"/>
    <w:rsid w:val="007B6146"/>
    <w:rsid w:val="007B62F0"/>
    <w:rsid w:val="007B6570"/>
    <w:rsid w:val="007B7C40"/>
    <w:rsid w:val="007C0973"/>
    <w:rsid w:val="007C1011"/>
    <w:rsid w:val="007C1925"/>
    <w:rsid w:val="007C3568"/>
    <w:rsid w:val="007C39FA"/>
    <w:rsid w:val="007C3AE7"/>
    <w:rsid w:val="007C44B1"/>
    <w:rsid w:val="007C472A"/>
    <w:rsid w:val="007C4B32"/>
    <w:rsid w:val="007C4EB6"/>
    <w:rsid w:val="007C4FC8"/>
    <w:rsid w:val="007C52D8"/>
    <w:rsid w:val="007C56F4"/>
    <w:rsid w:val="007C5795"/>
    <w:rsid w:val="007C61D6"/>
    <w:rsid w:val="007C664B"/>
    <w:rsid w:val="007C670F"/>
    <w:rsid w:val="007C6811"/>
    <w:rsid w:val="007C7D0A"/>
    <w:rsid w:val="007D0103"/>
    <w:rsid w:val="007D01F5"/>
    <w:rsid w:val="007D0506"/>
    <w:rsid w:val="007D076B"/>
    <w:rsid w:val="007D1171"/>
    <w:rsid w:val="007D122F"/>
    <w:rsid w:val="007D1500"/>
    <w:rsid w:val="007D1A54"/>
    <w:rsid w:val="007D2AEC"/>
    <w:rsid w:val="007D2F05"/>
    <w:rsid w:val="007D3294"/>
    <w:rsid w:val="007D3F33"/>
    <w:rsid w:val="007D49F2"/>
    <w:rsid w:val="007D4BA3"/>
    <w:rsid w:val="007D5BF2"/>
    <w:rsid w:val="007D5D33"/>
    <w:rsid w:val="007D7CC9"/>
    <w:rsid w:val="007E011D"/>
    <w:rsid w:val="007E0A85"/>
    <w:rsid w:val="007E1ABD"/>
    <w:rsid w:val="007E1C16"/>
    <w:rsid w:val="007E2CBE"/>
    <w:rsid w:val="007E3440"/>
    <w:rsid w:val="007E34B1"/>
    <w:rsid w:val="007E37E6"/>
    <w:rsid w:val="007E3CB4"/>
    <w:rsid w:val="007E41D3"/>
    <w:rsid w:val="007E4379"/>
    <w:rsid w:val="007E4BFC"/>
    <w:rsid w:val="007E4F3E"/>
    <w:rsid w:val="007E5AB5"/>
    <w:rsid w:val="007E5DE7"/>
    <w:rsid w:val="007E5FF5"/>
    <w:rsid w:val="007E6005"/>
    <w:rsid w:val="007E60DF"/>
    <w:rsid w:val="007E6411"/>
    <w:rsid w:val="007E6428"/>
    <w:rsid w:val="007E66B6"/>
    <w:rsid w:val="007E7133"/>
    <w:rsid w:val="007E77BE"/>
    <w:rsid w:val="007E7ABF"/>
    <w:rsid w:val="007F0896"/>
    <w:rsid w:val="007F098C"/>
    <w:rsid w:val="007F0D07"/>
    <w:rsid w:val="007F11DE"/>
    <w:rsid w:val="007F123F"/>
    <w:rsid w:val="007F18D0"/>
    <w:rsid w:val="007F1D36"/>
    <w:rsid w:val="007F1EBB"/>
    <w:rsid w:val="007F2194"/>
    <w:rsid w:val="007F259D"/>
    <w:rsid w:val="007F25CE"/>
    <w:rsid w:val="007F27DC"/>
    <w:rsid w:val="007F2E0E"/>
    <w:rsid w:val="007F3948"/>
    <w:rsid w:val="007F4657"/>
    <w:rsid w:val="007F490C"/>
    <w:rsid w:val="007F4DFC"/>
    <w:rsid w:val="007F4E5F"/>
    <w:rsid w:val="007F51A8"/>
    <w:rsid w:val="007F5368"/>
    <w:rsid w:val="007F5DB5"/>
    <w:rsid w:val="007F5E38"/>
    <w:rsid w:val="007F5E95"/>
    <w:rsid w:val="007F6072"/>
    <w:rsid w:val="007F6466"/>
    <w:rsid w:val="007F646E"/>
    <w:rsid w:val="007F6718"/>
    <w:rsid w:val="007F68B6"/>
    <w:rsid w:val="007F6DBE"/>
    <w:rsid w:val="007F7BFC"/>
    <w:rsid w:val="007F7C09"/>
    <w:rsid w:val="007F7C7C"/>
    <w:rsid w:val="0080029F"/>
    <w:rsid w:val="0080098E"/>
    <w:rsid w:val="00800E85"/>
    <w:rsid w:val="00801137"/>
    <w:rsid w:val="00801321"/>
    <w:rsid w:val="00801746"/>
    <w:rsid w:val="00801840"/>
    <w:rsid w:val="008027F8"/>
    <w:rsid w:val="008031E7"/>
    <w:rsid w:val="00803AE2"/>
    <w:rsid w:val="00803CAA"/>
    <w:rsid w:val="00804607"/>
    <w:rsid w:val="0080482F"/>
    <w:rsid w:val="0080567A"/>
    <w:rsid w:val="0080584C"/>
    <w:rsid w:val="00805D5C"/>
    <w:rsid w:val="00806A0E"/>
    <w:rsid w:val="00807748"/>
    <w:rsid w:val="00807A54"/>
    <w:rsid w:val="00807DEC"/>
    <w:rsid w:val="008104F4"/>
    <w:rsid w:val="00811AAB"/>
    <w:rsid w:val="00811D62"/>
    <w:rsid w:val="008122DB"/>
    <w:rsid w:val="00812314"/>
    <w:rsid w:val="0081352B"/>
    <w:rsid w:val="0081419B"/>
    <w:rsid w:val="0081519C"/>
    <w:rsid w:val="008152F6"/>
    <w:rsid w:val="00816A9D"/>
    <w:rsid w:val="00816D86"/>
    <w:rsid w:val="008170CE"/>
    <w:rsid w:val="00817E6C"/>
    <w:rsid w:val="00817F9E"/>
    <w:rsid w:val="00820091"/>
    <w:rsid w:val="008204A1"/>
    <w:rsid w:val="008212C9"/>
    <w:rsid w:val="0082155D"/>
    <w:rsid w:val="008218EF"/>
    <w:rsid w:val="008225F2"/>
    <w:rsid w:val="008239F8"/>
    <w:rsid w:val="00823B06"/>
    <w:rsid w:val="00824148"/>
    <w:rsid w:val="00825608"/>
    <w:rsid w:val="008256A2"/>
    <w:rsid w:val="00825908"/>
    <w:rsid w:val="008259AC"/>
    <w:rsid w:val="00825B21"/>
    <w:rsid w:val="00825E97"/>
    <w:rsid w:val="0082623D"/>
    <w:rsid w:val="008262EB"/>
    <w:rsid w:val="00826345"/>
    <w:rsid w:val="008264EA"/>
    <w:rsid w:val="0082696E"/>
    <w:rsid w:val="00827238"/>
    <w:rsid w:val="008275AA"/>
    <w:rsid w:val="008316B7"/>
    <w:rsid w:val="00831775"/>
    <w:rsid w:val="008318C7"/>
    <w:rsid w:val="00831F2C"/>
    <w:rsid w:val="00832419"/>
    <w:rsid w:val="008337D0"/>
    <w:rsid w:val="00833A63"/>
    <w:rsid w:val="00834BCE"/>
    <w:rsid w:val="00834CD7"/>
    <w:rsid w:val="0083558F"/>
    <w:rsid w:val="00835D53"/>
    <w:rsid w:val="00837027"/>
    <w:rsid w:val="0083704C"/>
    <w:rsid w:val="008374EA"/>
    <w:rsid w:val="00837736"/>
    <w:rsid w:val="008412B6"/>
    <w:rsid w:val="008419D5"/>
    <w:rsid w:val="008436DE"/>
    <w:rsid w:val="008437D5"/>
    <w:rsid w:val="00843CF3"/>
    <w:rsid w:val="00843E8C"/>
    <w:rsid w:val="008442EE"/>
    <w:rsid w:val="0084474C"/>
    <w:rsid w:val="00844D4D"/>
    <w:rsid w:val="00844FF6"/>
    <w:rsid w:val="00845AA8"/>
    <w:rsid w:val="00845CD5"/>
    <w:rsid w:val="00845CFD"/>
    <w:rsid w:val="0084646E"/>
    <w:rsid w:val="0084684E"/>
    <w:rsid w:val="00847293"/>
    <w:rsid w:val="00847B62"/>
    <w:rsid w:val="00850012"/>
    <w:rsid w:val="008500E0"/>
    <w:rsid w:val="008507AF"/>
    <w:rsid w:val="00851033"/>
    <w:rsid w:val="00851136"/>
    <w:rsid w:val="008511DB"/>
    <w:rsid w:val="00851212"/>
    <w:rsid w:val="00851314"/>
    <w:rsid w:val="0085187C"/>
    <w:rsid w:val="008521ED"/>
    <w:rsid w:val="00852B35"/>
    <w:rsid w:val="00852C87"/>
    <w:rsid w:val="0085348E"/>
    <w:rsid w:val="00853A01"/>
    <w:rsid w:val="00853A54"/>
    <w:rsid w:val="00853E7A"/>
    <w:rsid w:val="00854235"/>
    <w:rsid w:val="00854C37"/>
    <w:rsid w:val="00857083"/>
    <w:rsid w:val="0085713A"/>
    <w:rsid w:val="0085742F"/>
    <w:rsid w:val="008578DF"/>
    <w:rsid w:val="00857A98"/>
    <w:rsid w:val="00857F3E"/>
    <w:rsid w:val="00860739"/>
    <w:rsid w:val="0086076F"/>
    <w:rsid w:val="00860ECB"/>
    <w:rsid w:val="0086193B"/>
    <w:rsid w:val="00862066"/>
    <w:rsid w:val="00862279"/>
    <w:rsid w:val="00862345"/>
    <w:rsid w:val="008625E8"/>
    <w:rsid w:val="008629BC"/>
    <w:rsid w:val="00862ADD"/>
    <w:rsid w:val="00862D00"/>
    <w:rsid w:val="008634DC"/>
    <w:rsid w:val="00863823"/>
    <w:rsid w:val="00863B0A"/>
    <w:rsid w:val="008650A5"/>
    <w:rsid w:val="008653C0"/>
    <w:rsid w:val="0086547D"/>
    <w:rsid w:val="00865970"/>
    <w:rsid w:val="00865CDE"/>
    <w:rsid w:val="00865D77"/>
    <w:rsid w:val="0086663F"/>
    <w:rsid w:val="00866FC3"/>
    <w:rsid w:val="008672E5"/>
    <w:rsid w:val="00867499"/>
    <w:rsid w:val="0086787F"/>
    <w:rsid w:val="00867A54"/>
    <w:rsid w:val="0087046F"/>
    <w:rsid w:val="00870916"/>
    <w:rsid w:val="008709CA"/>
    <w:rsid w:val="00870EA9"/>
    <w:rsid w:val="00870FA2"/>
    <w:rsid w:val="00871CFC"/>
    <w:rsid w:val="00871E74"/>
    <w:rsid w:val="008730C1"/>
    <w:rsid w:val="008731D0"/>
    <w:rsid w:val="008733E7"/>
    <w:rsid w:val="008737A5"/>
    <w:rsid w:val="0087391E"/>
    <w:rsid w:val="00873DD1"/>
    <w:rsid w:val="008745EF"/>
    <w:rsid w:val="008746CC"/>
    <w:rsid w:val="00874E85"/>
    <w:rsid w:val="00874F96"/>
    <w:rsid w:val="00875D18"/>
    <w:rsid w:val="00875F48"/>
    <w:rsid w:val="0087747F"/>
    <w:rsid w:val="00877575"/>
    <w:rsid w:val="0088053D"/>
    <w:rsid w:val="008807AD"/>
    <w:rsid w:val="00881680"/>
    <w:rsid w:val="00882156"/>
    <w:rsid w:val="008824F6"/>
    <w:rsid w:val="00883302"/>
    <w:rsid w:val="008839CD"/>
    <w:rsid w:val="00883C4D"/>
    <w:rsid w:val="0088411A"/>
    <w:rsid w:val="0088419A"/>
    <w:rsid w:val="008846C5"/>
    <w:rsid w:val="00884763"/>
    <w:rsid w:val="00884CED"/>
    <w:rsid w:val="008851F2"/>
    <w:rsid w:val="00885B81"/>
    <w:rsid w:val="00885ED6"/>
    <w:rsid w:val="008860E9"/>
    <w:rsid w:val="0088733D"/>
    <w:rsid w:val="008874FB"/>
    <w:rsid w:val="008876C6"/>
    <w:rsid w:val="00887D60"/>
    <w:rsid w:val="00890012"/>
    <w:rsid w:val="00890399"/>
    <w:rsid w:val="00891A37"/>
    <w:rsid w:val="00892870"/>
    <w:rsid w:val="008936C2"/>
    <w:rsid w:val="0089375D"/>
    <w:rsid w:val="00893848"/>
    <w:rsid w:val="008947BE"/>
    <w:rsid w:val="00894957"/>
    <w:rsid w:val="008949F5"/>
    <w:rsid w:val="00894C46"/>
    <w:rsid w:val="00895254"/>
    <w:rsid w:val="00895490"/>
    <w:rsid w:val="008954E2"/>
    <w:rsid w:val="00895EF3"/>
    <w:rsid w:val="008974D3"/>
    <w:rsid w:val="008976DA"/>
    <w:rsid w:val="008A021F"/>
    <w:rsid w:val="008A1589"/>
    <w:rsid w:val="008A1E08"/>
    <w:rsid w:val="008A290A"/>
    <w:rsid w:val="008A39D1"/>
    <w:rsid w:val="008A3A41"/>
    <w:rsid w:val="008A3C9A"/>
    <w:rsid w:val="008A4387"/>
    <w:rsid w:val="008A46FE"/>
    <w:rsid w:val="008A525C"/>
    <w:rsid w:val="008A5532"/>
    <w:rsid w:val="008A5D28"/>
    <w:rsid w:val="008A5E5F"/>
    <w:rsid w:val="008A6669"/>
    <w:rsid w:val="008A6991"/>
    <w:rsid w:val="008A6A17"/>
    <w:rsid w:val="008A790C"/>
    <w:rsid w:val="008A7A45"/>
    <w:rsid w:val="008B0DDE"/>
    <w:rsid w:val="008B0EAC"/>
    <w:rsid w:val="008B10B4"/>
    <w:rsid w:val="008B1249"/>
    <w:rsid w:val="008B1E16"/>
    <w:rsid w:val="008B2794"/>
    <w:rsid w:val="008B27A2"/>
    <w:rsid w:val="008B2B70"/>
    <w:rsid w:val="008B2F24"/>
    <w:rsid w:val="008B307D"/>
    <w:rsid w:val="008B3A74"/>
    <w:rsid w:val="008B3B37"/>
    <w:rsid w:val="008B3DCD"/>
    <w:rsid w:val="008B4AF2"/>
    <w:rsid w:val="008B5181"/>
    <w:rsid w:val="008B59F4"/>
    <w:rsid w:val="008B5B48"/>
    <w:rsid w:val="008B5BA8"/>
    <w:rsid w:val="008B5DF5"/>
    <w:rsid w:val="008B6050"/>
    <w:rsid w:val="008B6058"/>
    <w:rsid w:val="008B6322"/>
    <w:rsid w:val="008B63FC"/>
    <w:rsid w:val="008B6FB4"/>
    <w:rsid w:val="008B770B"/>
    <w:rsid w:val="008C0725"/>
    <w:rsid w:val="008C1877"/>
    <w:rsid w:val="008C1B5A"/>
    <w:rsid w:val="008C26F6"/>
    <w:rsid w:val="008C2ED2"/>
    <w:rsid w:val="008C2EE7"/>
    <w:rsid w:val="008C3312"/>
    <w:rsid w:val="008C374B"/>
    <w:rsid w:val="008C39CA"/>
    <w:rsid w:val="008C3BDC"/>
    <w:rsid w:val="008C3C24"/>
    <w:rsid w:val="008C3CC9"/>
    <w:rsid w:val="008C47D5"/>
    <w:rsid w:val="008C627E"/>
    <w:rsid w:val="008C6A7B"/>
    <w:rsid w:val="008C6E67"/>
    <w:rsid w:val="008C749F"/>
    <w:rsid w:val="008C76D3"/>
    <w:rsid w:val="008D032F"/>
    <w:rsid w:val="008D03A8"/>
    <w:rsid w:val="008D0428"/>
    <w:rsid w:val="008D0C33"/>
    <w:rsid w:val="008D0EFE"/>
    <w:rsid w:val="008D16C5"/>
    <w:rsid w:val="008D18B7"/>
    <w:rsid w:val="008D1E1D"/>
    <w:rsid w:val="008D2263"/>
    <w:rsid w:val="008D3766"/>
    <w:rsid w:val="008D3CFE"/>
    <w:rsid w:val="008D3E7E"/>
    <w:rsid w:val="008D4249"/>
    <w:rsid w:val="008D4922"/>
    <w:rsid w:val="008D523F"/>
    <w:rsid w:val="008D5657"/>
    <w:rsid w:val="008D5F10"/>
    <w:rsid w:val="008D6064"/>
    <w:rsid w:val="008D6085"/>
    <w:rsid w:val="008D6BDA"/>
    <w:rsid w:val="008D738B"/>
    <w:rsid w:val="008E09B0"/>
    <w:rsid w:val="008E104F"/>
    <w:rsid w:val="008E1EBF"/>
    <w:rsid w:val="008E2D0F"/>
    <w:rsid w:val="008E3105"/>
    <w:rsid w:val="008E3201"/>
    <w:rsid w:val="008E38F3"/>
    <w:rsid w:val="008E3F62"/>
    <w:rsid w:val="008E4537"/>
    <w:rsid w:val="008E4A33"/>
    <w:rsid w:val="008E4D2F"/>
    <w:rsid w:val="008E528F"/>
    <w:rsid w:val="008E59C4"/>
    <w:rsid w:val="008E6A86"/>
    <w:rsid w:val="008E6E92"/>
    <w:rsid w:val="008E7731"/>
    <w:rsid w:val="008E7C7D"/>
    <w:rsid w:val="008F02A0"/>
    <w:rsid w:val="008F0598"/>
    <w:rsid w:val="008F098F"/>
    <w:rsid w:val="008F0D3A"/>
    <w:rsid w:val="008F0D81"/>
    <w:rsid w:val="008F114A"/>
    <w:rsid w:val="008F1177"/>
    <w:rsid w:val="008F1650"/>
    <w:rsid w:val="008F17DB"/>
    <w:rsid w:val="008F1D6E"/>
    <w:rsid w:val="008F3D20"/>
    <w:rsid w:val="008F4458"/>
    <w:rsid w:val="008F4F8B"/>
    <w:rsid w:val="008F5302"/>
    <w:rsid w:val="008F531F"/>
    <w:rsid w:val="008F5C74"/>
    <w:rsid w:val="008F5CE9"/>
    <w:rsid w:val="008F68C3"/>
    <w:rsid w:val="008F7865"/>
    <w:rsid w:val="008F7BC5"/>
    <w:rsid w:val="008F7DB2"/>
    <w:rsid w:val="009006AC"/>
    <w:rsid w:val="00900764"/>
    <w:rsid w:val="00900B76"/>
    <w:rsid w:val="00900E9C"/>
    <w:rsid w:val="0090182B"/>
    <w:rsid w:val="00901C1C"/>
    <w:rsid w:val="00901D81"/>
    <w:rsid w:val="00901EAC"/>
    <w:rsid w:val="00902720"/>
    <w:rsid w:val="00903A68"/>
    <w:rsid w:val="00903C3E"/>
    <w:rsid w:val="009044B8"/>
    <w:rsid w:val="009045CB"/>
    <w:rsid w:val="00904913"/>
    <w:rsid w:val="00904FEF"/>
    <w:rsid w:val="009057E0"/>
    <w:rsid w:val="00905FC2"/>
    <w:rsid w:val="009065E1"/>
    <w:rsid w:val="009067C3"/>
    <w:rsid w:val="00906927"/>
    <w:rsid w:val="00906A3B"/>
    <w:rsid w:val="00906EC6"/>
    <w:rsid w:val="00906F01"/>
    <w:rsid w:val="0090708A"/>
    <w:rsid w:val="00907D09"/>
    <w:rsid w:val="00911026"/>
    <w:rsid w:val="009110D4"/>
    <w:rsid w:val="009111AD"/>
    <w:rsid w:val="00911AA4"/>
    <w:rsid w:val="00911ECE"/>
    <w:rsid w:val="0091230F"/>
    <w:rsid w:val="0091304C"/>
    <w:rsid w:val="0091306C"/>
    <w:rsid w:val="009132E0"/>
    <w:rsid w:val="00913BFE"/>
    <w:rsid w:val="00913CB1"/>
    <w:rsid w:val="00913D33"/>
    <w:rsid w:val="00913EC7"/>
    <w:rsid w:val="00914D85"/>
    <w:rsid w:val="00916F7D"/>
    <w:rsid w:val="00916FBA"/>
    <w:rsid w:val="00917132"/>
    <w:rsid w:val="009177C1"/>
    <w:rsid w:val="00917BA9"/>
    <w:rsid w:val="00917C8E"/>
    <w:rsid w:val="00917F63"/>
    <w:rsid w:val="00917FE8"/>
    <w:rsid w:val="00920085"/>
    <w:rsid w:val="009208FD"/>
    <w:rsid w:val="00921010"/>
    <w:rsid w:val="009216FC"/>
    <w:rsid w:val="00921742"/>
    <w:rsid w:val="009230D8"/>
    <w:rsid w:val="009230ED"/>
    <w:rsid w:val="009238B9"/>
    <w:rsid w:val="00923931"/>
    <w:rsid w:val="009239E2"/>
    <w:rsid w:val="00923A93"/>
    <w:rsid w:val="00924099"/>
    <w:rsid w:val="00924332"/>
    <w:rsid w:val="00924561"/>
    <w:rsid w:val="0092465F"/>
    <w:rsid w:val="009257B1"/>
    <w:rsid w:val="009259DA"/>
    <w:rsid w:val="00926A50"/>
    <w:rsid w:val="009274AA"/>
    <w:rsid w:val="00927B25"/>
    <w:rsid w:val="00930123"/>
    <w:rsid w:val="0093061E"/>
    <w:rsid w:val="00930C0A"/>
    <w:rsid w:val="00930EBB"/>
    <w:rsid w:val="00930EBF"/>
    <w:rsid w:val="009310B7"/>
    <w:rsid w:val="009321B2"/>
    <w:rsid w:val="00932228"/>
    <w:rsid w:val="009325E5"/>
    <w:rsid w:val="009326D3"/>
    <w:rsid w:val="00932C7C"/>
    <w:rsid w:val="00932C98"/>
    <w:rsid w:val="00932FF0"/>
    <w:rsid w:val="00933231"/>
    <w:rsid w:val="00933362"/>
    <w:rsid w:val="00933B87"/>
    <w:rsid w:val="00933F4D"/>
    <w:rsid w:val="00934CAD"/>
    <w:rsid w:val="00934F68"/>
    <w:rsid w:val="00935401"/>
    <w:rsid w:val="00935B71"/>
    <w:rsid w:val="009376D6"/>
    <w:rsid w:val="00937700"/>
    <w:rsid w:val="00937F20"/>
    <w:rsid w:val="009406E7"/>
    <w:rsid w:val="0094132A"/>
    <w:rsid w:val="009416C6"/>
    <w:rsid w:val="0094288E"/>
    <w:rsid w:val="00942ED2"/>
    <w:rsid w:val="00943E1C"/>
    <w:rsid w:val="00944067"/>
    <w:rsid w:val="00944680"/>
    <w:rsid w:val="00945179"/>
    <w:rsid w:val="00945D4A"/>
    <w:rsid w:val="00945D75"/>
    <w:rsid w:val="0094603C"/>
    <w:rsid w:val="00946773"/>
    <w:rsid w:val="00947B53"/>
    <w:rsid w:val="0095025B"/>
    <w:rsid w:val="00950A83"/>
    <w:rsid w:val="00951291"/>
    <w:rsid w:val="00951C8A"/>
    <w:rsid w:val="00952688"/>
    <w:rsid w:val="009536EB"/>
    <w:rsid w:val="00953CCC"/>
    <w:rsid w:val="0095496D"/>
    <w:rsid w:val="00954FD2"/>
    <w:rsid w:val="0095519F"/>
    <w:rsid w:val="009551CE"/>
    <w:rsid w:val="00955205"/>
    <w:rsid w:val="00956CF3"/>
    <w:rsid w:val="00957BE3"/>
    <w:rsid w:val="00957D2E"/>
    <w:rsid w:val="009605EC"/>
    <w:rsid w:val="00960D72"/>
    <w:rsid w:val="00961174"/>
    <w:rsid w:val="009613FE"/>
    <w:rsid w:val="00961DAB"/>
    <w:rsid w:val="009632E4"/>
    <w:rsid w:val="00964A0C"/>
    <w:rsid w:val="00964E5F"/>
    <w:rsid w:val="009653BD"/>
    <w:rsid w:val="00965600"/>
    <w:rsid w:val="0096610F"/>
    <w:rsid w:val="009661DE"/>
    <w:rsid w:val="00966957"/>
    <w:rsid w:val="00966DEB"/>
    <w:rsid w:val="009674FF"/>
    <w:rsid w:val="00967923"/>
    <w:rsid w:val="00967A91"/>
    <w:rsid w:val="0097007A"/>
    <w:rsid w:val="009706B3"/>
    <w:rsid w:val="0097155C"/>
    <w:rsid w:val="00972372"/>
    <w:rsid w:val="00973A10"/>
    <w:rsid w:val="00973BCA"/>
    <w:rsid w:val="009746E5"/>
    <w:rsid w:val="009749BD"/>
    <w:rsid w:val="00974ED9"/>
    <w:rsid w:val="00974FD7"/>
    <w:rsid w:val="009750FD"/>
    <w:rsid w:val="00975D98"/>
    <w:rsid w:val="0097734E"/>
    <w:rsid w:val="00977374"/>
    <w:rsid w:val="009775E1"/>
    <w:rsid w:val="009777F7"/>
    <w:rsid w:val="00977AF4"/>
    <w:rsid w:val="00977B16"/>
    <w:rsid w:val="0098005F"/>
    <w:rsid w:val="00980A9A"/>
    <w:rsid w:val="00980C68"/>
    <w:rsid w:val="00980EDF"/>
    <w:rsid w:val="009819D5"/>
    <w:rsid w:val="00981A10"/>
    <w:rsid w:val="00981A75"/>
    <w:rsid w:val="00981F05"/>
    <w:rsid w:val="00982C03"/>
    <w:rsid w:val="00982F7F"/>
    <w:rsid w:val="00983EB1"/>
    <w:rsid w:val="00983ED1"/>
    <w:rsid w:val="00985218"/>
    <w:rsid w:val="0098532D"/>
    <w:rsid w:val="00985A26"/>
    <w:rsid w:val="00986C01"/>
    <w:rsid w:val="009877CF"/>
    <w:rsid w:val="00987E39"/>
    <w:rsid w:val="009907ED"/>
    <w:rsid w:val="00990C2F"/>
    <w:rsid w:val="009916FA"/>
    <w:rsid w:val="00991762"/>
    <w:rsid w:val="00991ABA"/>
    <w:rsid w:val="009928A0"/>
    <w:rsid w:val="0099342B"/>
    <w:rsid w:val="00993B66"/>
    <w:rsid w:val="00993BF5"/>
    <w:rsid w:val="009944AF"/>
    <w:rsid w:val="00994C82"/>
    <w:rsid w:val="009951A0"/>
    <w:rsid w:val="00995801"/>
    <w:rsid w:val="00995A6E"/>
    <w:rsid w:val="009963DC"/>
    <w:rsid w:val="00996F48"/>
    <w:rsid w:val="00997BFC"/>
    <w:rsid w:val="009A0EAD"/>
    <w:rsid w:val="009A135A"/>
    <w:rsid w:val="009A1675"/>
    <w:rsid w:val="009A2F70"/>
    <w:rsid w:val="009A30F9"/>
    <w:rsid w:val="009A3D31"/>
    <w:rsid w:val="009A3DDE"/>
    <w:rsid w:val="009A515F"/>
    <w:rsid w:val="009A5764"/>
    <w:rsid w:val="009A5996"/>
    <w:rsid w:val="009A5D9A"/>
    <w:rsid w:val="009A601D"/>
    <w:rsid w:val="009A6E6E"/>
    <w:rsid w:val="009A6FF2"/>
    <w:rsid w:val="009A7F30"/>
    <w:rsid w:val="009B0F4D"/>
    <w:rsid w:val="009B3821"/>
    <w:rsid w:val="009B3880"/>
    <w:rsid w:val="009B3BD9"/>
    <w:rsid w:val="009B45A0"/>
    <w:rsid w:val="009B4F4B"/>
    <w:rsid w:val="009B54C7"/>
    <w:rsid w:val="009B599E"/>
    <w:rsid w:val="009B5C99"/>
    <w:rsid w:val="009B5E15"/>
    <w:rsid w:val="009B5E85"/>
    <w:rsid w:val="009B6B51"/>
    <w:rsid w:val="009B6F37"/>
    <w:rsid w:val="009B6F9A"/>
    <w:rsid w:val="009B72E2"/>
    <w:rsid w:val="009B7620"/>
    <w:rsid w:val="009B7C10"/>
    <w:rsid w:val="009C1BC1"/>
    <w:rsid w:val="009C22CB"/>
    <w:rsid w:val="009C2D2F"/>
    <w:rsid w:val="009C2F33"/>
    <w:rsid w:val="009C3191"/>
    <w:rsid w:val="009C38A1"/>
    <w:rsid w:val="009C3C75"/>
    <w:rsid w:val="009C475E"/>
    <w:rsid w:val="009C4A33"/>
    <w:rsid w:val="009C4DE0"/>
    <w:rsid w:val="009C539A"/>
    <w:rsid w:val="009C591B"/>
    <w:rsid w:val="009C5966"/>
    <w:rsid w:val="009C6196"/>
    <w:rsid w:val="009C6C97"/>
    <w:rsid w:val="009C72EF"/>
    <w:rsid w:val="009D00A2"/>
    <w:rsid w:val="009D024C"/>
    <w:rsid w:val="009D0374"/>
    <w:rsid w:val="009D075D"/>
    <w:rsid w:val="009D131D"/>
    <w:rsid w:val="009D1494"/>
    <w:rsid w:val="009D19A0"/>
    <w:rsid w:val="009D1CFA"/>
    <w:rsid w:val="009D2ECD"/>
    <w:rsid w:val="009D4BFA"/>
    <w:rsid w:val="009D4D02"/>
    <w:rsid w:val="009D4E6F"/>
    <w:rsid w:val="009D4E8A"/>
    <w:rsid w:val="009D562E"/>
    <w:rsid w:val="009D576F"/>
    <w:rsid w:val="009D583F"/>
    <w:rsid w:val="009D5955"/>
    <w:rsid w:val="009D5DAE"/>
    <w:rsid w:val="009D650D"/>
    <w:rsid w:val="009D68C5"/>
    <w:rsid w:val="009D6980"/>
    <w:rsid w:val="009D71DA"/>
    <w:rsid w:val="009D77DA"/>
    <w:rsid w:val="009E02BE"/>
    <w:rsid w:val="009E1056"/>
    <w:rsid w:val="009E120C"/>
    <w:rsid w:val="009E215B"/>
    <w:rsid w:val="009E2371"/>
    <w:rsid w:val="009E2ADA"/>
    <w:rsid w:val="009E2B93"/>
    <w:rsid w:val="009E2DFD"/>
    <w:rsid w:val="009E3354"/>
    <w:rsid w:val="009E4297"/>
    <w:rsid w:val="009E4A5F"/>
    <w:rsid w:val="009E4B6B"/>
    <w:rsid w:val="009E5D15"/>
    <w:rsid w:val="009E5E5C"/>
    <w:rsid w:val="009E6B41"/>
    <w:rsid w:val="009E6D1F"/>
    <w:rsid w:val="009E77AF"/>
    <w:rsid w:val="009F02CC"/>
    <w:rsid w:val="009F1657"/>
    <w:rsid w:val="009F1A60"/>
    <w:rsid w:val="009F1A84"/>
    <w:rsid w:val="009F1F1C"/>
    <w:rsid w:val="009F1F90"/>
    <w:rsid w:val="009F3334"/>
    <w:rsid w:val="009F3B0B"/>
    <w:rsid w:val="009F412A"/>
    <w:rsid w:val="009F4500"/>
    <w:rsid w:val="009F4FE5"/>
    <w:rsid w:val="009F50CE"/>
    <w:rsid w:val="009F52FF"/>
    <w:rsid w:val="009F58C6"/>
    <w:rsid w:val="009F5D2E"/>
    <w:rsid w:val="009F61A2"/>
    <w:rsid w:val="009F662F"/>
    <w:rsid w:val="009F6BD3"/>
    <w:rsid w:val="009F7500"/>
    <w:rsid w:val="009F79F4"/>
    <w:rsid w:val="009F7E22"/>
    <w:rsid w:val="00A003BE"/>
    <w:rsid w:val="00A00DC9"/>
    <w:rsid w:val="00A0146F"/>
    <w:rsid w:val="00A01AA6"/>
    <w:rsid w:val="00A020DA"/>
    <w:rsid w:val="00A02AA0"/>
    <w:rsid w:val="00A0559F"/>
    <w:rsid w:val="00A066A7"/>
    <w:rsid w:val="00A069EB"/>
    <w:rsid w:val="00A1080F"/>
    <w:rsid w:val="00A10E39"/>
    <w:rsid w:val="00A118D7"/>
    <w:rsid w:val="00A12A55"/>
    <w:rsid w:val="00A12E73"/>
    <w:rsid w:val="00A141E7"/>
    <w:rsid w:val="00A14761"/>
    <w:rsid w:val="00A14B30"/>
    <w:rsid w:val="00A1512C"/>
    <w:rsid w:val="00A15534"/>
    <w:rsid w:val="00A157B3"/>
    <w:rsid w:val="00A15E64"/>
    <w:rsid w:val="00A16449"/>
    <w:rsid w:val="00A17A2D"/>
    <w:rsid w:val="00A17E3D"/>
    <w:rsid w:val="00A20E7E"/>
    <w:rsid w:val="00A21532"/>
    <w:rsid w:val="00A21575"/>
    <w:rsid w:val="00A218FB"/>
    <w:rsid w:val="00A23137"/>
    <w:rsid w:val="00A2400D"/>
    <w:rsid w:val="00A24013"/>
    <w:rsid w:val="00A24093"/>
    <w:rsid w:val="00A2571A"/>
    <w:rsid w:val="00A26579"/>
    <w:rsid w:val="00A26B44"/>
    <w:rsid w:val="00A3016D"/>
    <w:rsid w:val="00A301A3"/>
    <w:rsid w:val="00A30977"/>
    <w:rsid w:val="00A316DE"/>
    <w:rsid w:val="00A31E6D"/>
    <w:rsid w:val="00A322A2"/>
    <w:rsid w:val="00A3260D"/>
    <w:rsid w:val="00A32774"/>
    <w:rsid w:val="00A32970"/>
    <w:rsid w:val="00A32D37"/>
    <w:rsid w:val="00A33152"/>
    <w:rsid w:val="00A33B99"/>
    <w:rsid w:val="00A33FA9"/>
    <w:rsid w:val="00A34713"/>
    <w:rsid w:val="00A34868"/>
    <w:rsid w:val="00A36EF5"/>
    <w:rsid w:val="00A37780"/>
    <w:rsid w:val="00A3781B"/>
    <w:rsid w:val="00A4006D"/>
    <w:rsid w:val="00A40609"/>
    <w:rsid w:val="00A4088B"/>
    <w:rsid w:val="00A40A3F"/>
    <w:rsid w:val="00A41457"/>
    <w:rsid w:val="00A41A46"/>
    <w:rsid w:val="00A424E2"/>
    <w:rsid w:val="00A430F6"/>
    <w:rsid w:val="00A437AE"/>
    <w:rsid w:val="00A43A25"/>
    <w:rsid w:val="00A43EA6"/>
    <w:rsid w:val="00A44159"/>
    <w:rsid w:val="00A44BE9"/>
    <w:rsid w:val="00A4535F"/>
    <w:rsid w:val="00A453A5"/>
    <w:rsid w:val="00A457FF"/>
    <w:rsid w:val="00A45B6F"/>
    <w:rsid w:val="00A46B0F"/>
    <w:rsid w:val="00A4706A"/>
    <w:rsid w:val="00A47090"/>
    <w:rsid w:val="00A478E8"/>
    <w:rsid w:val="00A5012A"/>
    <w:rsid w:val="00A50421"/>
    <w:rsid w:val="00A50998"/>
    <w:rsid w:val="00A51174"/>
    <w:rsid w:val="00A5133C"/>
    <w:rsid w:val="00A519C3"/>
    <w:rsid w:val="00A51EF4"/>
    <w:rsid w:val="00A52EBC"/>
    <w:rsid w:val="00A53607"/>
    <w:rsid w:val="00A5387A"/>
    <w:rsid w:val="00A53A89"/>
    <w:rsid w:val="00A548AD"/>
    <w:rsid w:val="00A54DC8"/>
    <w:rsid w:val="00A54F1D"/>
    <w:rsid w:val="00A54FFE"/>
    <w:rsid w:val="00A55DA0"/>
    <w:rsid w:val="00A5660E"/>
    <w:rsid w:val="00A56E0A"/>
    <w:rsid w:val="00A57B76"/>
    <w:rsid w:val="00A57D5A"/>
    <w:rsid w:val="00A608FE"/>
    <w:rsid w:val="00A6091B"/>
    <w:rsid w:val="00A60A7B"/>
    <w:rsid w:val="00A60E31"/>
    <w:rsid w:val="00A60FD3"/>
    <w:rsid w:val="00A61096"/>
    <w:rsid w:val="00A61849"/>
    <w:rsid w:val="00A619D5"/>
    <w:rsid w:val="00A61EBB"/>
    <w:rsid w:val="00A626EC"/>
    <w:rsid w:val="00A6277B"/>
    <w:rsid w:val="00A646F0"/>
    <w:rsid w:val="00A6553D"/>
    <w:rsid w:val="00A661CF"/>
    <w:rsid w:val="00A6663B"/>
    <w:rsid w:val="00A66C1D"/>
    <w:rsid w:val="00A67474"/>
    <w:rsid w:val="00A67C47"/>
    <w:rsid w:val="00A701C1"/>
    <w:rsid w:val="00A71C0E"/>
    <w:rsid w:val="00A71C58"/>
    <w:rsid w:val="00A724F6"/>
    <w:rsid w:val="00A732B2"/>
    <w:rsid w:val="00A73F55"/>
    <w:rsid w:val="00A74872"/>
    <w:rsid w:val="00A75263"/>
    <w:rsid w:val="00A75A48"/>
    <w:rsid w:val="00A7606D"/>
    <w:rsid w:val="00A76959"/>
    <w:rsid w:val="00A77017"/>
    <w:rsid w:val="00A77B03"/>
    <w:rsid w:val="00A80037"/>
    <w:rsid w:val="00A801B2"/>
    <w:rsid w:val="00A8046D"/>
    <w:rsid w:val="00A8067C"/>
    <w:rsid w:val="00A80F07"/>
    <w:rsid w:val="00A810B4"/>
    <w:rsid w:val="00A81CA5"/>
    <w:rsid w:val="00A825F7"/>
    <w:rsid w:val="00A82918"/>
    <w:rsid w:val="00A82E60"/>
    <w:rsid w:val="00A8300C"/>
    <w:rsid w:val="00A835E0"/>
    <w:rsid w:val="00A84480"/>
    <w:rsid w:val="00A848E1"/>
    <w:rsid w:val="00A8492C"/>
    <w:rsid w:val="00A84CD6"/>
    <w:rsid w:val="00A85662"/>
    <w:rsid w:val="00A85DDA"/>
    <w:rsid w:val="00A85EE5"/>
    <w:rsid w:val="00A86C64"/>
    <w:rsid w:val="00A86C88"/>
    <w:rsid w:val="00A91D1D"/>
    <w:rsid w:val="00A91EE7"/>
    <w:rsid w:val="00A921A7"/>
    <w:rsid w:val="00A922E6"/>
    <w:rsid w:val="00A925D5"/>
    <w:rsid w:val="00A92A8C"/>
    <w:rsid w:val="00A92DF8"/>
    <w:rsid w:val="00A92F22"/>
    <w:rsid w:val="00A9365C"/>
    <w:rsid w:val="00A936A5"/>
    <w:rsid w:val="00A93832"/>
    <w:rsid w:val="00A9423D"/>
    <w:rsid w:val="00A947F8"/>
    <w:rsid w:val="00A9499D"/>
    <w:rsid w:val="00A94E1B"/>
    <w:rsid w:val="00A94F8E"/>
    <w:rsid w:val="00A95715"/>
    <w:rsid w:val="00A95CBE"/>
    <w:rsid w:val="00A96412"/>
    <w:rsid w:val="00A97ECF"/>
    <w:rsid w:val="00AA0380"/>
    <w:rsid w:val="00AA0432"/>
    <w:rsid w:val="00AA0ED0"/>
    <w:rsid w:val="00AA13E7"/>
    <w:rsid w:val="00AA21BC"/>
    <w:rsid w:val="00AA238F"/>
    <w:rsid w:val="00AA289F"/>
    <w:rsid w:val="00AA344F"/>
    <w:rsid w:val="00AA489D"/>
    <w:rsid w:val="00AA4B9D"/>
    <w:rsid w:val="00AA5288"/>
    <w:rsid w:val="00AA563C"/>
    <w:rsid w:val="00AA71FB"/>
    <w:rsid w:val="00AA73E4"/>
    <w:rsid w:val="00AA78F1"/>
    <w:rsid w:val="00AA7D1B"/>
    <w:rsid w:val="00AA7D84"/>
    <w:rsid w:val="00AB01D7"/>
    <w:rsid w:val="00AB0ACF"/>
    <w:rsid w:val="00AB1691"/>
    <w:rsid w:val="00AB17A3"/>
    <w:rsid w:val="00AB22B8"/>
    <w:rsid w:val="00AB2CBD"/>
    <w:rsid w:val="00AB2EEE"/>
    <w:rsid w:val="00AB3798"/>
    <w:rsid w:val="00AB42C9"/>
    <w:rsid w:val="00AB4354"/>
    <w:rsid w:val="00AB44D3"/>
    <w:rsid w:val="00AB45E2"/>
    <w:rsid w:val="00AB4665"/>
    <w:rsid w:val="00AB56C3"/>
    <w:rsid w:val="00AB638C"/>
    <w:rsid w:val="00AB63D7"/>
    <w:rsid w:val="00AB7728"/>
    <w:rsid w:val="00AC053E"/>
    <w:rsid w:val="00AC11E3"/>
    <w:rsid w:val="00AC1511"/>
    <w:rsid w:val="00AC1561"/>
    <w:rsid w:val="00AC2617"/>
    <w:rsid w:val="00AC2888"/>
    <w:rsid w:val="00AC2F46"/>
    <w:rsid w:val="00AC34E3"/>
    <w:rsid w:val="00AC3534"/>
    <w:rsid w:val="00AC39DB"/>
    <w:rsid w:val="00AC5139"/>
    <w:rsid w:val="00AC5486"/>
    <w:rsid w:val="00AC5824"/>
    <w:rsid w:val="00AC6241"/>
    <w:rsid w:val="00AC6A55"/>
    <w:rsid w:val="00AD012A"/>
    <w:rsid w:val="00AD0A78"/>
    <w:rsid w:val="00AD0C93"/>
    <w:rsid w:val="00AD1174"/>
    <w:rsid w:val="00AD14E1"/>
    <w:rsid w:val="00AD158D"/>
    <w:rsid w:val="00AD18D1"/>
    <w:rsid w:val="00AD1A1D"/>
    <w:rsid w:val="00AD1A8F"/>
    <w:rsid w:val="00AD1FDF"/>
    <w:rsid w:val="00AD2A64"/>
    <w:rsid w:val="00AD2C64"/>
    <w:rsid w:val="00AD2E36"/>
    <w:rsid w:val="00AD2F63"/>
    <w:rsid w:val="00AD31A6"/>
    <w:rsid w:val="00AD3CA9"/>
    <w:rsid w:val="00AD483A"/>
    <w:rsid w:val="00AD4E45"/>
    <w:rsid w:val="00AD4FB3"/>
    <w:rsid w:val="00AD5034"/>
    <w:rsid w:val="00AD65B6"/>
    <w:rsid w:val="00AD674A"/>
    <w:rsid w:val="00AD6763"/>
    <w:rsid w:val="00AD699A"/>
    <w:rsid w:val="00AD6ACA"/>
    <w:rsid w:val="00AD7292"/>
    <w:rsid w:val="00AD76D3"/>
    <w:rsid w:val="00AE141A"/>
    <w:rsid w:val="00AE182C"/>
    <w:rsid w:val="00AE250E"/>
    <w:rsid w:val="00AE2ED8"/>
    <w:rsid w:val="00AE336F"/>
    <w:rsid w:val="00AE35EA"/>
    <w:rsid w:val="00AE4008"/>
    <w:rsid w:val="00AE4135"/>
    <w:rsid w:val="00AE4EEC"/>
    <w:rsid w:val="00AE50BE"/>
    <w:rsid w:val="00AE624E"/>
    <w:rsid w:val="00AE63E1"/>
    <w:rsid w:val="00AE678F"/>
    <w:rsid w:val="00AE6888"/>
    <w:rsid w:val="00AE6F18"/>
    <w:rsid w:val="00AE7302"/>
    <w:rsid w:val="00AE779C"/>
    <w:rsid w:val="00AE7AE9"/>
    <w:rsid w:val="00AE7DA8"/>
    <w:rsid w:val="00AF0A46"/>
    <w:rsid w:val="00AF0C5F"/>
    <w:rsid w:val="00AF19F7"/>
    <w:rsid w:val="00AF1F4E"/>
    <w:rsid w:val="00AF220D"/>
    <w:rsid w:val="00AF2434"/>
    <w:rsid w:val="00AF3284"/>
    <w:rsid w:val="00AF41B3"/>
    <w:rsid w:val="00AF527D"/>
    <w:rsid w:val="00AF5441"/>
    <w:rsid w:val="00AF5929"/>
    <w:rsid w:val="00AF5E63"/>
    <w:rsid w:val="00AF67B7"/>
    <w:rsid w:val="00AF684E"/>
    <w:rsid w:val="00AF68B7"/>
    <w:rsid w:val="00AF6E85"/>
    <w:rsid w:val="00AF6F5F"/>
    <w:rsid w:val="00AF7131"/>
    <w:rsid w:val="00AF7335"/>
    <w:rsid w:val="00AF7D9D"/>
    <w:rsid w:val="00B01EEE"/>
    <w:rsid w:val="00B0221E"/>
    <w:rsid w:val="00B025AE"/>
    <w:rsid w:val="00B02D5C"/>
    <w:rsid w:val="00B03651"/>
    <w:rsid w:val="00B03916"/>
    <w:rsid w:val="00B03FBB"/>
    <w:rsid w:val="00B04928"/>
    <w:rsid w:val="00B0496E"/>
    <w:rsid w:val="00B05562"/>
    <w:rsid w:val="00B06773"/>
    <w:rsid w:val="00B06ECF"/>
    <w:rsid w:val="00B07FF4"/>
    <w:rsid w:val="00B10C9E"/>
    <w:rsid w:val="00B113A4"/>
    <w:rsid w:val="00B11858"/>
    <w:rsid w:val="00B11CAB"/>
    <w:rsid w:val="00B120F7"/>
    <w:rsid w:val="00B1282A"/>
    <w:rsid w:val="00B12DAC"/>
    <w:rsid w:val="00B130CC"/>
    <w:rsid w:val="00B1397D"/>
    <w:rsid w:val="00B139D7"/>
    <w:rsid w:val="00B13EE9"/>
    <w:rsid w:val="00B1476D"/>
    <w:rsid w:val="00B14839"/>
    <w:rsid w:val="00B15D72"/>
    <w:rsid w:val="00B15E1E"/>
    <w:rsid w:val="00B160CC"/>
    <w:rsid w:val="00B16ACE"/>
    <w:rsid w:val="00B16DA8"/>
    <w:rsid w:val="00B2024B"/>
    <w:rsid w:val="00B20878"/>
    <w:rsid w:val="00B21359"/>
    <w:rsid w:val="00B21700"/>
    <w:rsid w:val="00B21BB0"/>
    <w:rsid w:val="00B21BB2"/>
    <w:rsid w:val="00B21C93"/>
    <w:rsid w:val="00B22677"/>
    <w:rsid w:val="00B2284C"/>
    <w:rsid w:val="00B241B5"/>
    <w:rsid w:val="00B24EE9"/>
    <w:rsid w:val="00B24F8B"/>
    <w:rsid w:val="00B255F6"/>
    <w:rsid w:val="00B26797"/>
    <w:rsid w:val="00B304C7"/>
    <w:rsid w:val="00B306AC"/>
    <w:rsid w:val="00B317F1"/>
    <w:rsid w:val="00B31CC5"/>
    <w:rsid w:val="00B324E0"/>
    <w:rsid w:val="00B32A0D"/>
    <w:rsid w:val="00B32A3F"/>
    <w:rsid w:val="00B32A6B"/>
    <w:rsid w:val="00B32B82"/>
    <w:rsid w:val="00B32DDF"/>
    <w:rsid w:val="00B32F85"/>
    <w:rsid w:val="00B337A5"/>
    <w:rsid w:val="00B33DB2"/>
    <w:rsid w:val="00B33F0A"/>
    <w:rsid w:val="00B34368"/>
    <w:rsid w:val="00B3579C"/>
    <w:rsid w:val="00B36F03"/>
    <w:rsid w:val="00B36F0B"/>
    <w:rsid w:val="00B37062"/>
    <w:rsid w:val="00B373B7"/>
    <w:rsid w:val="00B379E6"/>
    <w:rsid w:val="00B37A74"/>
    <w:rsid w:val="00B37CFB"/>
    <w:rsid w:val="00B41CE7"/>
    <w:rsid w:val="00B42155"/>
    <w:rsid w:val="00B43B6E"/>
    <w:rsid w:val="00B43E84"/>
    <w:rsid w:val="00B44693"/>
    <w:rsid w:val="00B44B05"/>
    <w:rsid w:val="00B44E29"/>
    <w:rsid w:val="00B45807"/>
    <w:rsid w:val="00B45871"/>
    <w:rsid w:val="00B45E50"/>
    <w:rsid w:val="00B462AD"/>
    <w:rsid w:val="00B4683C"/>
    <w:rsid w:val="00B46991"/>
    <w:rsid w:val="00B47127"/>
    <w:rsid w:val="00B47179"/>
    <w:rsid w:val="00B471A4"/>
    <w:rsid w:val="00B471EE"/>
    <w:rsid w:val="00B471F7"/>
    <w:rsid w:val="00B47DA3"/>
    <w:rsid w:val="00B51426"/>
    <w:rsid w:val="00B51F31"/>
    <w:rsid w:val="00B52139"/>
    <w:rsid w:val="00B5291F"/>
    <w:rsid w:val="00B52BAA"/>
    <w:rsid w:val="00B533C4"/>
    <w:rsid w:val="00B53BDB"/>
    <w:rsid w:val="00B53C0E"/>
    <w:rsid w:val="00B53E42"/>
    <w:rsid w:val="00B550F5"/>
    <w:rsid w:val="00B55322"/>
    <w:rsid w:val="00B555B0"/>
    <w:rsid w:val="00B55988"/>
    <w:rsid w:val="00B55F8D"/>
    <w:rsid w:val="00B5620B"/>
    <w:rsid w:val="00B603D4"/>
    <w:rsid w:val="00B60C41"/>
    <w:rsid w:val="00B61223"/>
    <w:rsid w:val="00B61562"/>
    <w:rsid w:val="00B61807"/>
    <w:rsid w:val="00B6227C"/>
    <w:rsid w:val="00B6261A"/>
    <w:rsid w:val="00B62939"/>
    <w:rsid w:val="00B6314D"/>
    <w:rsid w:val="00B631D3"/>
    <w:rsid w:val="00B64E54"/>
    <w:rsid w:val="00B65848"/>
    <w:rsid w:val="00B65A25"/>
    <w:rsid w:val="00B65DF2"/>
    <w:rsid w:val="00B661F5"/>
    <w:rsid w:val="00B66AE6"/>
    <w:rsid w:val="00B66BFC"/>
    <w:rsid w:val="00B66E8F"/>
    <w:rsid w:val="00B67492"/>
    <w:rsid w:val="00B675B0"/>
    <w:rsid w:val="00B67714"/>
    <w:rsid w:val="00B67CBB"/>
    <w:rsid w:val="00B7078B"/>
    <w:rsid w:val="00B71AFA"/>
    <w:rsid w:val="00B71BEA"/>
    <w:rsid w:val="00B727F3"/>
    <w:rsid w:val="00B731E9"/>
    <w:rsid w:val="00B736EF"/>
    <w:rsid w:val="00B744A6"/>
    <w:rsid w:val="00B75264"/>
    <w:rsid w:val="00B763EB"/>
    <w:rsid w:val="00B76408"/>
    <w:rsid w:val="00B7657E"/>
    <w:rsid w:val="00B7687F"/>
    <w:rsid w:val="00B76C36"/>
    <w:rsid w:val="00B76E22"/>
    <w:rsid w:val="00B77A8A"/>
    <w:rsid w:val="00B80D4B"/>
    <w:rsid w:val="00B817E9"/>
    <w:rsid w:val="00B81835"/>
    <w:rsid w:val="00B82063"/>
    <w:rsid w:val="00B822D7"/>
    <w:rsid w:val="00B82757"/>
    <w:rsid w:val="00B83434"/>
    <w:rsid w:val="00B83C3B"/>
    <w:rsid w:val="00B83D12"/>
    <w:rsid w:val="00B847E1"/>
    <w:rsid w:val="00B84B4B"/>
    <w:rsid w:val="00B85400"/>
    <w:rsid w:val="00B85F14"/>
    <w:rsid w:val="00B8664B"/>
    <w:rsid w:val="00B86669"/>
    <w:rsid w:val="00B866FE"/>
    <w:rsid w:val="00B867D9"/>
    <w:rsid w:val="00B869EA"/>
    <w:rsid w:val="00B879F3"/>
    <w:rsid w:val="00B90BD1"/>
    <w:rsid w:val="00B90EC5"/>
    <w:rsid w:val="00B90FB2"/>
    <w:rsid w:val="00B919B4"/>
    <w:rsid w:val="00B91B0F"/>
    <w:rsid w:val="00B91D0A"/>
    <w:rsid w:val="00B91F25"/>
    <w:rsid w:val="00B92145"/>
    <w:rsid w:val="00B9246B"/>
    <w:rsid w:val="00B92961"/>
    <w:rsid w:val="00B93836"/>
    <w:rsid w:val="00B93C11"/>
    <w:rsid w:val="00B93C99"/>
    <w:rsid w:val="00B93D1C"/>
    <w:rsid w:val="00B93D22"/>
    <w:rsid w:val="00B940C7"/>
    <w:rsid w:val="00B94211"/>
    <w:rsid w:val="00B9456F"/>
    <w:rsid w:val="00B94634"/>
    <w:rsid w:val="00B95B1A"/>
    <w:rsid w:val="00B9689C"/>
    <w:rsid w:val="00B968CE"/>
    <w:rsid w:val="00B9770A"/>
    <w:rsid w:val="00B97C88"/>
    <w:rsid w:val="00BA0C4D"/>
    <w:rsid w:val="00BA0DBE"/>
    <w:rsid w:val="00BA1944"/>
    <w:rsid w:val="00BA1C28"/>
    <w:rsid w:val="00BA1CAE"/>
    <w:rsid w:val="00BA4613"/>
    <w:rsid w:val="00BA47E8"/>
    <w:rsid w:val="00BA4945"/>
    <w:rsid w:val="00BA4F17"/>
    <w:rsid w:val="00BA51B1"/>
    <w:rsid w:val="00BA5235"/>
    <w:rsid w:val="00BA52F4"/>
    <w:rsid w:val="00BA5A24"/>
    <w:rsid w:val="00BA5A8C"/>
    <w:rsid w:val="00BA61CA"/>
    <w:rsid w:val="00BA62DF"/>
    <w:rsid w:val="00BA733F"/>
    <w:rsid w:val="00BA7389"/>
    <w:rsid w:val="00BB0081"/>
    <w:rsid w:val="00BB0502"/>
    <w:rsid w:val="00BB101F"/>
    <w:rsid w:val="00BB2116"/>
    <w:rsid w:val="00BB228B"/>
    <w:rsid w:val="00BB252F"/>
    <w:rsid w:val="00BB2993"/>
    <w:rsid w:val="00BB2DE9"/>
    <w:rsid w:val="00BB3711"/>
    <w:rsid w:val="00BB3EC7"/>
    <w:rsid w:val="00BB4458"/>
    <w:rsid w:val="00BB45EE"/>
    <w:rsid w:val="00BB4FE6"/>
    <w:rsid w:val="00BB5B79"/>
    <w:rsid w:val="00BB5DE9"/>
    <w:rsid w:val="00BB647E"/>
    <w:rsid w:val="00BB685D"/>
    <w:rsid w:val="00BB6D9B"/>
    <w:rsid w:val="00BB7615"/>
    <w:rsid w:val="00BC0045"/>
    <w:rsid w:val="00BC066C"/>
    <w:rsid w:val="00BC1001"/>
    <w:rsid w:val="00BC136E"/>
    <w:rsid w:val="00BC1371"/>
    <w:rsid w:val="00BC1652"/>
    <w:rsid w:val="00BC2A60"/>
    <w:rsid w:val="00BC2EF9"/>
    <w:rsid w:val="00BC466B"/>
    <w:rsid w:val="00BC4ECA"/>
    <w:rsid w:val="00BC5431"/>
    <w:rsid w:val="00BC56E7"/>
    <w:rsid w:val="00BC5ECC"/>
    <w:rsid w:val="00BC638D"/>
    <w:rsid w:val="00BC6A61"/>
    <w:rsid w:val="00BC6D68"/>
    <w:rsid w:val="00BC73A8"/>
    <w:rsid w:val="00BC7DD2"/>
    <w:rsid w:val="00BD00EC"/>
    <w:rsid w:val="00BD05D2"/>
    <w:rsid w:val="00BD1797"/>
    <w:rsid w:val="00BD1DE7"/>
    <w:rsid w:val="00BD241B"/>
    <w:rsid w:val="00BD2B12"/>
    <w:rsid w:val="00BD2F25"/>
    <w:rsid w:val="00BD3159"/>
    <w:rsid w:val="00BD38AE"/>
    <w:rsid w:val="00BD5517"/>
    <w:rsid w:val="00BD552C"/>
    <w:rsid w:val="00BD5790"/>
    <w:rsid w:val="00BD5A20"/>
    <w:rsid w:val="00BD6E24"/>
    <w:rsid w:val="00BD7096"/>
    <w:rsid w:val="00BD7B7B"/>
    <w:rsid w:val="00BD7F6A"/>
    <w:rsid w:val="00BE00C3"/>
    <w:rsid w:val="00BE11A7"/>
    <w:rsid w:val="00BE2870"/>
    <w:rsid w:val="00BE33DE"/>
    <w:rsid w:val="00BE37BD"/>
    <w:rsid w:val="00BE408D"/>
    <w:rsid w:val="00BE4DCC"/>
    <w:rsid w:val="00BE5944"/>
    <w:rsid w:val="00BE5ADB"/>
    <w:rsid w:val="00BE5BE0"/>
    <w:rsid w:val="00BE5D82"/>
    <w:rsid w:val="00BE62E0"/>
    <w:rsid w:val="00BE7593"/>
    <w:rsid w:val="00BF0294"/>
    <w:rsid w:val="00BF0387"/>
    <w:rsid w:val="00BF1212"/>
    <w:rsid w:val="00BF1399"/>
    <w:rsid w:val="00BF211D"/>
    <w:rsid w:val="00BF38C2"/>
    <w:rsid w:val="00BF3E3F"/>
    <w:rsid w:val="00BF3EB1"/>
    <w:rsid w:val="00BF4D2B"/>
    <w:rsid w:val="00BF4F06"/>
    <w:rsid w:val="00BF4F15"/>
    <w:rsid w:val="00BF5D0B"/>
    <w:rsid w:val="00BF5FF1"/>
    <w:rsid w:val="00BF6428"/>
    <w:rsid w:val="00BF691D"/>
    <w:rsid w:val="00BF7053"/>
    <w:rsid w:val="00BF75BE"/>
    <w:rsid w:val="00BF7FE4"/>
    <w:rsid w:val="00C002A4"/>
    <w:rsid w:val="00C0041C"/>
    <w:rsid w:val="00C0068C"/>
    <w:rsid w:val="00C01288"/>
    <w:rsid w:val="00C01CE3"/>
    <w:rsid w:val="00C025C1"/>
    <w:rsid w:val="00C02971"/>
    <w:rsid w:val="00C03378"/>
    <w:rsid w:val="00C03F4D"/>
    <w:rsid w:val="00C043FF"/>
    <w:rsid w:val="00C0481F"/>
    <w:rsid w:val="00C04976"/>
    <w:rsid w:val="00C05046"/>
    <w:rsid w:val="00C059C7"/>
    <w:rsid w:val="00C05BC5"/>
    <w:rsid w:val="00C05E2C"/>
    <w:rsid w:val="00C063D1"/>
    <w:rsid w:val="00C06A63"/>
    <w:rsid w:val="00C074D1"/>
    <w:rsid w:val="00C07E22"/>
    <w:rsid w:val="00C1005E"/>
    <w:rsid w:val="00C10AEE"/>
    <w:rsid w:val="00C10EDD"/>
    <w:rsid w:val="00C10FFC"/>
    <w:rsid w:val="00C11994"/>
    <w:rsid w:val="00C120B0"/>
    <w:rsid w:val="00C1213F"/>
    <w:rsid w:val="00C12244"/>
    <w:rsid w:val="00C12561"/>
    <w:rsid w:val="00C13E49"/>
    <w:rsid w:val="00C14618"/>
    <w:rsid w:val="00C14662"/>
    <w:rsid w:val="00C14710"/>
    <w:rsid w:val="00C14A78"/>
    <w:rsid w:val="00C14C1B"/>
    <w:rsid w:val="00C14D78"/>
    <w:rsid w:val="00C15B31"/>
    <w:rsid w:val="00C165CE"/>
    <w:rsid w:val="00C16724"/>
    <w:rsid w:val="00C174E9"/>
    <w:rsid w:val="00C175A9"/>
    <w:rsid w:val="00C17CDB"/>
    <w:rsid w:val="00C20122"/>
    <w:rsid w:val="00C20E93"/>
    <w:rsid w:val="00C20F0A"/>
    <w:rsid w:val="00C21F80"/>
    <w:rsid w:val="00C221CC"/>
    <w:rsid w:val="00C2281C"/>
    <w:rsid w:val="00C22A1A"/>
    <w:rsid w:val="00C22A27"/>
    <w:rsid w:val="00C23A40"/>
    <w:rsid w:val="00C24310"/>
    <w:rsid w:val="00C24A04"/>
    <w:rsid w:val="00C2589C"/>
    <w:rsid w:val="00C25A55"/>
    <w:rsid w:val="00C25D66"/>
    <w:rsid w:val="00C26260"/>
    <w:rsid w:val="00C26C77"/>
    <w:rsid w:val="00C271D1"/>
    <w:rsid w:val="00C27B92"/>
    <w:rsid w:val="00C30A0C"/>
    <w:rsid w:val="00C3137B"/>
    <w:rsid w:val="00C31DBF"/>
    <w:rsid w:val="00C31FF2"/>
    <w:rsid w:val="00C327EB"/>
    <w:rsid w:val="00C33405"/>
    <w:rsid w:val="00C35FA5"/>
    <w:rsid w:val="00C361E6"/>
    <w:rsid w:val="00C3623C"/>
    <w:rsid w:val="00C36AD8"/>
    <w:rsid w:val="00C36B15"/>
    <w:rsid w:val="00C36DB0"/>
    <w:rsid w:val="00C371D7"/>
    <w:rsid w:val="00C405EA"/>
    <w:rsid w:val="00C418AF"/>
    <w:rsid w:val="00C41A95"/>
    <w:rsid w:val="00C41E4B"/>
    <w:rsid w:val="00C42194"/>
    <w:rsid w:val="00C42E05"/>
    <w:rsid w:val="00C438F2"/>
    <w:rsid w:val="00C44A88"/>
    <w:rsid w:val="00C453A8"/>
    <w:rsid w:val="00C45494"/>
    <w:rsid w:val="00C45A73"/>
    <w:rsid w:val="00C45D54"/>
    <w:rsid w:val="00C45D74"/>
    <w:rsid w:val="00C465CB"/>
    <w:rsid w:val="00C4686F"/>
    <w:rsid w:val="00C46DF8"/>
    <w:rsid w:val="00C50E90"/>
    <w:rsid w:val="00C51166"/>
    <w:rsid w:val="00C51774"/>
    <w:rsid w:val="00C51BF3"/>
    <w:rsid w:val="00C51D6F"/>
    <w:rsid w:val="00C51F3A"/>
    <w:rsid w:val="00C52EF0"/>
    <w:rsid w:val="00C53876"/>
    <w:rsid w:val="00C5421F"/>
    <w:rsid w:val="00C54330"/>
    <w:rsid w:val="00C546B8"/>
    <w:rsid w:val="00C548A5"/>
    <w:rsid w:val="00C54DB7"/>
    <w:rsid w:val="00C554EC"/>
    <w:rsid w:val="00C556B0"/>
    <w:rsid w:val="00C55B94"/>
    <w:rsid w:val="00C5693D"/>
    <w:rsid w:val="00C57054"/>
    <w:rsid w:val="00C573F4"/>
    <w:rsid w:val="00C60977"/>
    <w:rsid w:val="00C60CCC"/>
    <w:rsid w:val="00C612F6"/>
    <w:rsid w:val="00C6250C"/>
    <w:rsid w:val="00C62D58"/>
    <w:rsid w:val="00C63743"/>
    <w:rsid w:val="00C639D0"/>
    <w:rsid w:val="00C63AC4"/>
    <w:rsid w:val="00C63B94"/>
    <w:rsid w:val="00C64C66"/>
    <w:rsid w:val="00C64CAA"/>
    <w:rsid w:val="00C65366"/>
    <w:rsid w:val="00C656F0"/>
    <w:rsid w:val="00C658F5"/>
    <w:rsid w:val="00C672AF"/>
    <w:rsid w:val="00C674CD"/>
    <w:rsid w:val="00C67AD0"/>
    <w:rsid w:val="00C67CAC"/>
    <w:rsid w:val="00C7035A"/>
    <w:rsid w:val="00C70A96"/>
    <w:rsid w:val="00C71730"/>
    <w:rsid w:val="00C72605"/>
    <w:rsid w:val="00C72CF7"/>
    <w:rsid w:val="00C72DEE"/>
    <w:rsid w:val="00C73513"/>
    <w:rsid w:val="00C7380D"/>
    <w:rsid w:val="00C74720"/>
    <w:rsid w:val="00C74D11"/>
    <w:rsid w:val="00C74E50"/>
    <w:rsid w:val="00C7500A"/>
    <w:rsid w:val="00C76A9D"/>
    <w:rsid w:val="00C771A2"/>
    <w:rsid w:val="00C77357"/>
    <w:rsid w:val="00C804FA"/>
    <w:rsid w:val="00C80802"/>
    <w:rsid w:val="00C811B9"/>
    <w:rsid w:val="00C81698"/>
    <w:rsid w:val="00C81E31"/>
    <w:rsid w:val="00C82709"/>
    <w:rsid w:val="00C8281F"/>
    <w:rsid w:val="00C82B9D"/>
    <w:rsid w:val="00C82BB0"/>
    <w:rsid w:val="00C82CE9"/>
    <w:rsid w:val="00C8326D"/>
    <w:rsid w:val="00C846A5"/>
    <w:rsid w:val="00C847BC"/>
    <w:rsid w:val="00C855FA"/>
    <w:rsid w:val="00C85E7D"/>
    <w:rsid w:val="00C85E81"/>
    <w:rsid w:val="00C86509"/>
    <w:rsid w:val="00C901E9"/>
    <w:rsid w:val="00C9035B"/>
    <w:rsid w:val="00C9076A"/>
    <w:rsid w:val="00C90E2F"/>
    <w:rsid w:val="00C914D0"/>
    <w:rsid w:val="00C9242C"/>
    <w:rsid w:val="00C92C18"/>
    <w:rsid w:val="00C93073"/>
    <w:rsid w:val="00C93450"/>
    <w:rsid w:val="00C934EA"/>
    <w:rsid w:val="00C935FA"/>
    <w:rsid w:val="00C937D0"/>
    <w:rsid w:val="00C93E53"/>
    <w:rsid w:val="00C955C9"/>
    <w:rsid w:val="00C963F3"/>
    <w:rsid w:val="00C9689B"/>
    <w:rsid w:val="00CA0251"/>
    <w:rsid w:val="00CA0D25"/>
    <w:rsid w:val="00CA0EFD"/>
    <w:rsid w:val="00CA16BA"/>
    <w:rsid w:val="00CA1BA3"/>
    <w:rsid w:val="00CA1BCC"/>
    <w:rsid w:val="00CA210F"/>
    <w:rsid w:val="00CA2269"/>
    <w:rsid w:val="00CA3121"/>
    <w:rsid w:val="00CA32BD"/>
    <w:rsid w:val="00CA3498"/>
    <w:rsid w:val="00CA4022"/>
    <w:rsid w:val="00CA4E1D"/>
    <w:rsid w:val="00CA5299"/>
    <w:rsid w:val="00CA5904"/>
    <w:rsid w:val="00CA5BF8"/>
    <w:rsid w:val="00CA5CDC"/>
    <w:rsid w:val="00CA62A7"/>
    <w:rsid w:val="00CA6EF4"/>
    <w:rsid w:val="00CA7365"/>
    <w:rsid w:val="00CA7CA5"/>
    <w:rsid w:val="00CA7EAA"/>
    <w:rsid w:val="00CB021A"/>
    <w:rsid w:val="00CB04ED"/>
    <w:rsid w:val="00CB06D3"/>
    <w:rsid w:val="00CB0CD8"/>
    <w:rsid w:val="00CB1830"/>
    <w:rsid w:val="00CB190E"/>
    <w:rsid w:val="00CB220D"/>
    <w:rsid w:val="00CB25FA"/>
    <w:rsid w:val="00CB2A30"/>
    <w:rsid w:val="00CB2C2A"/>
    <w:rsid w:val="00CB2C38"/>
    <w:rsid w:val="00CB2EB2"/>
    <w:rsid w:val="00CB34E5"/>
    <w:rsid w:val="00CB34FE"/>
    <w:rsid w:val="00CB4D96"/>
    <w:rsid w:val="00CB55A4"/>
    <w:rsid w:val="00CB6AC1"/>
    <w:rsid w:val="00CB72A6"/>
    <w:rsid w:val="00CB7C30"/>
    <w:rsid w:val="00CC03D4"/>
    <w:rsid w:val="00CC061B"/>
    <w:rsid w:val="00CC0D44"/>
    <w:rsid w:val="00CC1BDE"/>
    <w:rsid w:val="00CC1D36"/>
    <w:rsid w:val="00CC263C"/>
    <w:rsid w:val="00CC33B0"/>
    <w:rsid w:val="00CC4193"/>
    <w:rsid w:val="00CC4D6F"/>
    <w:rsid w:val="00CC522F"/>
    <w:rsid w:val="00CC5DB1"/>
    <w:rsid w:val="00CC631F"/>
    <w:rsid w:val="00CC6673"/>
    <w:rsid w:val="00CC680B"/>
    <w:rsid w:val="00CC693A"/>
    <w:rsid w:val="00CC6EE0"/>
    <w:rsid w:val="00CC78A9"/>
    <w:rsid w:val="00CC7981"/>
    <w:rsid w:val="00CD02F6"/>
    <w:rsid w:val="00CD2227"/>
    <w:rsid w:val="00CD23E8"/>
    <w:rsid w:val="00CD2C69"/>
    <w:rsid w:val="00CD38E7"/>
    <w:rsid w:val="00CD3C7D"/>
    <w:rsid w:val="00CD4016"/>
    <w:rsid w:val="00CD4811"/>
    <w:rsid w:val="00CD54D8"/>
    <w:rsid w:val="00CD6C14"/>
    <w:rsid w:val="00CD780B"/>
    <w:rsid w:val="00CE001E"/>
    <w:rsid w:val="00CE0210"/>
    <w:rsid w:val="00CE02C1"/>
    <w:rsid w:val="00CE0558"/>
    <w:rsid w:val="00CE07E6"/>
    <w:rsid w:val="00CE1D6D"/>
    <w:rsid w:val="00CE1E1C"/>
    <w:rsid w:val="00CE1EF5"/>
    <w:rsid w:val="00CE2125"/>
    <w:rsid w:val="00CE251B"/>
    <w:rsid w:val="00CE2E49"/>
    <w:rsid w:val="00CE3D05"/>
    <w:rsid w:val="00CE4172"/>
    <w:rsid w:val="00CE42DA"/>
    <w:rsid w:val="00CE452B"/>
    <w:rsid w:val="00CE45D6"/>
    <w:rsid w:val="00CE4DD8"/>
    <w:rsid w:val="00CE5946"/>
    <w:rsid w:val="00CE6F4B"/>
    <w:rsid w:val="00CE7CC4"/>
    <w:rsid w:val="00CF0694"/>
    <w:rsid w:val="00CF13AB"/>
    <w:rsid w:val="00CF1BE7"/>
    <w:rsid w:val="00CF1E7F"/>
    <w:rsid w:val="00CF40C7"/>
    <w:rsid w:val="00CF41D9"/>
    <w:rsid w:val="00CF4817"/>
    <w:rsid w:val="00CF4C31"/>
    <w:rsid w:val="00CF4CF3"/>
    <w:rsid w:val="00CF5154"/>
    <w:rsid w:val="00CF54C2"/>
    <w:rsid w:val="00CF5EAC"/>
    <w:rsid w:val="00CF6A78"/>
    <w:rsid w:val="00CF7091"/>
    <w:rsid w:val="00CF7860"/>
    <w:rsid w:val="00CF7CD4"/>
    <w:rsid w:val="00CF7D9A"/>
    <w:rsid w:val="00D00702"/>
    <w:rsid w:val="00D00D89"/>
    <w:rsid w:val="00D00F3F"/>
    <w:rsid w:val="00D013CC"/>
    <w:rsid w:val="00D01408"/>
    <w:rsid w:val="00D01A6F"/>
    <w:rsid w:val="00D01ACB"/>
    <w:rsid w:val="00D02029"/>
    <w:rsid w:val="00D0351B"/>
    <w:rsid w:val="00D04255"/>
    <w:rsid w:val="00D043AC"/>
    <w:rsid w:val="00D046E8"/>
    <w:rsid w:val="00D04D43"/>
    <w:rsid w:val="00D0563A"/>
    <w:rsid w:val="00D0567C"/>
    <w:rsid w:val="00D06DAD"/>
    <w:rsid w:val="00D06F6B"/>
    <w:rsid w:val="00D0777C"/>
    <w:rsid w:val="00D116AF"/>
    <w:rsid w:val="00D1207C"/>
    <w:rsid w:val="00D1360E"/>
    <w:rsid w:val="00D140FE"/>
    <w:rsid w:val="00D156DE"/>
    <w:rsid w:val="00D15E62"/>
    <w:rsid w:val="00D16A9F"/>
    <w:rsid w:val="00D17433"/>
    <w:rsid w:val="00D1795C"/>
    <w:rsid w:val="00D20D61"/>
    <w:rsid w:val="00D20E6D"/>
    <w:rsid w:val="00D20EF6"/>
    <w:rsid w:val="00D213A5"/>
    <w:rsid w:val="00D2165F"/>
    <w:rsid w:val="00D21A3A"/>
    <w:rsid w:val="00D21D4D"/>
    <w:rsid w:val="00D22279"/>
    <w:rsid w:val="00D227BB"/>
    <w:rsid w:val="00D22C5D"/>
    <w:rsid w:val="00D22FF3"/>
    <w:rsid w:val="00D231A9"/>
    <w:rsid w:val="00D2354E"/>
    <w:rsid w:val="00D237AB"/>
    <w:rsid w:val="00D23AD8"/>
    <w:rsid w:val="00D23CD8"/>
    <w:rsid w:val="00D23D44"/>
    <w:rsid w:val="00D240DB"/>
    <w:rsid w:val="00D24DE1"/>
    <w:rsid w:val="00D253C3"/>
    <w:rsid w:val="00D25588"/>
    <w:rsid w:val="00D25626"/>
    <w:rsid w:val="00D26463"/>
    <w:rsid w:val="00D2648C"/>
    <w:rsid w:val="00D266AA"/>
    <w:rsid w:val="00D27131"/>
    <w:rsid w:val="00D3082B"/>
    <w:rsid w:val="00D30A0B"/>
    <w:rsid w:val="00D30BC7"/>
    <w:rsid w:val="00D30D9C"/>
    <w:rsid w:val="00D30E5E"/>
    <w:rsid w:val="00D3177A"/>
    <w:rsid w:val="00D31BE7"/>
    <w:rsid w:val="00D322F9"/>
    <w:rsid w:val="00D32979"/>
    <w:rsid w:val="00D33074"/>
    <w:rsid w:val="00D3367C"/>
    <w:rsid w:val="00D33856"/>
    <w:rsid w:val="00D33871"/>
    <w:rsid w:val="00D34FED"/>
    <w:rsid w:val="00D35771"/>
    <w:rsid w:val="00D35B68"/>
    <w:rsid w:val="00D35D40"/>
    <w:rsid w:val="00D36FEA"/>
    <w:rsid w:val="00D3725F"/>
    <w:rsid w:val="00D37271"/>
    <w:rsid w:val="00D378F8"/>
    <w:rsid w:val="00D37C3A"/>
    <w:rsid w:val="00D40120"/>
    <w:rsid w:val="00D4035E"/>
    <w:rsid w:val="00D40535"/>
    <w:rsid w:val="00D4055B"/>
    <w:rsid w:val="00D405C4"/>
    <w:rsid w:val="00D40A46"/>
    <w:rsid w:val="00D40B00"/>
    <w:rsid w:val="00D40DE7"/>
    <w:rsid w:val="00D40F49"/>
    <w:rsid w:val="00D41198"/>
    <w:rsid w:val="00D4192C"/>
    <w:rsid w:val="00D41999"/>
    <w:rsid w:val="00D41FFA"/>
    <w:rsid w:val="00D43135"/>
    <w:rsid w:val="00D435FA"/>
    <w:rsid w:val="00D442C4"/>
    <w:rsid w:val="00D44794"/>
    <w:rsid w:val="00D44F16"/>
    <w:rsid w:val="00D45638"/>
    <w:rsid w:val="00D475B9"/>
    <w:rsid w:val="00D50700"/>
    <w:rsid w:val="00D50909"/>
    <w:rsid w:val="00D50ED6"/>
    <w:rsid w:val="00D5132C"/>
    <w:rsid w:val="00D513A3"/>
    <w:rsid w:val="00D51719"/>
    <w:rsid w:val="00D523F3"/>
    <w:rsid w:val="00D52A79"/>
    <w:rsid w:val="00D53548"/>
    <w:rsid w:val="00D53635"/>
    <w:rsid w:val="00D543AB"/>
    <w:rsid w:val="00D54650"/>
    <w:rsid w:val="00D54660"/>
    <w:rsid w:val="00D54791"/>
    <w:rsid w:val="00D548CF"/>
    <w:rsid w:val="00D5537A"/>
    <w:rsid w:val="00D55C55"/>
    <w:rsid w:val="00D55F6C"/>
    <w:rsid w:val="00D55FCE"/>
    <w:rsid w:val="00D5658C"/>
    <w:rsid w:val="00D57AE8"/>
    <w:rsid w:val="00D57B54"/>
    <w:rsid w:val="00D57CD8"/>
    <w:rsid w:val="00D60588"/>
    <w:rsid w:val="00D6193F"/>
    <w:rsid w:val="00D61C92"/>
    <w:rsid w:val="00D61FAB"/>
    <w:rsid w:val="00D621FC"/>
    <w:rsid w:val="00D622DA"/>
    <w:rsid w:val="00D62B07"/>
    <w:rsid w:val="00D63837"/>
    <w:rsid w:val="00D63D85"/>
    <w:rsid w:val="00D63DB5"/>
    <w:rsid w:val="00D6427B"/>
    <w:rsid w:val="00D65D3F"/>
    <w:rsid w:val="00D660E6"/>
    <w:rsid w:val="00D67100"/>
    <w:rsid w:val="00D67BF6"/>
    <w:rsid w:val="00D71403"/>
    <w:rsid w:val="00D71755"/>
    <w:rsid w:val="00D717FC"/>
    <w:rsid w:val="00D71C02"/>
    <w:rsid w:val="00D72AE8"/>
    <w:rsid w:val="00D72EC9"/>
    <w:rsid w:val="00D72FF1"/>
    <w:rsid w:val="00D73B1F"/>
    <w:rsid w:val="00D73D8B"/>
    <w:rsid w:val="00D745F3"/>
    <w:rsid w:val="00D7478B"/>
    <w:rsid w:val="00D74A0E"/>
    <w:rsid w:val="00D754E5"/>
    <w:rsid w:val="00D75B72"/>
    <w:rsid w:val="00D77702"/>
    <w:rsid w:val="00D82362"/>
    <w:rsid w:val="00D82D52"/>
    <w:rsid w:val="00D82E68"/>
    <w:rsid w:val="00D82FC6"/>
    <w:rsid w:val="00D83B91"/>
    <w:rsid w:val="00D840CC"/>
    <w:rsid w:val="00D84791"/>
    <w:rsid w:val="00D86AB0"/>
    <w:rsid w:val="00D86C7D"/>
    <w:rsid w:val="00D87279"/>
    <w:rsid w:val="00D87A8B"/>
    <w:rsid w:val="00D87C37"/>
    <w:rsid w:val="00D87E6D"/>
    <w:rsid w:val="00D90756"/>
    <w:rsid w:val="00D91194"/>
    <w:rsid w:val="00D91B91"/>
    <w:rsid w:val="00D92091"/>
    <w:rsid w:val="00D923D0"/>
    <w:rsid w:val="00D92493"/>
    <w:rsid w:val="00D92537"/>
    <w:rsid w:val="00D928FE"/>
    <w:rsid w:val="00D92D6F"/>
    <w:rsid w:val="00D93439"/>
    <w:rsid w:val="00D93747"/>
    <w:rsid w:val="00D93783"/>
    <w:rsid w:val="00D945CE"/>
    <w:rsid w:val="00D9472B"/>
    <w:rsid w:val="00D947C0"/>
    <w:rsid w:val="00D95017"/>
    <w:rsid w:val="00D9522C"/>
    <w:rsid w:val="00D9532F"/>
    <w:rsid w:val="00D9629C"/>
    <w:rsid w:val="00D96533"/>
    <w:rsid w:val="00D967B1"/>
    <w:rsid w:val="00D96991"/>
    <w:rsid w:val="00D97141"/>
    <w:rsid w:val="00D97387"/>
    <w:rsid w:val="00D97AB1"/>
    <w:rsid w:val="00DA03C2"/>
    <w:rsid w:val="00DA0D2B"/>
    <w:rsid w:val="00DA13E8"/>
    <w:rsid w:val="00DA1CEF"/>
    <w:rsid w:val="00DA22E6"/>
    <w:rsid w:val="00DA2EA4"/>
    <w:rsid w:val="00DA2F6C"/>
    <w:rsid w:val="00DA3F7F"/>
    <w:rsid w:val="00DA41B8"/>
    <w:rsid w:val="00DA4845"/>
    <w:rsid w:val="00DA4A6F"/>
    <w:rsid w:val="00DA4AA5"/>
    <w:rsid w:val="00DA4F08"/>
    <w:rsid w:val="00DA4F5D"/>
    <w:rsid w:val="00DA74B7"/>
    <w:rsid w:val="00DA78EC"/>
    <w:rsid w:val="00DA7942"/>
    <w:rsid w:val="00DA7C1D"/>
    <w:rsid w:val="00DB008C"/>
    <w:rsid w:val="00DB078F"/>
    <w:rsid w:val="00DB1DD7"/>
    <w:rsid w:val="00DB2158"/>
    <w:rsid w:val="00DB21F3"/>
    <w:rsid w:val="00DB2551"/>
    <w:rsid w:val="00DB25C1"/>
    <w:rsid w:val="00DB26D8"/>
    <w:rsid w:val="00DB298F"/>
    <w:rsid w:val="00DB318C"/>
    <w:rsid w:val="00DB386F"/>
    <w:rsid w:val="00DB39D6"/>
    <w:rsid w:val="00DB4133"/>
    <w:rsid w:val="00DB4C47"/>
    <w:rsid w:val="00DB5420"/>
    <w:rsid w:val="00DB586B"/>
    <w:rsid w:val="00DB629D"/>
    <w:rsid w:val="00DB66AB"/>
    <w:rsid w:val="00DB760D"/>
    <w:rsid w:val="00DB7FF7"/>
    <w:rsid w:val="00DC005F"/>
    <w:rsid w:val="00DC065A"/>
    <w:rsid w:val="00DC110F"/>
    <w:rsid w:val="00DC134B"/>
    <w:rsid w:val="00DC15C1"/>
    <w:rsid w:val="00DC17A7"/>
    <w:rsid w:val="00DC42B6"/>
    <w:rsid w:val="00DC42C7"/>
    <w:rsid w:val="00DC47D2"/>
    <w:rsid w:val="00DC49E6"/>
    <w:rsid w:val="00DC4DC1"/>
    <w:rsid w:val="00DC548C"/>
    <w:rsid w:val="00DC54A4"/>
    <w:rsid w:val="00DC5955"/>
    <w:rsid w:val="00DC5A3A"/>
    <w:rsid w:val="00DC5CE3"/>
    <w:rsid w:val="00DC6F1A"/>
    <w:rsid w:val="00DC7563"/>
    <w:rsid w:val="00DD0134"/>
    <w:rsid w:val="00DD0DC7"/>
    <w:rsid w:val="00DD0EDC"/>
    <w:rsid w:val="00DD1402"/>
    <w:rsid w:val="00DD1656"/>
    <w:rsid w:val="00DD17B6"/>
    <w:rsid w:val="00DD1DC7"/>
    <w:rsid w:val="00DD1E4D"/>
    <w:rsid w:val="00DD29A3"/>
    <w:rsid w:val="00DD2EFF"/>
    <w:rsid w:val="00DD2FD8"/>
    <w:rsid w:val="00DD3165"/>
    <w:rsid w:val="00DD32E6"/>
    <w:rsid w:val="00DD4191"/>
    <w:rsid w:val="00DD41F4"/>
    <w:rsid w:val="00DD43DA"/>
    <w:rsid w:val="00DD48C8"/>
    <w:rsid w:val="00DD6AC4"/>
    <w:rsid w:val="00DD6D2E"/>
    <w:rsid w:val="00DD7BB7"/>
    <w:rsid w:val="00DE0118"/>
    <w:rsid w:val="00DE0306"/>
    <w:rsid w:val="00DE07E9"/>
    <w:rsid w:val="00DE1962"/>
    <w:rsid w:val="00DE3D46"/>
    <w:rsid w:val="00DE3F83"/>
    <w:rsid w:val="00DE5014"/>
    <w:rsid w:val="00DE5E8D"/>
    <w:rsid w:val="00DF00FB"/>
    <w:rsid w:val="00DF11FB"/>
    <w:rsid w:val="00DF13CE"/>
    <w:rsid w:val="00DF17D3"/>
    <w:rsid w:val="00DF525B"/>
    <w:rsid w:val="00DF52B4"/>
    <w:rsid w:val="00DF538A"/>
    <w:rsid w:val="00DF6332"/>
    <w:rsid w:val="00DF69A0"/>
    <w:rsid w:val="00DF76BD"/>
    <w:rsid w:val="00DF7890"/>
    <w:rsid w:val="00DF7BD1"/>
    <w:rsid w:val="00E008DD"/>
    <w:rsid w:val="00E00963"/>
    <w:rsid w:val="00E00C00"/>
    <w:rsid w:val="00E00F8E"/>
    <w:rsid w:val="00E0119E"/>
    <w:rsid w:val="00E0192B"/>
    <w:rsid w:val="00E01DD0"/>
    <w:rsid w:val="00E02B63"/>
    <w:rsid w:val="00E02BE4"/>
    <w:rsid w:val="00E0399A"/>
    <w:rsid w:val="00E03AF1"/>
    <w:rsid w:val="00E0401A"/>
    <w:rsid w:val="00E0414D"/>
    <w:rsid w:val="00E041D1"/>
    <w:rsid w:val="00E042F7"/>
    <w:rsid w:val="00E04C2C"/>
    <w:rsid w:val="00E05AE1"/>
    <w:rsid w:val="00E05ECD"/>
    <w:rsid w:val="00E06319"/>
    <w:rsid w:val="00E06EDF"/>
    <w:rsid w:val="00E070F7"/>
    <w:rsid w:val="00E07C36"/>
    <w:rsid w:val="00E07DCD"/>
    <w:rsid w:val="00E10608"/>
    <w:rsid w:val="00E10F0C"/>
    <w:rsid w:val="00E114C7"/>
    <w:rsid w:val="00E1212E"/>
    <w:rsid w:val="00E13B42"/>
    <w:rsid w:val="00E1405D"/>
    <w:rsid w:val="00E14110"/>
    <w:rsid w:val="00E144FB"/>
    <w:rsid w:val="00E156D4"/>
    <w:rsid w:val="00E15EE7"/>
    <w:rsid w:val="00E16620"/>
    <w:rsid w:val="00E16782"/>
    <w:rsid w:val="00E16D85"/>
    <w:rsid w:val="00E173B5"/>
    <w:rsid w:val="00E17615"/>
    <w:rsid w:val="00E17766"/>
    <w:rsid w:val="00E21029"/>
    <w:rsid w:val="00E22068"/>
    <w:rsid w:val="00E22715"/>
    <w:rsid w:val="00E22C48"/>
    <w:rsid w:val="00E22E27"/>
    <w:rsid w:val="00E22E97"/>
    <w:rsid w:val="00E22ED7"/>
    <w:rsid w:val="00E23666"/>
    <w:rsid w:val="00E236F5"/>
    <w:rsid w:val="00E23B52"/>
    <w:rsid w:val="00E23F9B"/>
    <w:rsid w:val="00E24037"/>
    <w:rsid w:val="00E241C2"/>
    <w:rsid w:val="00E24CC1"/>
    <w:rsid w:val="00E25255"/>
    <w:rsid w:val="00E254D2"/>
    <w:rsid w:val="00E25E1D"/>
    <w:rsid w:val="00E268AD"/>
    <w:rsid w:val="00E26FE3"/>
    <w:rsid w:val="00E274E4"/>
    <w:rsid w:val="00E27812"/>
    <w:rsid w:val="00E309A0"/>
    <w:rsid w:val="00E30B41"/>
    <w:rsid w:val="00E31B86"/>
    <w:rsid w:val="00E31FA3"/>
    <w:rsid w:val="00E331DF"/>
    <w:rsid w:val="00E33771"/>
    <w:rsid w:val="00E33889"/>
    <w:rsid w:val="00E339AF"/>
    <w:rsid w:val="00E339C8"/>
    <w:rsid w:val="00E33E8E"/>
    <w:rsid w:val="00E3457F"/>
    <w:rsid w:val="00E34B82"/>
    <w:rsid w:val="00E34CAF"/>
    <w:rsid w:val="00E34D83"/>
    <w:rsid w:val="00E34DBD"/>
    <w:rsid w:val="00E350BF"/>
    <w:rsid w:val="00E357FB"/>
    <w:rsid w:val="00E362E0"/>
    <w:rsid w:val="00E3652D"/>
    <w:rsid w:val="00E36714"/>
    <w:rsid w:val="00E36B10"/>
    <w:rsid w:val="00E37572"/>
    <w:rsid w:val="00E37EDA"/>
    <w:rsid w:val="00E40512"/>
    <w:rsid w:val="00E4102D"/>
    <w:rsid w:val="00E411A3"/>
    <w:rsid w:val="00E414F8"/>
    <w:rsid w:val="00E4154E"/>
    <w:rsid w:val="00E4219A"/>
    <w:rsid w:val="00E43401"/>
    <w:rsid w:val="00E43631"/>
    <w:rsid w:val="00E4387E"/>
    <w:rsid w:val="00E43FDA"/>
    <w:rsid w:val="00E44598"/>
    <w:rsid w:val="00E45839"/>
    <w:rsid w:val="00E45C0B"/>
    <w:rsid w:val="00E466CF"/>
    <w:rsid w:val="00E46727"/>
    <w:rsid w:val="00E46FA1"/>
    <w:rsid w:val="00E47139"/>
    <w:rsid w:val="00E47220"/>
    <w:rsid w:val="00E47323"/>
    <w:rsid w:val="00E479E6"/>
    <w:rsid w:val="00E51478"/>
    <w:rsid w:val="00E517F0"/>
    <w:rsid w:val="00E51D67"/>
    <w:rsid w:val="00E51F74"/>
    <w:rsid w:val="00E525BD"/>
    <w:rsid w:val="00E52656"/>
    <w:rsid w:val="00E52774"/>
    <w:rsid w:val="00E52D91"/>
    <w:rsid w:val="00E5352D"/>
    <w:rsid w:val="00E537F2"/>
    <w:rsid w:val="00E54CE1"/>
    <w:rsid w:val="00E54EAE"/>
    <w:rsid w:val="00E55583"/>
    <w:rsid w:val="00E55772"/>
    <w:rsid w:val="00E5582E"/>
    <w:rsid w:val="00E55A4F"/>
    <w:rsid w:val="00E55E8E"/>
    <w:rsid w:val="00E5654B"/>
    <w:rsid w:val="00E56BB9"/>
    <w:rsid w:val="00E56BC5"/>
    <w:rsid w:val="00E56BCD"/>
    <w:rsid w:val="00E56FCA"/>
    <w:rsid w:val="00E604EC"/>
    <w:rsid w:val="00E606D7"/>
    <w:rsid w:val="00E6092D"/>
    <w:rsid w:val="00E61435"/>
    <w:rsid w:val="00E617E7"/>
    <w:rsid w:val="00E619C6"/>
    <w:rsid w:val="00E61AA3"/>
    <w:rsid w:val="00E61B66"/>
    <w:rsid w:val="00E62614"/>
    <w:rsid w:val="00E630A5"/>
    <w:rsid w:val="00E631AD"/>
    <w:rsid w:val="00E63573"/>
    <w:rsid w:val="00E63E21"/>
    <w:rsid w:val="00E647A7"/>
    <w:rsid w:val="00E64F3C"/>
    <w:rsid w:val="00E6582C"/>
    <w:rsid w:val="00E65E1B"/>
    <w:rsid w:val="00E66191"/>
    <w:rsid w:val="00E66ADB"/>
    <w:rsid w:val="00E66F0E"/>
    <w:rsid w:val="00E66F7E"/>
    <w:rsid w:val="00E678D2"/>
    <w:rsid w:val="00E6799F"/>
    <w:rsid w:val="00E702A0"/>
    <w:rsid w:val="00E7093F"/>
    <w:rsid w:val="00E70DB5"/>
    <w:rsid w:val="00E7116A"/>
    <w:rsid w:val="00E711CA"/>
    <w:rsid w:val="00E71565"/>
    <w:rsid w:val="00E7170A"/>
    <w:rsid w:val="00E717A5"/>
    <w:rsid w:val="00E71D1C"/>
    <w:rsid w:val="00E724D4"/>
    <w:rsid w:val="00E729FB"/>
    <w:rsid w:val="00E72D82"/>
    <w:rsid w:val="00E7382A"/>
    <w:rsid w:val="00E73EBB"/>
    <w:rsid w:val="00E73F88"/>
    <w:rsid w:val="00E742C9"/>
    <w:rsid w:val="00E74504"/>
    <w:rsid w:val="00E74754"/>
    <w:rsid w:val="00E7483E"/>
    <w:rsid w:val="00E74A7D"/>
    <w:rsid w:val="00E75006"/>
    <w:rsid w:val="00E7502E"/>
    <w:rsid w:val="00E750E1"/>
    <w:rsid w:val="00E759FC"/>
    <w:rsid w:val="00E75C27"/>
    <w:rsid w:val="00E769FE"/>
    <w:rsid w:val="00E76AEA"/>
    <w:rsid w:val="00E76B50"/>
    <w:rsid w:val="00E775FD"/>
    <w:rsid w:val="00E80703"/>
    <w:rsid w:val="00E8086C"/>
    <w:rsid w:val="00E810F6"/>
    <w:rsid w:val="00E81A7D"/>
    <w:rsid w:val="00E82143"/>
    <w:rsid w:val="00E823DD"/>
    <w:rsid w:val="00E82704"/>
    <w:rsid w:val="00E82A70"/>
    <w:rsid w:val="00E82B88"/>
    <w:rsid w:val="00E82F7A"/>
    <w:rsid w:val="00E8381E"/>
    <w:rsid w:val="00E83B11"/>
    <w:rsid w:val="00E84FF5"/>
    <w:rsid w:val="00E852A9"/>
    <w:rsid w:val="00E857CE"/>
    <w:rsid w:val="00E85B63"/>
    <w:rsid w:val="00E8689A"/>
    <w:rsid w:val="00E86999"/>
    <w:rsid w:val="00E8759A"/>
    <w:rsid w:val="00E877A6"/>
    <w:rsid w:val="00E8786F"/>
    <w:rsid w:val="00E900F1"/>
    <w:rsid w:val="00E912C7"/>
    <w:rsid w:val="00E9130A"/>
    <w:rsid w:val="00E920E4"/>
    <w:rsid w:val="00E92357"/>
    <w:rsid w:val="00E925E2"/>
    <w:rsid w:val="00E927CC"/>
    <w:rsid w:val="00E93E7E"/>
    <w:rsid w:val="00E93F3D"/>
    <w:rsid w:val="00E9472B"/>
    <w:rsid w:val="00E94802"/>
    <w:rsid w:val="00E9484E"/>
    <w:rsid w:val="00E948EC"/>
    <w:rsid w:val="00E94C41"/>
    <w:rsid w:val="00E95279"/>
    <w:rsid w:val="00E958DD"/>
    <w:rsid w:val="00E96A6A"/>
    <w:rsid w:val="00E96CD3"/>
    <w:rsid w:val="00E96F1A"/>
    <w:rsid w:val="00E97053"/>
    <w:rsid w:val="00E97178"/>
    <w:rsid w:val="00E97256"/>
    <w:rsid w:val="00E974D6"/>
    <w:rsid w:val="00E97D6F"/>
    <w:rsid w:val="00EA03F4"/>
    <w:rsid w:val="00EA06C0"/>
    <w:rsid w:val="00EA0E59"/>
    <w:rsid w:val="00EA0F78"/>
    <w:rsid w:val="00EA0FE9"/>
    <w:rsid w:val="00EA10D4"/>
    <w:rsid w:val="00EA1F37"/>
    <w:rsid w:val="00EA2101"/>
    <w:rsid w:val="00EA229D"/>
    <w:rsid w:val="00EA2E39"/>
    <w:rsid w:val="00EA2F54"/>
    <w:rsid w:val="00EA30CC"/>
    <w:rsid w:val="00EA30E8"/>
    <w:rsid w:val="00EA31D7"/>
    <w:rsid w:val="00EA338C"/>
    <w:rsid w:val="00EA33FF"/>
    <w:rsid w:val="00EA3561"/>
    <w:rsid w:val="00EA35FA"/>
    <w:rsid w:val="00EA3A74"/>
    <w:rsid w:val="00EA44C2"/>
    <w:rsid w:val="00EA490D"/>
    <w:rsid w:val="00EA4F4B"/>
    <w:rsid w:val="00EA5671"/>
    <w:rsid w:val="00EA584E"/>
    <w:rsid w:val="00EA64F7"/>
    <w:rsid w:val="00EA6719"/>
    <w:rsid w:val="00EA675C"/>
    <w:rsid w:val="00EA69B0"/>
    <w:rsid w:val="00EA734E"/>
    <w:rsid w:val="00EA7D1D"/>
    <w:rsid w:val="00EA7D7E"/>
    <w:rsid w:val="00EB0738"/>
    <w:rsid w:val="00EB0F9C"/>
    <w:rsid w:val="00EB1191"/>
    <w:rsid w:val="00EB179B"/>
    <w:rsid w:val="00EB1DAC"/>
    <w:rsid w:val="00EB2EDF"/>
    <w:rsid w:val="00EB36D9"/>
    <w:rsid w:val="00EB3A02"/>
    <w:rsid w:val="00EB3C76"/>
    <w:rsid w:val="00EB3E1C"/>
    <w:rsid w:val="00EB44E5"/>
    <w:rsid w:val="00EB4EB1"/>
    <w:rsid w:val="00EB54D2"/>
    <w:rsid w:val="00EB5CFD"/>
    <w:rsid w:val="00EB63E4"/>
    <w:rsid w:val="00EB6ECB"/>
    <w:rsid w:val="00EB739D"/>
    <w:rsid w:val="00EB75EB"/>
    <w:rsid w:val="00EB7F3B"/>
    <w:rsid w:val="00EB7F41"/>
    <w:rsid w:val="00EC0488"/>
    <w:rsid w:val="00EC092F"/>
    <w:rsid w:val="00EC1025"/>
    <w:rsid w:val="00EC13DA"/>
    <w:rsid w:val="00EC1446"/>
    <w:rsid w:val="00EC1F95"/>
    <w:rsid w:val="00EC245E"/>
    <w:rsid w:val="00EC250A"/>
    <w:rsid w:val="00EC29CD"/>
    <w:rsid w:val="00EC3115"/>
    <w:rsid w:val="00EC3AE0"/>
    <w:rsid w:val="00EC46B1"/>
    <w:rsid w:val="00EC4B7D"/>
    <w:rsid w:val="00EC4CAF"/>
    <w:rsid w:val="00EC5289"/>
    <w:rsid w:val="00EC5F4F"/>
    <w:rsid w:val="00EC60AD"/>
    <w:rsid w:val="00EC64B0"/>
    <w:rsid w:val="00EC65EB"/>
    <w:rsid w:val="00EC6EC6"/>
    <w:rsid w:val="00ED0066"/>
    <w:rsid w:val="00ED0302"/>
    <w:rsid w:val="00ED1A2B"/>
    <w:rsid w:val="00ED1D31"/>
    <w:rsid w:val="00ED2108"/>
    <w:rsid w:val="00ED217F"/>
    <w:rsid w:val="00ED24F9"/>
    <w:rsid w:val="00ED25B9"/>
    <w:rsid w:val="00ED33CA"/>
    <w:rsid w:val="00ED36B3"/>
    <w:rsid w:val="00ED3DB1"/>
    <w:rsid w:val="00ED3E1C"/>
    <w:rsid w:val="00ED4285"/>
    <w:rsid w:val="00ED4A08"/>
    <w:rsid w:val="00ED5E3B"/>
    <w:rsid w:val="00ED6AA6"/>
    <w:rsid w:val="00ED6F09"/>
    <w:rsid w:val="00EE06E5"/>
    <w:rsid w:val="00EE0934"/>
    <w:rsid w:val="00EE0EFC"/>
    <w:rsid w:val="00EE1236"/>
    <w:rsid w:val="00EE137B"/>
    <w:rsid w:val="00EE203A"/>
    <w:rsid w:val="00EE2379"/>
    <w:rsid w:val="00EE24F4"/>
    <w:rsid w:val="00EE30B2"/>
    <w:rsid w:val="00EE3841"/>
    <w:rsid w:val="00EE3ED6"/>
    <w:rsid w:val="00EE3FD7"/>
    <w:rsid w:val="00EE4338"/>
    <w:rsid w:val="00EE4527"/>
    <w:rsid w:val="00EE4639"/>
    <w:rsid w:val="00EE4DC3"/>
    <w:rsid w:val="00EE5569"/>
    <w:rsid w:val="00EE58A6"/>
    <w:rsid w:val="00EE67B5"/>
    <w:rsid w:val="00EF02EF"/>
    <w:rsid w:val="00EF132D"/>
    <w:rsid w:val="00EF1948"/>
    <w:rsid w:val="00EF1C5A"/>
    <w:rsid w:val="00EF1FBD"/>
    <w:rsid w:val="00EF2236"/>
    <w:rsid w:val="00EF236A"/>
    <w:rsid w:val="00EF2CE7"/>
    <w:rsid w:val="00EF2FD6"/>
    <w:rsid w:val="00EF465A"/>
    <w:rsid w:val="00EF4E37"/>
    <w:rsid w:val="00EF535A"/>
    <w:rsid w:val="00EF58D3"/>
    <w:rsid w:val="00EF5DBE"/>
    <w:rsid w:val="00EF5F9B"/>
    <w:rsid w:val="00EF6691"/>
    <w:rsid w:val="00EF6C2F"/>
    <w:rsid w:val="00EF6FA2"/>
    <w:rsid w:val="00EF791F"/>
    <w:rsid w:val="00F0041B"/>
    <w:rsid w:val="00F035AF"/>
    <w:rsid w:val="00F03727"/>
    <w:rsid w:val="00F03E8B"/>
    <w:rsid w:val="00F048CC"/>
    <w:rsid w:val="00F05586"/>
    <w:rsid w:val="00F06C3D"/>
    <w:rsid w:val="00F07300"/>
    <w:rsid w:val="00F075AD"/>
    <w:rsid w:val="00F07B58"/>
    <w:rsid w:val="00F10108"/>
    <w:rsid w:val="00F1087F"/>
    <w:rsid w:val="00F109A1"/>
    <w:rsid w:val="00F125AA"/>
    <w:rsid w:val="00F12C29"/>
    <w:rsid w:val="00F12DBB"/>
    <w:rsid w:val="00F132DC"/>
    <w:rsid w:val="00F13F0C"/>
    <w:rsid w:val="00F1426B"/>
    <w:rsid w:val="00F14909"/>
    <w:rsid w:val="00F14FF2"/>
    <w:rsid w:val="00F15BCD"/>
    <w:rsid w:val="00F15C47"/>
    <w:rsid w:val="00F16287"/>
    <w:rsid w:val="00F16911"/>
    <w:rsid w:val="00F16F8A"/>
    <w:rsid w:val="00F171C7"/>
    <w:rsid w:val="00F1732C"/>
    <w:rsid w:val="00F17A48"/>
    <w:rsid w:val="00F17ADE"/>
    <w:rsid w:val="00F17D37"/>
    <w:rsid w:val="00F2002C"/>
    <w:rsid w:val="00F20E7F"/>
    <w:rsid w:val="00F22303"/>
    <w:rsid w:val="00F2240D"/>
    <w:rsid w:val="00F2248F"/>
    <w:rsid w:val="00F229B0"/>
    <w:rsid w:val="00F233C7"/>
    <w:rsid w:val="00F23CB3"/>
    <w:rsid w:val="00F23D7C"/>
    <w:rsid w:val="00F23DE9"/>
    <w:rsid w:val="00F23FC7"/>
    <w:rsid w:val="00F24928"/>
    <w:rsid w:val="00F24B78"/>
    <w:rsid w:val="00F24B9D"/>
    <w:rsid w:val="00F25010"/>
    <w:rsid w:val="00F25BF6"/>
    <w:rsid w:val="00F26421"/>
    <w:rsid w:val="00F26EF9"/>
    <w:rsid w:val="00F303DB"/>
    <w:rsid w:val="00F305CC"/>
    <w:rsid w:val="00F306C9"/>
    <w:rsid w:val="00F308C3"/>
    <w:rsid w:val="00F31101"/>
    <w:rsid w:val="00F31795"/>
    <w:rsid w:val="00F322D3"/>
    <w:rsid w:val="00F33985"/>
    <w:rsid w:val="00F34AE9"/>
    <w:rsid w:val="00F36B69"/>
    <w:rsid w:val="00F36F09"/>
    <w:rsid w:val="00F3759A"/>
    <w:rsid w:val="00F416EA"/>
    <w:rsid w:val="00F418C3"/>
    <w:rsid w:val="00F42EF6"/>
    <w:rsid w:val="00F42FED"/>
    <w:rsid w:val="00F43273"/>
    <w:rsid w:val="00F43646"/>
    <w:rsid w:val="00F43662"/>
    <w:rsid w:val="00F45EFB"/>
    <w:rsid w:val="00F47FDC"/>
    <w:rsid w:val="00F51143"/>
    <w:rsid w:val="00F51851"/>
    <w:rsid w:val="00F5212F"/>
    <w:rsid w:val="00F527B3"/>
    <w:rsid w:val="00F53C81"/>
    <w:rsid w:val="00F551FC"/>
    <w:rsid w:val="00F55AF1"/>
    <w:rsid w:val="00F560F7"/>
    <w:rsid w:val="00F56199"/>
    <w:rsid w:val="00F5646B"/>
    <w:rsid w:val="00F57096"/>
    <w:rsid w:val="00F579DB"/>
    <w:rsid w:val="00F57A63"/>
    <w:rsid w:val="00F57BA8"/>
    <w:rsid w:val="00F57DDD"/>
    <w:rsid w:val="00F6086E"/>
    <w:rsid w:val="00F61531"/>
    <w:rsid w:val="00F6182B"/>
    <w:rsid w:val="00F61B55"/>
    <w:rsid w:val="00F62F7C"/>
    <w:rsid w:val="00F6347B"/>
    <w:rsid w:val="00F63854"/>
    <w:rsid w:val="00F63D54"/>
    <w:rsid w:val="00F63DE2"/>
    <w:rsid w:val="00F643EF"/>
    <w:rsid w:val="00F64AE4"/>
    <w:rsid w:val="00F64BE7"/>
    <w:rsid w:val="00F64CDF"/>
    <w:rsid w:val="00F65414"/>
    <w:rsid w:val="00F654D1"/>
    <w:rsid w:val="00F6641E"/>
    <w:rsid w:val="00F6685E"/>
    <w:rsid w:val="00F66CA0"/>
    <w:rsid w:val="00F67326"/>
    <w:rsid w:val="00F67C7F"/>
    <w:rsid w:val="00F700CD"/>
    <w:rsid w:val="00F7016A"/>
    <w:rsid w:val="00F70482"/>
    <w:rsid w:val="00F7105E"/>
    <w:rsid w:val="00F72143"/>
    <w:rsid w:val="00F72A3C"/>
    <w:rsid w:val="00F73A59"/>
    <w:rsid w:val="00F74159"/>
    <w:rsid w:val="00F742A3"/>
    <w:rsid w:val="00F74F8F"/>
    <w:rsid w:val="00F758BD"/>
    <w:rsid w:val="00F75EA5"/>
    <w:rsid w:val="00F7664D"/>
    <w:rsid w:val="00F767BB"/>
    <w:rsid w:val="00F7733D"/>
    <w:rsid w:val="00F80675"/>
    <w:rsid w:val="00F80786"/>
    <w:rsid w:val="00F8082F"/>
    <w:rsid w:val="00F81167"/>
    <w:rsid w:val="00F81252"/>
    <w:rsid w:val="00F8151A"/>
    <w:rsid w:val="00F81A76"/>
    <w:rsid w:val="00F83131"/>
    <w:rsid w:val="00F83144"/>
    <w:rsid w:val="00F8331C"/>
    <w:rsid w:val="00F8379D"/>
    <w:rsid w:val="00F854D8"/>
    <w:rsid w:val="00F85559"/>
    <w:rsid w:val="00F861B1"/>
    <w:rsid w:val="00F8672E"/>
    <w:rsid w:val="00F86AA4"/>
    <w:rsid w:val="00F86B35"/>
    <w:rsid w:val="00F86D9E"/>
    <w:rsid w:val="00F86ED3"/>
    <w:rsid w:val="00F87327"/>
    <w:rsid w:val="00F876F1"/>
    <w:rsid w:val="00F87746"/>
    <w:rsid w:val="00F879BC"/>
    <w:rsid w:val="00F87BF0"/>
    <w:rsid w:val="00F90325"/>
    <w:rsid w:val="00F9098A"/>
    <w:rsid w:val="00F922D9"/>
    <w:rsid w:val="00F9276B"/>
    <w:rsid w:val="00F92CE2"/>
    <w:rsid w:val="00F92FFE"/>
    <w:rsid w:val="00F932B3"/>
    <w:rsid w:val="00F9369A"/>
    <w:rsid w:val="00F93C78"/>
    <w:rsid w:val="00F93E84"/>
    <w:rsid w:val="00F94644"/>
    <w:rsid w:val="00F94A5D"/>
    <w:rsid w:val="00F95099"/>
    <w:rsid w:val="00F9519D"/>
    <w:rsid w:val="00F953B3"/>
    <w:rsid w:val="00F957C5"/>
    <w:rsid w:val="00F96522"/>
    <w:rsid w:val="00F96F1C"/>
    <w:rsid w:val="00F97224"/>
    <w:rsid w:val="00F97548"/>
    <w:rsid w:val="00F97C38"/>
    <w:rsid w:val="00FA13F2"/>
    <w:rsid w:val="00FA1621"/>
    <w:rsid w:val="00FA219D"/>
    <w:rsid w:val="00FA2F59"/>
    <w:rsid w:val="00FA2FC9"/>
    <w:rsid w:val="00FA304B"/>
    <w:rsid w:val="00FA3816"/>
    <w:rsid w:val="00FA398C"/>
    <w:rsid w:val="00FA3B7E"/>
    <w:rsid w:val="00FA3DC4"/>
    <w:rsid w:val="00FA3FED"/>
    <w:rsid w:val="00FA4AB2"/>
    <w:rsid w:val="00FA4F7D"/>
    <w:rsid w:val="00FA5D9D"/>
    <w:rsid w:val="00FA5FB7"/>
    <w:rsid w:val="00FA687A"/>
    <w:rsid w:val="00FA74A5"/>
    <w:rsid w:val="00FA79B7"/>
    <w:rsid w:val="00FB0BD9"/>
    <w:rsid w:val="00FB0FBA"/>
    <w:rsid w:val="00FB1BEC"/>
    <w:rsid w:val="00FB2483"/>
    <w:rsid w:val="00FB27EB"/>
    <w:rsid w:val="00FB2834"/>
    <w:rsid w:val="00FB2956"/>
    <w:rsid w:val="00FB2CAB"/>
    <w:rsid w:val="00FB311B"/>
    <w:rsid w:val="00FB3600"/>
    <w:rsid w:val="00FB3940"/>
    <w:rsid w:val="00FB3D6A"/>
    <w:rsid w:val="00FB41C2"/>
    <w:rsid w:val="00FB41E6"/>
    <w:rsid w:val="00FB464A"/>
    <w:rsid w:val="00FB467A"/>
    <w:rsid w:val="00FB4A22"/>
    <w:rsid w:val="00FB6B6A"/>
    <w:rsid w:val="00FB6CF5"/>
    <w:rsid w:val="00FC0328"/>
    <w:rsid w:val="00FC078F"/>
    <w:rsid w:val="00FC09AF"/>
    <w:rsid w:val="00FC0FE0"/>
    <w:rsid w:val="00FC15B8"/>
    <w:rsid w:val="00FC1B1D"/>
    <w:rsid w:val="00FC297D"/>
    <w:rsid w:val="00FC3187"/>
    <w:rsid w:val="00FC3338"/>
    <w:rsid w:val="00FC33B8"/>
    <w:rsid w:val="00FC537B"/>
    <w:rsid w:val="00FC5627"/>
    <w:rsid w:val="00FC569E"/>
    <w:rsid w:val="00FC59C0"/>
    <w:rsid w:val="00FC59F4"/>
    <w:rsid w:val="00FC5A64"/>
    <w:rsid w:val="00FC600E"/>
    <w:rsid w:val="00FC6803"/>
    <w:rsid w:val="00FC7A18"/>
    <w:rsid w:val="00FC7C39"/>
    <w:rsid w:val="00FD0324"/>
    <w:rsid w:val="00FD076C"/>
    <w:rsid w:val="00FD2119"/>
    <w:rsid w:val="00FD215C"/>
    <w:rsid w:val="00FD2189"/>
    <w:rsid w:val="00FD219E"/>
    <w:rsid w:val="00FD289E"/>
    <w:rsid w:val="00FD310D"/>
    <w:rsid w:val="00FD4BEA"/>
    <w:rsid w:val="00FD4F68"/>
    <w:rsid w:val="00FD4F7C"/>
    <w:rsid w:val="00FD5132"/>
    <w:rsid w:val="00FD5D79"/>
    <w:rsid w:val="00FD65B2"/>
    <w:rsid w:val="00FD6AC7"/>
    <w:rsid w:val="00FD6FF5"/>
    <w:rsid w:val="00FD711C"/>
    <w:rsid w:val="00FD750C"/>
    <w:rsid w:val="00FD762B"/>
    <w:rsid w:val="00FE0C2E"/>
    <w:rsid w:val="00FE10F6"/>
    <w:rsid w:val="00FE1480"/>
    <w:rsid w:val="00FE1BA2"/>
    <w:rsid w:val="00FE24EC"/>
    <w:rsid w:val="00FE28E0"/>
    <w:rsid w:val="00FE2C37"/>
    <w:rsid w:val="00FE3CB9"/>
    <w:rsid w:val="00FE417C"/>
    <w:rsid w:val="00FE426F"/>
    <w:rsid w:val="00FE4703"/>
    <w:rsid w:val="00FE4A0D"/>
    <w:rsid w:val="00FE5BAA"/>
    <w:rsid w:val="00FE5C19"/>
    <w:rsid w:val="00FE5E14"/>
    <w:rsid w:val="00FE5F68"/>
    <w:rsid w:val="00FE607A"/>
    <w:rsid w:val="00FE6559"/>
    <w:rsid w:val="00FE6CE3"/>
    <w:rsid w:val="00FF1626"/>
    <w:rsid w:val="00FF2222"/>
    <w:rsid w:val="00FF281C"/>
    <w:rsid w:val="00FF2E27"/>
    <w:rsid w:val="00FF38D5"/>
    <w:rsid w:val="00FF3DDB"/>
    <w:rsid w:val="00FF3FD8"/>
    <w:rsid w:val="00FF41AD"/>
    <w:rsid w:val="00FF4B26"/>
    <w:rsid w:val="00FF5148"/>
    <w:rsid w:val="00FF54A4"/>
    <w:rsid w:val="00FF646C"/>
    <w:rsid w:val="00FF66C8"/>
    <w:rsid w:val="00FF68AF"/>
    <w:rsid w:val="00FF6A3B"/>
    <w:rsid w:val="00FF6A70"/>
    <w:rsid w:val="00FF7290"/>
    <w:rsid w:val="00FF7847"/>
    <w:rsid w:val="00FF7E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26262"/>
    </o:shapedefaults>
    <o:shapelayout v:ext="edit">
      <o:idmap v:ext="edit" data="2"/>
    </o:shapelayout>
  </w:shapeDefaults>
  <w:decimalSymbol w:val="."/>
  <w:listSeparator w:val=","/>
  <w14:docId w14:val="4B24EF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BC6"/>
    <w:rPr>
      <w:rFonts w:eastAsia="Times New Roman" w:cs="Times New Roman"/>
      <w:lang w:val="en-AU" w:eastAsia="en-GB"/>
    </w:rPr>
  </w:style>
  <w:style w:type="paragraph" w:styleId="Heading1">
    <w:name w:val="heading 1"/>
    <w:basedOn w:val="Normal"/>
    <w:next w:val="Normal"/>
    <w:link w:val="Heading1Char"/>
    <w:qFormat/>
    <w:rsid w:val="00225552"/>
    <w:pPr>
      <w:keepNext/>
      <w:pBdr>
        <w:bottom w:val="single" w:sz="12" w:space="1" w:color="auto"/>
      </w:pBdr>
      <w:contextualSpacing/>
      <w:outlineLvl w:val="0"/>
    </w:pPr>
    <w:rPr>
      <w:rFonts w:cstheme="minorHAnsi"/>
      <w:b/>
      <w:sz w:val="36"/>
      <w:szCs w:val="36"/>
      <w:lang w:eastAsia="en-US"/>
    </w:rPr>
  </w:style>
  <w:style w:type="paragraph" w:styleId="Heading2">
    <w:name w:val="heading 2"/>
    <w:basedOn w:val="Normal"/>
    <w:next w:val="Normal"/>
    <w:link w:val="Heading2Char"/>
    <w:uiPriority w:val="9"/>
    <w:unhideWhenUsed/>
    <w:qFormat/>
    <w:rsid w:val="00225552"/>
    <w:pPr>
      <w:keepNext/>
      <w:pBdr>
        <w:top w:val="single" w:sz="4" w:space="1" w:color="auto"/>
        <w:left w:val="single" w:sz="4" w:space="4" w:color="auto"/>
        <w:bottom w:val="single" w:sz="4" w:space="1" w:color="auto"/>
        <w:right w:val="single" w:sz="4" w:space="4" w:color="auto"/>
      </w:pBdr>
      <w:shd w:val="clear" w:color="auto" w:fill="4CB99B"/>
      <w:outlineLvl w:val="1"/>
    </w:pPr>
    <w:rPr>
      <w:rFonts w:eastAsia="Cambria" w:cstheme="minorHAnsi"/>
      <w:b/>
      <w:bCs/>
      <w:iCs/>
      <w:color w:val="FFFFFF"/>
      <w:sz w:val="28"/>
      <w:szCs w:val="28"/>
      <w:lang w:eastAsia="en-US"/>
    </w:rPr>
  </w:style>
  <w:style w:type="paragraph" w:styleId="Heading3">
    <w:name w:val="heading 3"/>
    <w:basedOn w:val="Normal"/>
    <w:next w:val="Normal"/>
    <w:link w:val="Heading3Char"/>
    <w:uiPriority w:val="9"/>
    <w:unhideWhenUsed/>
    <w:qFormat/>
    <w:rsid w:val="00225552"/>
    <w:pPr>
      <w:pBdr>
        <w:top w:val="single" w:sz="4" w:space="1" w:color="000000" w:themeColor="text1"/>
        <w:left w:val="single" w:sz="4" w:space="4" w:color="000000" w:themeColor="text1"/>
        <w:bottom w:val="single" w:sz="4" w:space="1" w:color="000000" w:themeColor="text1"/>
        <w:right w:val="single" w:sz="4" w:space="4" w:color="000000" w:themeColor="text1"/>
      </w:pBdr>
      <w:outlineLvl w:val="2"/>
    </w:pPr>
    <w:rPr>
      <w:rFonts w:eastAsiaTheme="majorEastAsia" w:cstheme="minorHAnsi"/>
      <w:b/>
      <w:bCs/>
      <w:color w:val="000000" w:themeColor="text1"/>
    </w:rPr>
  </w:style>
  <w:style w:type="paragraph" w:styleId="Heading4">
    <w:name w:val="heading 4"/>
    <w:basedOn w:val="Normal"/>
    <w:next w:val="Normal"/>
    <w:link w:val="Heading4Char"/>
    <w:uiPriority w:val="9"/>
    <w:unhideWhenUsed/>
    <w:qFormat/>
    <w:rsid w:val="00225552"/>
    <w:pP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Authorities">
    <w:name w:val="table of authorities"/>
    <w:basedOn w:val="Normal"/>
    <w:next w:val="Normal"/>
    <w:uiPriority w:val="99"/>
    <w:unhideWhenUsed/>
    <w:rsid w:val="004801AA"/>
    <w:pPr>
      <w:ind w:left="240" w:hanging="240"/>
    </w:pPr>
  </w:style>
  <w:style w:type="character" w:customStyle="1" w:styleId="Heading1Char">
    <w:name w:val="Heading 1 Char"/>
    <w:basedOn w:val="DefaultParagraphFont"/>
    <w:link w:val="Heading1"/>
    <w:rsid w:val="00225552"/>
    <w:rPr>
      <w:rFonts w:cstheme="minorHAnsi"/>
      <w:b/>
      <w:sz w:val="36"/>
      <w:szCs w:val="36"/>
      <w:lang w:val="en-AU"/>
    </w:rPr>
  </w:style>
  <w:style w:type="character" w:customStyle="1" w:styleId="Heading2Char">
    <w:name w:val="Heading 2 Char"/>
    <w:basedOn w:val="DefaultParagraphFont"/>
    <w:link w:val="Heading2"/>
    <w:uiPriority w:val="9"/>
    <w:rsid w:val="00225552"/>
    <w:rPr>
      <w:rFonts w:eastAsia="Cambria" w:cstheme="minorHAnsi"/>
      <w:b/>
      <w:bCs/>
      <w:iCs/>
      <w:color w:val="FFFFFF"/>
      <w:sz w:val="28"/>
      <w:szCs w:val="28"/>
      <w:shd w:val="clear" w:color="auto" w:fill="4CB99B"/>
      <w:lang w:val="en-AU"/>
    </w:rPr>
  </w:style>
  <w:style w:type="character" w:customStyle="1" w:styleId="Heading3Char">
    <w:name w:val="Heading 3 Char"/>
    <w:basedOn w:val="DefaultParagraphFont"/>
    <w:link w:val="Heading3"/>
    <w:uiPriority w:val="9"/>
    <w:rsid w:val="00225552"/>
    <w:rPr>
      <w:rFonts w:eastAsiaTheme="majorEastAsia" w:cstheme="minorHAnsi"/>
      <w:b/>
      <w:bCs/>
      <w:color w:val="000000" w:themeColor="text1"/>
      <w:lang w:val="en-AU" w:eastAsia="en-GB"/>
    </w:rPr>
  </w:style>
  <w:style w:type="character" w:customStyle="1" w:styleId="Heading4Char">
    <w:name w:val="Heading 4 Char"/>
    <w:basedOn w:val="DefaultParagraphFont"/>
    <w:link w:val="Heading4"/>
    <w:uiPriority w:val="9"/>
    <w:rsid w:val="00225552"/>
    <w:rPr>
      <w:rFonts w:cs="Times New Roman"/>
      <w:b/>
      <w:bCs/>
      <w:lang w:val="en-AU" w:eastAsia="en-GB"/>
    </w:rPr>
  </w:style>
  <w:style w:type="character" w:customStyle="1" w:styleId="UnresolvedMention1">
    <w:name w:val="Unresolved Mention1"/>
    <w:basedOn w:val="DefaultParagraphFont"/>
    <w:uiPriority w:val="99"/>
    <w:semiHidden/>
    <w:unhideWhenUsed/>
    <w:rsid w:val="005107E0"/>
    <w:rPr>
      <w:color w:val="605E5C"/>
      <w:shd w:val="clear" w:color="auto" w:fill="E1DFDD"/>
    </w:rPr>
  </w:style>
  <w:style w:type="paragraph" w:styleId="Caption">
    <w:name w:val="caption"/>
    <w:basedOn w:val="Normal"/>
    <w:next w:val="Normal"/>
    <w:uiPriority w:val="35"/>
    <w:unhideWhenUsed/>
    <w:qFormat/>
    <w:rsid w:val="00334E51"/>
    <w:pPr>
      <w:spacing w:after="200"/>
    </w:pPr>
    <w:rPr>
      <w:i/>
      <w:iCs/>
      <w:color w:val="44546A" w:themeColor="text2"/>
      <w:sz w:val="18"/>
      <w:szCs w:val="18"/>
    </w:rPr>
  </w:style>
  <w:style w:type="paragraph" w:styleId="Footer">
    <w:name w:val="footer"/>
    <w:basedOn w:val="Normal"/>
    <w:link w:val="FooterChar"/>
    <w:uiPriority w:val="99"/>
    <w:unhideWhenUsed/>
    <w:rsid w:val="00225552"/>
    <w:pPr>
      <w:tabs>
        <w:tab w:val="center" w:pos="4513"/>
        <w:tab w:val="right" w:pos="9026"/>
      </w:tabs>
    </w:pPr>
    <w:rPr>
      <w:rFonts w:cstheme="minorBidi"/>
      <w:sz w:val="20"/>
      <w:lang w:val="en-US" w:eastAsia="en-US"/>
    </w:rPr>
  </w:style>
  <w:style w:type="character" w:customStyle="1" w:styleId="FooterChar">
    <w:name w:val="Footer Char"/>
    <w:basedOn w:val="DefaultParagraphFont"/>
    <w:link w:val="Footer"/>
    <w:uiPriority w:val="99"/>
    <w:rsid w:val="00225552"/>
    <w:rPr>
      <w:sz w:val="20"/>
    </w:rPr>
  </w:style>
  <w:style w:type="character" w:styleId="PageNumber">
    <w:name w:val="page number"/>
    <w:basedOn w:val="DefaultParagraphFont"/>
    <w:unhideWhenUsed/>
    <w:rsid w:val="00225552"/>
    <w:rPr>
      <w:rFonts w:asciiTheme="minorHAnsi" w:hAnsiTheme="minorHAnsi"/>
      <w:sz w:val="20"/>
    </w:rPr>
  </w:style>
  <w:style w:type="paragraph" w:styleId="Subtitle">
    <w:name w:val="Subtitle"/>
    <w:basedOn w:val="Normal"/>
    <w:next w:val="Normal"/>
    <w:link w:val="SubtitleChar"/>
    <w:uiPriority w:val="11"/>
    <w:qFormat/>
    <w:rsid w:val="000D4085"/>
    <w:pPr>
      <w:spacing w:before="1440" w:after="800" w:line="288" w:lineRule="auto"/>
      <w:outlineLvl w:val="0"/>
    </w:pPr>
    <w:rPr>
      <w:rFonts w:ascii="Calibri" w:hAnsi="Calibri" w:cs="Arial"/>
      <w:color w:val="FFFFFF"/>
      <w:sz w:val="36"/>
      <w:szCs w:val="36"/>
      <w:lang w:eastAsia="ja-JP"/>
    </w:rPr>
  </w:style>
  <w:style w:type="character" w:customStyle="1" w:styleId="SubtitleChar">
    <w:name w:val="Subtitle Char"/>
    <w:basedOn w:val="DefaultParagraphFont"/>
    <w:link w:val="Subtitle"/>
    <w:uiPriority w:val="11"/>
    <w:rsid w:val="000D4085"/>
    <w:rPr>
      <w:rFonts w:ascii="Calibri" w:eastAsia="Times New Roman" w:hAnsi="Calibri" w:cs="Arial"/>
      <w:color w:val="FFFFFF"/>
      <w:sz w:val="36"/>
      <w:szCs w:val="36"/>
      <w:lang w:val="en-AU" w:eastAsia="ja-JP"/>
    </w:rPr>
  </w:style>
  <w:style w:type="paragraph" w:customStyle="1" w:styleId="Boldbullet1">
    <w:name w:val="Bold bullet 1"/>
    <w:basedOn w:val="Bullet1"/>
    <w:qFormat/>
    <w:rsid w:val="00D97141"/>
    <w:rPr>
      <w:b/>
      <w:bCs w:val="0"/>
    </w:rPr>
  </w:style>
  <w:style w:type="paragraph" w:customStyle="1" w:styleId="Bullet1">
    <w:name w:val="Bullet 1"/>
    <w:basedOn w:val="Normal"/>
    <w:qFormat/>
    <w:rsid w:val="00D97141"/>
    <w:pPr>
      <w:numPr>
        <w:numId w:val="3"/>
      </w:numPr>
      <w:contextualSpacing/>
    </w:pPr>
    <w:rPr>
      <w:rFonts w:ascii="Calibri" w:eastAsia="Calibri" w:hAnsi="Calibri"/>
      <w:bCs/>
      <w:iCs/>
      <w:lang w:eastAsia="en-US"/>
    </w:rPr>
  </w:style>
  <w:style w:type="paragraph" w:customStyle="1" w:styleId="Bullets2">
    <w:name w:val="Bullets 2"/>
    <w:basedOn w:val="Normal"/>
    <w:qFormat/>
    <w:rsid w:val="00667C32"/>
    <w:pPr>
      <w:numPr>
        <w:numId w:val="2"/>
      </w:numPr>
      <w:ind w:left="851" w:hanging="425"/>
    </w:pPr>
    <w:rPr>
      <w:rFonts w:ascii="Calibri" w:eastAsiaTheme="minorEastAsia" w:hAnsi="Calibri"/>
      <w:bCs/>
      <w:iCs/>
      <w:lang w:eastAsia="en-US"/>
    </w:rPr>
  </w:style>
  <w:style w:type="paragraph" w:customStyle="1" w:styleId="Bullets3">
    <w:name w:val="Bullets 3"/>
    <w:basedOn w:val="Normal"/>
    <w:qFormat/>
    <w:rsid w:val="00F56199"/>
    <w:pPr>
      <w:numPr>
        <w:numId w:val="1"/>
      </w:numPr>
      <w:ind w:left="1276" w:hanging="425"/>
      <w:contextualSpacing/>
    </w:pPr>
    <w:rPr>
      <w:rFonts w:cstheme="minorBidi"/>
      <w:lang w:eastAsia="en-US"/>
    </w:rPr>
  </w:style>
  <w:style w:type="paragraph" w:styleId="ListParagraph">
    <w:name w:val="List Paragraph"/>
    <w:aliases w:val="Recommendation,List Paragraph1,List Paragraph11,L"/>
    <w:basedOn w:val="Normal"/>
    <w:link w:val="ListParagraphChar"/>
    <w:uiPriority w:val="34"/>
    <w:qFormat/>
    <w:rsid w:val="001E7651"/>
    <w:pPr>
      <w:ind w:left="720"/>
      <w:contextualSpacing/>
    </w:pPr>
  </w:style>
  <w:style w:type="paragraph" w:styleId="Title">
    <w:name w:val="Title"/>
    <w:basedOn w:val="Normal"/>
    <w:next w:val="Normal"/>
    <w:link w:val="TitleChar"/>
    <w:uiPriority w:val="10"/>
    <w:qFormat/>
    <w:rsid w:val="00334E51"/>
    <w:pPr>
      <w:spacing w:before="240" w:line="288" w:lineRule="auto"/>
      <w:outlineLvl w:val="0"/>
    </w:pPr>
    <w:rPr>
      <w:rFonts w:ascii="Calibri" w:hAnsi="Calibri" w:cs="Arial"/>
      <w:color w:val="FFFFFF"/>
      <w:sz w:val="56"/>
      <w:szCs w:val="56"/>
      <w:lang w:eastAsia="ja-JP"/>
    </w:rPr>
  </w:style>
  <w:style w:type="character" w:customStyle="1" w:styleId="TitleChar">
    <w:name w:val="Title Char"/>
    <w:basedOn w:val="DefaultParagraphFont"/>
    <w:link w:val="Title"/>
    <w:uiPriority w:val="10"/>
    <w:rsid w:val="00334E51"/>
    <w:rPr>
      <w:rFonts w:ascii="Calibri" w:eastAsia="Times New Roman" w:hAnsi="Calibri" w:cs="Arial"/>
      <w:color w:val="FFFFFF"/>
      <w:sz w:val="56"/>
      <w:szCs w:val="56"/>
      <w:lang w:val="en-AU" w:eastAsia="ja-JP"/>
    </w:rPr>
  </w:style>
  <w:style w:type="character" w:styleId="IntenseEmphasis">
    <w:name w:val="Intense Emphasis"/>
    <w:basedOn w:val="DefaultParagraphFont"/>
    <w:uiPriority w:val="21"/>
    <w:rsid w:val="00225552"/>
    <w:rPr>
      <w:i/>
      <w:iCs/>
      <w:color w:val="5B9BD5" w:themeColor="accent1"/>
    </w:rPr>
  </w:style>
  <w:style w:type="paragraph" w:styleId="FootnoteText">
    <w:name w:val="footnote text"/>
    <w:basedOn w:val="Normal"/>
    <w:link w:val="FootnoteTextChar"/>
    <w:uiPriority w:val="99"/>
    <w:unhideWhenUsed/>
    <w:rsid w:val="00D92493"/>
    <w:rPr>
      <w:rFonts w:ascii="Calibri" w:eastAsia="Cambria" w:hAnsi="Calibri" w:cs="Calibri"/>
      <w:sz w:val="20"/>
      <w:szCs w:val="20"/>
      <w:lang w:eastAsia="x-none"/>
    </w:rPr>
  </w:style>
  <w:style w:type="character" w:customStyle="1" w:styleId="FootnoteTextChar">
    <w:name w:val="Footnote Text Char"/>
    <w:basedOn w:val="DefaultParagraphFont"/>
    <w:link w:val="FootnoteText"/>
    <w:uiPriority w:val="99"/>
    <w:rsid w:val="00D92493"/>
    <w:rPr>
      <w:rFonts w:ascii="Calibri" w:eastAsia="Cambria" w:hAnsi="Calibri" w:cs="Calibri"/>
      <w:sz w:val="20"/>
      <w:szCs w:val="20"/>
      <w:lang w:val="en-AU" w:eastAsia="x-none"/>
    </w:rPr>
  </w:style>
  <w:style w:type="character" w:styleId="FootnoteReference">
    <w:name w:val="footnote reference"/>
    <w:uiPriority w:val="99"/>
    <w:unhideWhenUsed/>
    <w:rsid w:val="00225552"/>
    <w:rPr>
      <w:rFonts w:asciiTheme="minorHAnsi" w:hAnsiTheme="minorHAnsi"/>
      <w:sz w:val="20"/>
      <w:vertAlign w:val="superscript"/>
    </w:rPr>
  </w:style>
  <w:style w:type="table" w:styleId="TableGrid">
    <w:name w:val="Table Grid"/>
    <w:aliases w:val="DPS Table Grid"/>
    <w:basedOn w:val="TableNormal"/>
    <w:uiPriority w:val="59"/>
    <w:rsid w:val="008507AF"/>
    <w:rPr>
      <w:rFonts w:ascii="Cambria" w:eastAsia="Cambria" w:hAnsi="Cambr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775181"/>
  </w:style>
  <w:style w:type="paragraph" w:styleId="TOC1">
    <w:name w:val="toc 1"/>
    <w:basedOn w:val="Normal"/>
    <w:next w:val="Normal"/>
    <w:autoRedefine/>
    <w:uiPriority w:val="39"/>
    <w:unhideWhenUsed/>
    <w:rsid w:val="00775181"/>
    <w:pPr>
      <w:tabs>
        <w:tab w:val="right" w:leader="dot" w:pos="9736"/>
      </w:tabs>
      <w:spacing w:before="120"/>
    </w:pPr>
    <w:rPr>
      <w:rFonts w:cstheme="minorHAnsi"/>
      <w:b/>
      <w:bCs/>
      <w:noProof/>
    </w:rPr>
  </w:style>
  <w:style w:type="character" w:styleId="Hyperlink">
    <w:name w:val="Hyperlink"/>
    <w:basedOn w:val="DefaultParagraphFont"/>
    <w:uiPriority w:val="99"/>
    <w:unhideWhenUsed/>
    <w:rsid w:val="00491139"/>
    <w:rPr>
      <w:color w:val="0563C1" w:themeColor="hyperlink"/>
      <w:u w:val="single"/>
    </w:rPr>
  </w:style>
  <w:style w:type="paragraph" w:styleId="TOC2">
    <w:name w:val="toc 2"/>
    <w:basedOn w:val="Normal"/>
    <w:next w:val="Normal"/>
    <w:autoRedefine/>
    <w:uiPriority w:val="39"/>
    <w:unhideWhenUsed/>
    <w:rsid w:val="003D54D9"/>
    <w:pPr>
      <w:spacing w:before="60"/>
      <w:ind w:left="238"/>
    </w:pPr>
    <w:rPr>
      <w:rFonts w:cstheme="minorHAnsi"/>
      <w:bCs/>
      <w:sz w:val="22"/>
      <w:szCs w:val="22"/>
    </w:rPr>
  </w:style>
  <w:style w:type="paragraph" w:styleId="TOC3">
    <w:name w:val="toc 3"/>
    <w:basedOn w:val="Normal"/>
    <w:next w:val="Normal"/>
    <w:autoRedefine/>
    <w:uiPriority w:val="39"/>
    <w:unhideWhenUsed/>
    <w:rsid w:val="00491139"/>
    <w:pPr>
      <w:ind w:left="480"/>
    </w:pPr>
    <w:rPr>
      <w:rFonts w:cstheme="minorHAnsi"/>
      <w:sz w:val="20"/>
      <w:szCs w:val="20"/>
    </w:rPr>
  </w:style>
  <w:style w:type="paragraph" w:styleId="BalloonText">
    <w:name w:val="Balloon Text"/>
    <w:basedOn w:val="Normal"/>
    <w:link w:val="BalloonTextChar"/>
    <w:uiPriority w:val="99"/>
    <w:semiHidden/>
    <w:unhideWhenUsed/>
    <w:rsid w:val="00FD2189"/>
    <w:rPr>
      <w:sz w:val="18"/>
      <w:szCs w:val="18"/>
    </w:rPr>
  </w:style>
  <w:style w:type="character" w:customStyle="1" w:styleId="BalloonTextChar">
    <w:name w:val="Balloon Text Char"/>
    <w:basedOn w:val="DefaultParagraphFont"/>
    <w:link w:val="BalloonText"/>
    <w:uiPriority w:val="99"/>
    <w:semiHidden/>
    <w:rsid w:val="00FD2189"/>
    <w:rPr>
      <w:rFonts w:ascii="Times New Roman" w:hAnsi="Times New Roman" w:cs="Times New Roman"/>
      <w:sz w:val="18"/>
      <w:szCs w:val="18"/>
    </w:rPr>
  </w:style>
  <w:style w:type="paragraph" w:styleId="NormalWeb">
    <w:name w:val="Normal (Web)"/>
    <w:basedOn w:val="Normal"/>
    <w:uiPriority w:val="99"/>
    <w:unhideWhenUsed/>
    <w:rsid w:val="00255174"/>
    <w:pPr>
      <w:spacing w:before="100" w:beforeAutospacing="1" w:after="100" w:afterAutospacing="1"/>
    </w:pPr>
    <w:rPr>
      <w:lang w:val="en-US" w:eastAsia="en-US"/>
    </w:rPr>
  </w:style>
  <w:style w:type="character" w:styleId="FollowedHyperlink">
    <w:name w:val="FollowedHyperlink"/>
    <w:basedOn w:val="DefaultParagraphFont"/>
    <w:uiPriority w:val="99"/>
    <w:semiHidden/>
    <w:unhideWhenUsed/>
    <w:rsid w:val="000E1A01"/>
    <w:rPr>
      <w:color w:val="954F72" w:themeColor="followedHyperlink"/>
      <w:u w:val="single"/>
    </w:rPr>
  </w:style>
  <w:style w:type="character" w:styleId="CommentReference">
    <w:name w:val="annotation reference"/>
    <w:basedOn w:val="DefaultParagraphFont"/>
    <w:uiPriority w:val="99"/>
    <w:unhideWhenUsed/>
    <w:rsid w:val="006D0EFD"/>
    <w:rPr>
      <w:sz w:val="16"/>
      <w:szCs w:val="16"/>
    </w:rPr>
  </w:style>
  <w:style w:type="paragraph" w:styleId="CommentSubject">
    <w:name w:val="annotation subject"/>
    <w:basedOn w:val="Normal"/>
    <w:next w:val="Normal"/>
    <w:link w:val="CommentSubjectChar"/>
    <w:uiPriority w:val="99"/>
    <w:semiHidden/>
    <w:unhideWhenUsed/>
    <w:rsid w:val="00225552"/>
    <w:rPr>
      <w:rFonts w:cstheme="minorBidi"/>
      <w:b/>
      <w:bCs/>
      <w:sz w:val="20"/>
      <w:szCs w:val="20"/>
      <w:lang w:val="en-US" w:eastAsia="en-US"/>
    </w:rPr>
  </w:style>
  <w:style w:type="character" w:customStyle="1" w:styleId="CommentSubjectChar">
    <w:name w:val="Comment Subject Char"/>
    <w:basedOn w:val="DefaultParagraphFont"/>
    <w:link w:val="CommentSubject"/>
    <w:uiPriority w:val="99"/>
    <w:semiHidden/>
    <w:rsid w:val="00225552"/>
    <w:rPr>
      <w:b/>
      <w:bCs/>
      <w:sz w:val="20"/>
      <w:szCs w:val="20"/>
    </w:rPr>
  </w:style>
  <w:style w:type="paragraph" w:styleId="Revision">
    <w:name w:val="Revision"/>
    <w:hidden/>
    <w:uiPriority w:val="99"/>
    <w:semiHidden/>
    <w:rsid w:val="002020D2"/>
  </w:style>
  <w:style w:type="table" w:styleId="GridTable4-Accent5">
    <w:name w:val="Grid Table 4 Accent 5"/>
    <w:basedOn w:val="TableNormal"/>
    <w:uiPriority w:val="49"/>
    <w:rsid w:val="00DB39D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0">
    <w:name w:val="Unresolved Mention1"/>
    <w:basedOn w:val="DefaultParagraphFont"/>
    <w:uiPriority w:val="99"/>
    <w:semiHidden/>
    <w:unhideWhenUsed/>
    <w:rsid w:val="00913BFE"/>
    <w:rPr>
      <w:color w:val="605E5C"/>
      <w:shd w:val="clear" w:color="auto" w:fill="E1DFDD"/>
    </w:rPr>
  </w:style>
  <w:style w:type="paragraph" w:customStyle="1" w:styleId="TableNormal1">
    <w:name w:val="Table Normal1"/>
    <w:basedOn w:val="Normal"/>
    <w:qFormat/>
    <w:rsid w:val="000A1F85"/>
    <w:rPr>
      <w:rFonts w:eastAsia="Cambria" w:cstheme="minorHAnsi"/>
    </w:rPr>
  </w:style>
  <w:style w:type="paragraph" w:styleId="Header">
    <w:name w:val="header"/>
    <w:basedOn w:val="Normal"/>
    <w:link w:val="HeaderChar"/>
    <w:uiPriority w:val="99"/>
    <w:unhideWhenUsed/>
    <w:rsid w:val="00334E51"/>
    <w:pPr>
      <w:tabs>
        <w:tab w:val="center" w:pos="4680"/>
        <w:tab w:val="right" w:pos="9360"/>
      </w:tabs>
    </w:pPr>
  </w:style>
  <w:style w:type="character" w:customStyle="1" w:styleId="HeaderChar">
    <w:name w:val="Header Char"/>
    <w:basedOn w:val="DefaultParagraphFont"/>
    <w:link w:val="Header"/>
    <w:uiPriority w:val="99"/>
    <w:rsid w:val="00334E51"/>
    <w:rPr>
      <w:rFonts w:cs="Times New Roman"/>
      <w:lang w:val="en-AU" w:eastAsia="en-GB"/>
    </w:rPr>
  </w:style>
  <w:style w:type="character" w:styleId="Emphasis">
    <w:name w:val="Emphasis"/>
    <w:basedOn w:val="DefaultParagraphFont"/>
    <w:uiPriority w:val="20"/>
    <w:qFormat/>
    <w:rsid w:val="00D92493"/>
    <w:rPr>
      <w:i/>
      <w:iCs/>
    </w:rPr>
  </w:style>
  <w:style w:type="character" w:styleId="Strong">
    <w:name w:val="Strong"/>
    <w:basedOn w:val="DefaultParagraphFont"/>
    <w:uiPriority w:val="22"/>
    <w:qFormat/>
    <w:rsid w:val="00D92493"/>
    <w:rPr>
      <w:b/>
      <w:bCs/>
    </w:rPr>
  </w:style>
  <w:style w:type="paragraph" w:styleId="CommentText">
    <w:name w:val="annotation text"/>
    <w:basedOn w:val="Normal"/>
    <w:link w:val="CommentTextChar"/>
    <w:uiPriority w:val="99"/>
    <w:semiHidden/>
    <w:unhideWhenUsed/>
    <w:rsid w:val="00334E51"/>
    <w:rPr>
      <w:sz w:val="20"/>
      <w:szCs w:val="20"/>
    </w:rPr>
  </w:style>
  <w:style w:type="character" w:customStyle="1" w:styleId="CommentTextChar">
    <w:name w:val="Comment Text Char"/>
    <w:basedOn w:val="DefaultParagraphFont"/>
    <w:link w:val="CommentText"/>
    <w:uiPriority w:val="99"/>
    <w:semiHidden/>
    <w:rsid w:val="00334E51"/>
    <w:rPr>
      <w:rFonts w:cs="Times New Roman"/>
      <w:sz w:val="20"/>
      <w:szCs w:val="20"/>
      <w:lang w:val="en-AU" w:eastAsia="en-GB"/>
    </w:rPr>
  </w:style>
  <w:style w:type="character" w:customStyle="1" w:styleId="apple-converted-space">
    <w:name w:val="apple-converted-space"/>
    <w:basedOn w:val="DefaultParagraphFont"/>
    <w:rsid w:val="00334E51"/>
  </w:style>
  <w:style w:type="paragraph" w:styleId="TOC4">
    <w:name w:val="toc 4"/>
    <w:basedOn w:val="Normal"/>
    <w:next w:val="Normal"/>
    <w:autoRedefine/>
    <w:uiPriority w:val="39"/>
    <w:semiHidden/>
    <w:unhideWhenUsed/>
    <w:rsid w:val="00334E51"/>
    <w:pPr>
      <w:ind w:left="720"/>
    </w:pPr>
    <w:rPr>
      <w:rFonts w:cstheme="minorHAnsi"/>
      <w:sz w:val="20"/>
      <w:szCs w:val="20"/>
    </w:rPr>
  </w:style>
  <w:style w:type="paragraph" w:styleId="TOC5">
    <w:name w:val="toc 5"/>
    <w:basedOn w:val="Normal"/>
    <w:next w:val="Normal"/>
    <w:autoRedefine/>
    <w:uiPriority w:val="39"/>
    <w:semiHidden/>
    <w:unhideWhenUsed/>
    <w:rsid w:val="00334E51"/>
    <w:pPr>
      <w:ind w:left="960"/>
    </w:pPr>
    <w:rPr>
      <w:rFonts w:cstheme="minorHAnsi"/>
      <w:sz w:val="20"/>
      <w:szCs w:val="20"/>
    </w:rPr>
  </w:style>
  <w:style w:type="paragraph" w:styleId="TOC6">
    <w:name w:val="toc 6"/>
    <w:basedOn w:val="Normal"/>
    <w:next w:val="Normal"/>
    <w:autoRedefine/>
    <w:uiPriority w:val="39"/>
    <w:semiHidden/>
    <w:unhideWhenUsed/>
    <w:rsid w:val="00334E51"/>
    <w:pPr>
      <w:ind w:left="1200"/>
    </w:pPr>
    <w:rPr>
      <w:rFonts w:cstheme="minorHAnsi"/>
      <w:sz w:val="20"/>
      <w:szCs w:val="20"/>
    </w:rPr>
  </w:style>
  <w:style w:type="paragraph" w:styleId="TOC7">
    <w:name w:val="toc 7"/>
    <w:basedOn w:val="Normal"/>
    <w:next w:val="Normal"/>
    <w:autoRedefine/>
    <w:uiPriority w:val="39"/>
    <w:semiHidden/>
    <w:unhideWhenUsed/>
    <w:rsid w:val="00334E51"/>
    <w:pPr>
      <w:ind w:left="1440"/>
    </w:pPr>
    <w:rPr>
      <w:rFonts w:cstheme="minorHAnsi"/>
      <w:sz w:val="20"/>
      <w:szCs w:val="20"/>
    </w:rPr>
  </w:style>
  <w:style w:type="paragraph" w:styleId="TOC8">
    <w:name w:val="toc 8"/>
    <w:basedOn w:val="Normal"/>
    <w:next w:val="Normal"/>
    <w:autoRedefine/>
    <w:uiPriority w:val="39"/>
    <w:semiHidden/>
    <w:unhideWhenUsed/>
    <w:rsid w:val="00334E51"/>
    <w:pPr>
      <w:ind w:left="1680"/>
    </w:pPr>
    <w:rPr>
      <w:rFonts w:cstheme="minorHAnsi"/>
      <w:sz w:val="20"/>
      <w:szCs w:val="20"/>
    </w:rPr>
  </w:style>
  <w:style w:type="paragraph" w:styleId="TOC9">
    <w:name w:val="toc 9"/>
    <w:basedOn w:val="Normal"/>
    <w:next w:val="Normal"/>
    <w:autoRedefine/>
    <w:uiPriority w:val="39"/>
    <w:semiHidden/>
    <w:unhideWhenUsed/>
    <w:rsid w:val="00334E51"/>
    <w:pPr>
      <w:ind w:left="1920"/>
    </w:pPr>
    <w:rPr>
      <w:rFonts w:cstheme="minorHAnsi"/>
      <w:sz w:val="20"/>
      <w:szCs w:val="20"/>
    </w:rPr>
  </w:style>
  <w:style w:type="character" w:customStyle="1" w:styleId="UnresolvedMention2">
    <w:name w:val="Unresolved Mention2"/>
    <w:basedOn w:val="DefaultParagraphFont"/>
    <w:uiPriority w:val="99"/>
    <w:semiHidden/>
    <w:unhideWhenUsed/>
    <w:rsid w:val="009259DA"/>
    <w:rPr>
      <w:color w:val="605E5C"/>
      <w:shd w:val="clear" w:color="auto" w:fill="E1DFDD"/>
    </w:rPr>
  </w:style>
  <w:style w:type="character" w:customStyle="1" w:styleId="ListParagraphChar">
    <w:name w:val="List Paragraph Char"/>
    <w:aliases w:val="Recommendation Char,List Paragraph1 Char,List Paragraph11 Char,L Char"/>
    <w:link w:val="ListParagraph"/>
    <w:uiPriority w:val="34"/>
    <w:locked/>
    <w:rsid w:val="00A73F55"/>
    <w:rPr>
      <w:rFonts w:cs="Times New Roman"/>
      <w:lang w:val="en-AU" w:eastAsia="en-GB"/>
    </w:rPr>
  </w:style>
  <w:style w:type="paragraph" w:customStyle="1" w:styleId="Default">
    <w:name w:val="Default"/>
    <w:rsid w:val="003572AC"/>
    <w:pPr>
      <w:autoSpaceDE w:val="0"/>
      <w:autoSpaceDN w:val="0"/>
      <w:adjustRightInd w:val="0"/>
    </w:pPr>
    <w:rPr>
      <w:rFonts w:ascii="Calibri" w:hAnsi="Calibri" w:cs="Calibri"/>
      <w:color w:val="000000"/>
      <w:lang w:val="en-GB"/>
    </w:rPr>
  </w:style>
  <w:style w:type="paragraph" w:customStyle="1" w:styleId="mpcbullets1">
    <w:name w:val="mpc bullets 1"/>
    <w:basedOn w:val="ListParagraph"/>
    <w:qFormat/>
    <w:rsid w:val="003B1577"/>
    <w:pPr>
      <w:numPr>
        <w:numId w:val="5"/>
      </w:numPr>
    </w:pPr>
    <w:rPr>
      <w:rFonts w:ascii="Calibri" w:hAnsi="Calibri"/>
    </w:rPr>
  </w:style>
  <w:style w:type="paragraph" w:styleId="BodyText">
    <w:name w:val="Body Text"/>
    <w:basedOn w:val="Normal"/>
    <w:link w:val="BodyTextChar"/>
    <w:uiPriority w:val="1"/>
    <w:qFormat/>
    <w:rsid w:val="00030727"/>
    <w:pPr>
      <w:autoSpaceDE w:val="0"/>
      <w:autoSpaceDN w:val="0"/>
      <w:adjustRightInd w:val="0"/>
      <w:spacing w:before="60"/>
      <w:ind w:left="39"/>
    </w:pPr>
    <w:rPr>
      <w:rFonts w:ascii="Arial" w:hAnsi="Arial" w:cs="Arial"/>
      <w:sz w:val="22"/>
      <w:szCs w:val="22"/>
      <w:lang w:val="en-GB" w:eastAsia="en-US"/>
    </w:rPr>
  </w:style>
  <w:style w:type="character" w:customStyle="1" w:styleId="BodyTextChar">
    <w:name w:val="Body Text Char"/>
    <w:basedOn w:val="DefaultParagraphFont"/>
    <w:link w:val="BodyText"/>
    <w:uiPriority w:val="99"/>
    <w:rsid w:val="00030727"/>
    <w:rPr>
      <w:rFonts w:ascii="Arial" w:hAnsi="Arial" w:cs="Arial"/>
      <w:sz w:val="22"/>
      <w:szCs w:val="22"/>
      <w:lang w:val="en-GB"/>
    </w:rPr>
  </w:style>
  <w:style w:type="paragraph" w:customStyle="1" w:styleId="mpcbullets2">
    <w:name w:val="mpc bullets 2"/>
    <w:basedOn w:val="Normal"/>
    <w:autoRedefine/>
    <w:qFormat/>
    <w:rsid w:val="00E0399A"/>
    <w:pPr>
      <w:numPr>
        <w:numId w:val="6"/>
      </w:numPr>
    </w:pPr>
    <w:rPr>
      <w:rFonts w:cs="Calibri"/>
    </w:rPr>
  </w:style>
  <w:style w:type="character" w:customStyle="1" w:styleId="UnresolvedMention3">
    <w:name w:val="Unresolved Mention3"/>
    <w:basedOn w:val="DefaultParagraphFont"/>
    <w:uiPriority w:val="99"/>
    <w:semiHidden/>
    <w:unhideWhenUsed/>
    <w:rsid w:val="00BF4D2B"/>
    <w:rPr>
      <w:color w:val="605E5C"/>
      <w:shd w:val="clear" w:color="auto" w:fill="E1DFDD"/>
    </w:rPr>
  </w:style>
  <w:style w:type="paragraph" w:customStyle="1" w:styleId="xmsonormal">
    <w:name w:val="x_msonormal"/>
    <w:basedOn w:val="Normal"/>
    <w:rsid w:val="003C0DC2"/>
    <w:rPr>
      <w:rFonts w:ascii="Calibri" w:eastAsiaTheme="minorHAnsi" w:hAnsi="Calibri" w:cs="Calibri"/>
      <w:sz w:val="22"/>
      <w:szCs w:val="22"/>
      <w:lang w:eastAsia="en-AU"/>
    </w:rPr>
  </w:style>
  <w:style w:type="paragraph" w:customStyle="1" w:styleId="xbullets2">
    <w:name w:val="x_bullets2"/>
    <w:basedOn w:val="Normal"/>
    <w:rsid w:val="003C0DC2"/>
    <w:pPr>
      <w:ind w:left="1080" w:hanging="360"/>
    </w:pPr>
    <w:rPr>
      <w:rFonts w:ascii="Calibri" w:eastAsiaTheme="minorHAnsi" w:hAnsi="Calibri" w:cs="Calibri"/>
      <w:lang w:eastAsia="en-AU"/>
    </w:rPr>
  </w:style>
  <w:style w:type="character" w:customStyle="1" w:styleId="UnresolvedMention4">
    <w:name w:val="Unresolved Mention4"/>
    <w:basedOn w:val="DefaultParagraphFont"/>
    <w:uiPriority w:val="99"/>
    <w:semiHidden/>
    <w:unhideWhenUsed/>
    <w:rsid w:val="00101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6337">
      <w:bodyDiv w:val="1"/>
      <w:marLeft w:val="0"/>
      <w:marRight w:val="0"/>
      <w:marTop w:val="0"/>
      <w:marBottom w:val="0"/>
      <w:divBdr>
        <w:top w:val="none" w:sz="0" w:space="0" w:color="auto"/>
        <w:left w:val="none" w:sz="0" w:space="0" w:color="auto"/>
        <w:bottom w:val="none" w:sz="0" w:space="0" w:color="auto"/>
        <w:right w:val="none" w:sz="0" w:space="0" w:color="auto"/>
      </w:divBdr>
    </w:div>
    <w:div w:id="30767559">
      <w:bodyDiv w:val="1"/>
      <w:marLeft w:val="0"/>
      <w:marRight w:val="0"/>
      <w:marTop w:val="0"/>
      <w:marBottom w:val="0"/>
      <w:divBdr>
        <w:top w:val="none" w:sz="0" w:space="0" w:color="auto"/>
        <w:left w:val="none" w:sz="0" w:space="0" w:color="auto"/>
        <w:bottom w:val="none" w:sz="0" w:space="0" w:color="auto"/>
        <w:right w:val="none" w:sz="0" w:space="0" w:color="auto"/>
      </w:divBdr>
    </w:div>
    <w:div w:id="32124568">
      <w:bodyDiv w:val="1"/>
      <w:marLeft w:val="0"/>
      <w:marRight w:val="0"/>
      <w:marTop w:val="0"/>
      <w:marBottom w:val="0"/>
      <w:divBdr>
        <w:top w:val="none" w:sz="0" w:space="0" w:color="auto"/>
        <w:left w:val="none" w:sz="0" w:space="0" w:color="auto"/>
        <w:bottom w:val="none" w:sz="0" w:space="0" w:color="auto"/>
        <w:right w:val="none" w:sz="0" w:space="0" w:color="auto"/>
      </w:divBdr>
      <w:divsChild>
        <w:div w:id="1910996000">
          <w:marLeft w:val="0"/>
          <w:marRight w:val="0"/>
          <w:marTop w:val="0"/>
          <w:marBottom w:val="0"/>
          <w:divBdr>
            <w:top w:val="none" w:sz="0" w:space="0" w:color="auto"/>
            <w:left w:val="none" w:sz="0" w:space="0" w:color="auto"/>
            <w:bottom w:val="none" w:sz="0" w:space="0" w:color="auto"/>
            <w:right w:val="none" w:sz="0" w:space="0" w:color="auto"/>
          </w:divBdr>
          <w:divsChild>
            <w:div w:id="1398167758">
              <w:marLeft w:val="0"/>
              <w:marRight w:val="0"/>
              <w:marTop w:val="0"/>
              <w:marBottom w:val="0"/>
              <w:divBdr>
                <w:top w:val="none" w:sz="0" w:space="0" w:color="auto"/>
                <w:left w:val="none" w:sz="0" w:space="0" w:color="auto"/>
                <w:bottom w:val="none" w:sz="0" w:space="0" w:color="auto"/>
                <w:right w:val="none" w:sz="0" w:space="0" w:color="auto"/>
              </w:divBdr>
              <w:divsChild>
                <w:div w:id="16905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8828">
      <w:bodyDiv w:val="1"/>
      <w:marLeft w:val="0"/>
      <w:marRight w:val="0"/>
      <w:marTop w:val="0"/>
      <w:marBottom w:val="0"/>
      <w:divBdr>
        <w:top w:val="none" w:sz="0" w:space="0" w:color="auto"/>
        <w:left w:val="none" w:sz="0" w:space="0" w:color="auto"/>
        <w:bottom w:val="none" w:sz="0" w:space="0" w:color="auto"/>
        <w:right w:val="none" w:sz="0" w:space="0" w:color="auto"/>
      </w:divBdr>
    </w:div>
    <w:div w:id="43677910">
      <w:bodyDiv w:val="1"/>
      <w:marLeft w:val="0"/>
      <w:marRight w:val="0"/>
      <w:marTop w:val="0"/>
      <w:marBottom w:val="0"/>
      <w:divBdr>
        <w:top w:val="none" w:sz="0" w:space="0" w:color="auto"/>
        <w:left w:val="none" w:sz="0" w:space="0" w:color="auto"/>
        <w:bottom w:val="none" w:sz="0" w:space="0" w:color="auto"/>
        <w:right w:val="none" w:sz="0" w:space="0" w:color="auto"/>
      </w:divBdr>
    </w:div>
    <w:div w:id="96097091">
      <w:bodyDiv w:val="1"/>
      <w:marLeft w:val="0"/>
      <w:marRight w:val="0"/>
      <w:marTop w:val="0"/>
      <w:marBottom w:val="0"/>
      <w:divBdr>
        <w:top w:val="none" w:sz="0" w:space="0" w:color="auto"/>
        <w:left w:val="none" w:sz="0" w:space="0" w:color="auto"/>
        <w:bottom w:val="none" w:sz="0" w:space="0" w:color="auto"/>
        <w:right w:val="none" w:sz="0" w:space="0" w:color="auto"/>
      </w:divBdr>
    </w:div>
    <w:div w:id="101845115">
      <w:bodyDiv w:val="1"/>
      <w:marLeft w:val="0"/>
      <w:marRight w:val="0"/>
      <w:marTop w:val="0"/>
      <w:marBottom w:val="0"/>
      <w:divBdr>
        <w:top w:val="none" w:sz="0" w:space="0" w:color="auto"/>
        <w:left w:val="none" w:sz="0" w:space="0" w:color="auto"/>
        <w:bottom w:val="none" w:sz="0" w:space="0" w:color="auto"/>
        <w:right w:val="none" w:sz="0" w:space="0" w:color="auto"/>
      </w:divBdr>
    </w:div>
    <w:div w:id="106000502">
      <w:bodyDiv w:val="1"/>
      <w:marLeft w:val="0"/>
      <w:marRight w:val="0"/>
      <w:marTop w:val="0"/>
      <w:marBottom w:val="0"/>
      <w:divBdr>
        <w:top w:val="none" w:sz="0" w:space="0" w:color="auto"/>
        <w:left w:val="none" w:sz="0" w:space="0" w:color="auto"/>
        <w:bottom w:val="none" w:sz="0" w:space="0" w:color="auto"/>
        <w:right w:val="none" w:sz="0" w:space="0" w:color="auto"/>
      </w:divBdr>
    </w:div>
    <w:div w:id="111170686">
      <w:bodyDiv w:val="1"/>
      <w:marLeft w:val="0"/>
      <w:marRight w:val="0"/>
      <w:marTop w:val="0"/>
      <w:marBottom w:val="0"/>
      <w:divBdr>
        <w:top w:val="none" w:sz="0" w:space="0" w:color="auto"/>
        <w:left w:val="none" w:sz="0" w:space="0" w:color="auto"/>
        <w:bottom w:val="none" w:sz="0" w:space="0" w:color="auto"/>
        <w:right w:val="none" w:sz="0" w:space="0" w:color="auto"/>
      </w:divBdr>
      <w:divsChild>
        <w:div w:id="78868541">
          <w:marLeft w:val="0"/>
          <w:marRight w:val="0"/>
          <w:marTop w:val="0"/>
          <w:marBottom w:val="0"/>
          <w:divBdr>
            <w:top w:val="none" w:sz="0" w:space="0" w:color="auto"/>
            <w:left w:val="none" w:sz="0" w:space="0" w:color="auto"/>
            <w:bottom w:val="none" w:sz="0" w:space="0" w:color="auto"/>
            <w:right w:val="none" w:sz="0" w:space="0" w:color="auto"/>
          </w:divBdr>
          <w:divsChild>
            <w:div w:id="36704084">
              <w:marLeft w:val="0"/>
              <w:marRight w:val="0"/>
              <w:marTop w:val="0"/>
              <w:marBottom w:val="0"/>
              <w:divBdr>
                <w:top w:val="none" w:sz="0" w:space="0" w:color="auto"/>
                <w:left w:val="none" w:sz="0" w:space="0" w:color="auto"/>
                <w:bottom w:val="none" w:sz="0" w:space="0" w:color="auto"/>
                <w:right w:val="none" w:sz="0" w:space="0" w:color="auto"/>
              </w:divBdr>
              <w:divsChild>
                <w:div w:id="10295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7199">
      <w:bodyDiv w:val="1"/>
      <w:marLeft w:val="0"/>
      <w:marRight w:val="0"/>
      <w:marTop w:val="0"/>
      <w:marBottom w:val="0"/>
      <w:divBdr>
        <w:top w:val="none" w:sz="0" w:space="0" w:color="auto"/>
        <w:left w:val="none" w:sz="0" w:space="0" w:color="auto"/>
        <w:bottom w:val="none" w:sz="0" w:space="0" w:color="auto"/>
        <w:right w:val="none" w:sz="0" w:space="0" w:color="auto"/>
      </w:divBdr>
    </w:div>
    <w:div w:id="118377498">
      <w:bodyDiv w:val="1"/>
      <w:marLeft w:val="0"/>
      <w:marRight w:val="0"/>
      <w:marTop w:val="0"/>
      <w:marBottom w:val="0"/>
      <w:divBdr>
        <w:top w:val="none" w:sz="0" w:space="0" w:color="auto"/>
        <w:left w:val="none" w:sz="0" w:space="0" w:color="auto"/>
        <w:bottom w:val="none" w:sz="0" w:space="0" w:color="auto"/>
        <w:right w:val="none" w:sz="0" w:space="0" w:color="auto"/>
      </w:divBdr>
    </w:div>
    <w:div w:id="129396405">
      <w:bodyDiv w:val="1"/>
      <w:marLeft w:val="0"/>
      <w:marRight w:val="0"/>
      <w:marTop w:val="0"/>
      <w:marBottom w:val="0"/>
      <w:divBdr>
        <w:top w:val="none" w:sz="0" w:space="0" w:color="auto"/>
        <w:left w:val="none" w:sz="0" w:space="0" w:color="auto"/>
        <w:bottom w:val="none" w:sz="0" w:space="0" w:color="auto"/>
        <w:right w:val="none" w:sz="0" w:space="0" w:color="auto"/>
      </w:divBdr>
      <w:divsChild>
        <w:div w:id="2067947026">
          <w:marLeft w:val="0"/>
          <w:marRight w:val="0"/>
          <w:marTop w:val="0"/>
          <w:marBottom w:val="0"/>
          <w:divBdr>
            <w:top w:val="none" w:sz="0" w:space="0" w:color="auto"/>
            <w:left w:val="none" w:sz="0" w:space="0" w:color="auto"/>
            <w:bottom w:val="none" w:sz="0" w:space="0" w:color="auto"/>
            <w:right w:val="none" w:sz="0" w:space="0" w:color="auto"/>
          </w:divBdr>
          <w:divsChild>
            <w:div w:id="1567573634">
              <w:marLeft w:val="0"/>
              <w:marRight w:val="0"/>
              <w:marTop w:val="0"/>
              <w:marBottom w:val="0"/>
              <w:divBdr>
                <w:top w:val="none" w:sz="0" w:space="0" w:color="auto"/>
                <w:left w:val="none" w:sz="0" w:space="0" w:color="auto"/>
                <w:bottom w:val="none" w:sz="0" w:space="0" w:color="auto"/>
                <w:right w:val="none" w:sz="0" w:space="0" w:color="auto"/>
              </w:divBdr>
              <w:divsChild>
                <w:div w:id="18514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3219">
      <w:bodyDiv w:val="1"/>
      <w:marLeft w:val="0"/>
      <w:marRight w:val="0"/>
      <w:marTop w:val="0"/>
      <w:marBottom w:val="0"/>
      <w:divBdr>
        <w:top w:val="none" w:sz="0" w:space="0" w:color="auto"/>
        <w:left w:val="none" w:sz="0" w:space="0" w:color="auto"/>
        <w:bottom w:val="none" w:sz="0" w:space="0" w:color="auto"/>
        <w:right w:val="none" w:sz="0" w:space="0" w:color="auto"/>
      </w:divBdr>
      <w:divsChild>
        <w:div w:id="2089034011">
          <w:marLeft w:val="0"/>
          <w:marRight w:val="0"/>
          <w:marTop w:val="0"/>
          <w:marBottom w:val="0"/>
          <w:divBdr>
            <w:top w:val="none" w:sz="0" w:space="0" w:color="auto"/>
            <w:left w:val="none" w:sz="0" w:space="0" w:color="auto"/>
            <w:bottom w:val="none" w:sz="0" w:space="0" w:color="auto"/>
            <w:right w:val="none" w:sz="0" w:space="0" w:color="auto"/>
          </w:divBdr>
          <w:divsChild>
            <w:div w:id="1458910799">
              <w:marLeft w:val="0"/>
              <w:marRight w:val="0"/>
              <w:marTop w:val="0"/>
              <w:marBottom w:val="0"/>
              <w:divBdr>
                <w:top w:val="none" w:sz="0" w:space="0" w:color="auto"/>
                <w:left w:val="none" w:sz="0" w:space="0" w:color="auto"/>
                <w:bottom w:val="none" w:sz="0" w:space="0" w:color="auto"/>
                <w:right w:val="none" w:sz="0" w:space="0" w:color="auto"/>
              </w:divBdr>
              <w:divsChild>
                <w:div w:id="783499221">
                  <w:marLeft w:val="0"/>
                  <w:marRight w:val="0"/>
                  <w:marTop w:val="0"/>
                  <w:marBottom w:val="0"/>
                  <w:divBdr>
                    <w:top w:val="none" w:sz="0" w:space="0" w:color="auto"/>
                    <w:left w:val="none" w:sz="0" w:space="0" w:color="auto"/>
                    <w:bottom w:val="none" w:sz="0" w:space="0" w:color="auto"/>
                    <w:right w:val="none" w:sz="0" w:space="0" w:color="auto"/>
                  </w:divBdr>
                  <w:divsChild>
                    <w:div w:id="117716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37040">
      <w:bodyDiv w:val="1"/>
      <w:marLeft w:val="0"/>
      <w:marRight w:val="0"/>
      <w:marTop w:val="0"/>
      <w:marBottom w:val="0"/>
      <w:divBdr>
        <w:top w:val="none" w:sz="0" w:space="0" w:color="auto"/>
        <w:left w:val="none" w:sz="0" w:space="0" w:color="auto"/>
        <w:bottom w:val="none" w:sz="0" w:space="0" w:color="auto"/>
        <w:right w:val="none" w:sz="0" w:space="0" w:color="auto"/>
      </w:divBdr>
    </w:div>
    <w:div w:id="152458520">
      <w:bodyDiv w:val="1"/>
      <w:marLeft w:val="0"/>
      <w:marRight w:val="0"/>
      <w:marTop w:val="0"/>
      <w:marBottom w:val="0"/>
      <w:divBdr>
        <w:top w:val="none" w:sz="0" w:space="0" w:color="auto"/>
        <w:left w:val="none" w:sz="0" w:space="0" w:color="auto"/>
        <w:bottom w:val="none" w:sz="0" w:space="0" w:color="auto"/>
        <w:right w:val="none" w:sz="0" w:space="0" w:color="auto"/>
      </w:divBdr>
    </w:div>
    <w:div w:id="181630624">
      <w:bodyDiv w:val="1"/>
      <w:marLeft w:val="0"/>
      <w:marRight w:val="0"/>
      <w:marTop w:val="0"/>
      <w:marBottom w:val="0"/>
      <w:divBdr>
        <w:top w:val="none" w:sz="0" w:space="0" w:color="auto"/>
        <w:left w:val="none" w:sz="0" w:space="0" w:color="auto"/>
        <w:bottom w:val="none" w:sz="0" w:space="0" w:color="auto"/>
        <w:right w:val="none" w:sz="0" w:space="0" w:color="auto"/>
      </w:divBdr>
    </w:div>
    <w:div w:id="187332452">
      <w:bodyDiv w:val="1"/>
      <w:marLeft w:val="0"/>
      <w:marRight w:val="0"/>
      <w:marTop w:val="0"/>
      <w:marBottom w:val="0"/>
      <w:divBdr>
        <w:top w:val="none" w:sz="0" w:space="0" w:color="auto"/>
        <w:left w:val="none" w:sz="0" w:space="0" w:color="auto"/>
        <w:bottom w:val="none" w:sz="0" w:space="0" w:color="auto"/>
        <w:right w:val="none" w:sz="0" w:space="0" w:color="auto"/>
      </w:divBdr>
    </w:div>
    <w:div w:id="192501734">
      <w:bodyDiv w:val="1"/>
      <w:marLeft w:val="0"/>
      <w:marRight w:val="0"/>
      <w:marTop w:val="0"/>
      <w:marBottom w:val="0"/>
      <w:divBdr>
        <w:top w:val="none" w:sz="0" w:space="0" w:color="auto"/>
        <w:left w:val="none" w:sz="0" w:space="0" w:color="auto"/>
        <w:bottom w:val="none" w:sz="0" w:space="0" w:color="auto"/>
        <w:right w:val="none" w:sz="0" w:space="0" w:color="auto"/>
      </w:divBdr>
      <w:divsChild>
        <w:div w:id="879895912">
          <w:marLeft w:val="144"/>
          <w:marRight w:val="0"/>
          <w:marTop w:val="240"/>
          <w:marBottom w:val="40"/>
          <w:divBdr>
            <w:top w:val="none" w:sz="0" w:space="0" w:color="auto"/>
            <w:left w:val="none" w:sz="0" w:space="0" w:color="auto"/>
            <w:bottom w:val="none" w:sz="0" w:space="0" w:color="auto"/>
            <w:right w:val="none" w:sz="0" w:space="0" w:color="auto"/>
          </w:divBdr>
        </w:div>
      </w:divsChild>
    </w:div>
    <w:div w:id="210583439">
      <w:bodyDiv w:val="1"/>
      <w:marLeft w:val="0"/>
      <w:marRight w:val="0"/>
      <w:marTop w:val="0"/>
      <w:marBottom w:val="0"/>
      <w:divBdr>
        <w:top w:val="none" w:sz="0" w:space="0" w:color="auto"/>
        <w:left w:val="none" w:sz="0" w:space="0" w:color="auto"/>
        <w:bottom w:val="none" w:sz="0" w:space="0" w:color="auto"/>
        <w:right w:val="none" w:sz="0" w:space="0" w:color="auto"/>
      </w:divBdr>
    </w:div>
    <w:div w:id="223031569">
      <w:bodyDiv w:val="1"/>
      <w:marLeft w:val="0"/>
      <w:marRight w:val="0"/>
      <w:marTop w:val="0"/>
      <w:marBottom w:val="0"/>
      <w:divBdr>
        <w:top w:val="none" w:sz="0" w:space="0" w:color="auto"/>
        <w:left w:val="none" w:sz="0" w:space="0" w:color="auto"/>
        <w:bottom w:val="none" w:sz="0" w:space="0" w:color="auto"/>
        <w:right w:val="none" w:sz="0" w:space="0" w:color="auto"/>
      </w:divBdr>
      <w:divsChild>
        <w:div w:id="1198273827">
          <w:marLeft w:val="0"/>
          <w:marRight w:val="0"/>
          <w:marTop w:val="0"/>
          <w:marBottom w:val="0"/>
          <w:divBdr>
            <w:top w:val="none" w:sz="0" w:space="0" w:color="auto"/>
            <w:left w:val="none" w:sz="0" w:space="0" w:color="auto"/>
            <w:bottom w:val="none" w:sz="0" w:space="0" w:color="auto"/>
            <w:right w:val="none" w:sz="0" w:space="0" w:color="auto"/>
          </w:divBdr>
          <w:divsChild>
            <w:div w:id="72162468">
              <w:marLeft w:val="0"/>
              <w:marRight w:val="0"/>
              <w:marTop w:val="0"/>
              <w:marBottom w:val="0"/>
              <w:divBdr>
                <w:top w:val="none" w:sz="0" w:space="0" w:color="auto"/>
                <w:left w:val="none" w:sz="0" w:space="0" w:color="auto"/>
                <w:bottom w:val="none" w:sz="0" w:space="0" w:color="auto"/>
                <w:right w:val="none" w:sz="0" w:space="0" w:color="auto"/>
              </w:divBdr>
              <w:divsChild>
                <w:div w:id="20571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232651">
      <w:bodyDiv w:val="1"/>
      <w:marLeft w:val="0"/>
      <w:marRight w:val="0"/>
      <w:marTop w:val="0"/>
      <w:marBottom w:val="0"/>
      <w:divBdr>
        <w:top w:val="none" w:sz="0" w:space="0" w:color="auto"/>
        <w:left w:val="none" w:sz="0" w:space="0" w:color="auto"/>
        <w:bottom w:val="none" w:sz="0" w:space="0" w:color="auto"/>
        <w:right w:val="none" w:sz="0" w:space="0" w:color="auto"/>
      </w:divBdr>
    </w:div>
    <w:div w:id="230386667">
      <w:bodyDiv w:val="1"/>
      <w:marLeft w:val="0"/>
      <w:marRight w:val="0"/>
      <w:marTop w:val="0"/>
      <w:marBottom w:val="0"/>
      <w:divBdr>
        <w:top w:val="none" w:sz="0" w:space="0" w:color="auto"/>
        <w:left w:val="none" w:sz="0" w:space="0" w:color="auto"/>
        <w:bottom w:val="none" w:sz="0" w:space="0" w:color="auto"/>
        <w:right w:val="none" w:sz="0" w:space="0" w:color="auto"/>
      </w:divBdr>
      <w:divsChild>
        <w:div w:id="1719089016">
          <w:marLeft w:val="0"/>
          <w:marRight w:val="0"/>
          <w:marTop w:val="0"/>
          <w:marBottom w:val="0"/>
          <w:divBdr>
            <w:top w:val="none" w:sz="0" w:space="0" w:color="auto"/>
            <w:left w:val="none" w:sz="0" w:space="0" w:color="auto"/>
            <w:bottom w:val="none" w:sz="0" w:space="0" w:color="auto"/>
            <w:right w:val="none" w:sz="0" w:space="0" w:color="auto"/>
          </w:divBdr>
          <w:divsChild>
            <w:div w:id="1129518478">
              <w:marLeft w:val="0"/>
              <w:marRight w:val="0"/>
              <w:marTop w:val="0"/>
              <w:marBottom w:val="0"/>
              <w:divBdr>
                <w:top w:val="none" w:sz="0" w:space="0" w:color="auto"/>
                <w:left w:val="none" w:sz="0" w:space="0" w:color="auto"/>
                <w:bottom w:val="none" w:sz="0" w:space="0" w:color="auto"/>
                <w:right w:val="none" w:sz="0" w:space="0" w:color="auto"/>
              </w:divBdr>
              <w:divsChild>
                <w:div w:id="1126004309">
                  <w:marLeft w:val="0"/>
                  <w:marRight w:val="0"/>
                  <w:marTop w:val="0"/>
                  <w:marBottom w:val="0"/>
                  <w:divBdr>
                    <w:top w:val="none" w:sz="0" w:space="0" w:color="auto"/>
                    <w:left w:val="none" w:sz="0" w:space="0" w:color="auto"/>
                    <w:bottom w:val="none" w:sz="0" w:space="0" w:color="auto"/>
                    <w:right w:val="none" w:sz="0" w:space="0" w:color="auto"/>
                  </w:divBdr>
                  <w:divsChild>
                    <w:div w:id="12257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744560">
      <w:bodyDiv w:val="1"/>
      <w:marLeft w:val="0"/>
      <w:marRight w:val="0"/>
      <w:marTop w:val="0"/>
      <w:marBottom w:val="0"/>
      <w:divBdr>
        <w:top w:val="none" w:sz="0" w:space="0" w:color="auto"/>
        <w:left w:val="none" w:sz="0" w:space="0" w:color="auto"/>
        <w:bottom w:val="none" w:sz="0" w:space="0" w:color="auto"/>
        <w:right w:val="none" w:sz="0" w:space="0" w:color="auto"/>
      </w:divBdr>
      <w:divsChild>
        <w:div w:id="1979915910">
          <w:marLeft w:val="0"/>
          <w:marRight w:val="0"/>
          <w:marTop w:val="0"/>
          <w:marBottom w:val="0"/>
          <w:divBdr>
            <w:top w:val="none" w:sz="0" w:space="0" w:color="auto"/>
            <w:left w:val="none" w:sz="0" w:space="0" w:color="auto"/>
            <w:bottom w:val="none" w:sz="0" w:space="0" w:color="auto"/>
            <w:right w:val="none" w:sz="0" w:space="0" w:color="auto"/>
          </w:divBdr>
          <w:divsChild>
            <w:div w:id="884678543">
              <w:marLeft w:val="0"/>
              <w:marRight w:val="0"/>
              <w:marTop w:val="0"/>
              <w:marBottom w:val="0"/>
              <w:divBdr>
                <w:top w:val="none" w:sz="0" w:space="0" w:color="auto"/>
                <w:left w:val="none" w:sz="0" w:space="0" w:color="auto"/>
                <w:bottom w:val="none" w:sz="0" w:space="0" w:color="auto"/>
                <w:right w:val="none" w:sz="0" w:space="0" w:color="auto"/>
              </w:divBdr>
              <w:divsChild>
                <w:div w:id="792408372">
                  <w:marLeft w:val="0"/>
                  <w:marRight w:val="0"/>
                  <w:marTop w:val="0"/>
                  <w:marBottom w:val="0"/>
                  <w:divBdr>
                    <w:top w:val="none" w:sz="0" w:space="0" w:color="auto"/>
                    <w:left w:val="none" w:sz="0" w:space="0" w:color="auto"/>
                    <w:bottom w:val="none" w:sz="0" w:space="0" w:color="auto"/>
                    <w:right w:val="none" w:sz="0" w:space="0" w:color="auto"/>
                  </w:divBdr>
                </w:div>
              </w:divsChild>
            </w:div>
            <w:div w:id="47730209">
              <w:marLeft w:val="0"/>
              <w:marRight w:val="0"/>
              <w:marTop w:val="0"/>
              <w:marBottom w:val="0"/>
              <w:divBdr>
                <w:top w:val="none" w:sz="0" w:space="0" w:color="auto"/>
                <w:left w:val="none" w:sz="0" w:space="0" w:color="auto"/>
                <w:bottom w:val="none" w:sz="0" w:space="0" w:color="auto"/>
                <w:right w:val="none" w:sz="0" w:space="0" w:color="auto"/>
              </w:divBdr>
              <w:divsChild>
                <w:div w:id="944312228">
                  <w:marLeft w:val="0"/>
                  <w:marRight w:val="0"/>
                  <w:marTop w:val="0"/>
                  <w:marBottom w:val="0"/>
                  <w:divBdr>
                    <w:top w:val="none" w:sz="0" w:space="0" w:color="auto"/>
                    <w:left w:val="none" w:sz="0" w:space="0" w:color="auto"/>
                    <w:bottom w:val="none" w:sz="0" w:space="0" w:color="auto"/>
                    <w:right w:val="none" w:sz="0" w:space="0" w:color="auto"/>
                  </w:divBdr>
                  <w:divsChild>
                    <w:div w:id="1298487168">
                      <w:marLeft w:val="0"/>
                      <w:marRight w:val="0"/>
                      <w:marTop w:val="0"/>
                      <w:marBottom w:val="0"/>
                      <w:divBdr>
                        <w:top w:val="none" w:sz="0" w:space="0" w:color="auto"/>
                        <w:left w:val="none" w:sz="0" w:space="0" w:color="auto"/>
                        <w:bottom w:val="none" w:sz="0" w:space="0" w:color="auto"/>
                        <w:right w:val="none" w:sz="0" w:space="0" w:color="auto"/>
                      </w:divBdr>
                    </w:div>
                    <w:div w:id="1579906049">
                      <w:marLeft w:val="0"/>
                      <w:marRight w:val="0"/>
                      <w:marTop w:val="0"/>
                      <w:marBottom w:val="0"/>
                      <w:divBdr>
                        <w:top w:val="none" w:sz="0" w:space="0" w:color="auto"/>
                        <w:left w:val="none" w:sz="0" w:space="0" w:color="auto"/>
                        <w:bottom w:val="none" w:sz="0" w:space="0" w:color="auto"/>
                        <w:right w:val="none" w:sz="0" w:space="0" w:color="auto"/>
                      </w:divBdr>
                    </w:div>
                    <w:div w:id="2071339798">
                      <w:marLeft w:val="0"/>
                      <w:marRight w:val="0"/>
                      <w:marTop w:val="0"/>
                      <w:marBottom w:val="0"/>
                      <w:divBdr>
                        <w:top w:val="none" w:sz="0" w:space="0" w:color="auto"/>
                        <w:left w:val="none" w:sz="0" w:space="0" w:color="auto"/>
                        <w:bottom w:val="none" w:sz="0" w:space="0" w:color="auto"/>
                        <w:right w:val="none" w:sz="0" w:space="0" w:color="auto"/>
                      </w:divBdr>
                    </w:div>
                    <w:div w:id="2293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58724">
              <w:marLeft w:val="0"/>
              <w:marRight w:val="0"/>
              <w:marTop w:val="0"/>
              <w:marBottom w:val="0"/>
              <w:divBdr>
                <w:top w:val="none" w:sz="0" w:space="0" w:color="auto"/>
                <w:left w:val="none" w:sz="0" w:space="0" w:color="auto"/>
                <w:bottom w:val="none" w:sz="0" w:space="0" w:color="auto"/>
                <w:right w:val="none" w:sz="0" w:space="0" w:color="auto"/>
              </w:divBdr>
              <w:divsChild>
                <w:div w:id="197351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6314">
      <w:bodyDiv w:val="1"/>
      <w:marLeft w:val="0"/>
      <w:marRight w:val="0"/>
      <w:marTop w:val="0"/>
      <w:marBottom w:val="0"/>
      <w:divBdr>
        <w:top w:val="none" w:sz="0" w:space="0" w:color="auto"/>
        <w:left w:val="none" w:sz="0" w:space="0" w:color="auto"/>
        <w:bottom w:val="none" w:sz="0" w:space="0" w:color="auto"/>
        <w:right w:val="none" w:sz="0" w:space="0" w:color="auto"/>
      </w:divBdr>
      <w:divsChild>
        <w:div w:id="1366523720">
          <w:marLeft w:val="0"/>
          <w:marRight w:val="0"/>
          <w:marTop w:val="0"/>
          <w:marBottom w:val="0"/>
          <w:divBdr>
            <w:top w:val="none" w:sz="0" w:space="0" w:color="auto"/>
            <w:left w:val="none" w:sz="0" w:space="0" w:color="auto"/>
            <w:bottom w:val="none" w:sz="0" w:space="0" w:color="auto"/>
            <w:right w:val="none" w:sz="0" w:space="0" w:color="auto"/>
          </w:divBdr>
          <w:divsChild>
            <w:div w:id="1931114123">
              <w:marLeft w:val="0"/>
              <w:marRight w:val="0"/>
              <w:marTop w:val="0"/>
              <w:marBottom w:val="0"/>
              <w:divBdr>
                <w:top w:val="none" w:sz="0" w:space="0" w:color="auto"/>
                <w:left w:val="none" w:sz="0" w:space="0" w:color="auto"/>
                <w:bottom w:val="none" w:sz="0" w:space="0" w:color="auto"/>
                <w:right w:val="none" w:sz="0" w:space="0" w:color="auto"/>
              </w:divBdr>
              <w:divsChild>
                <w:div w:id="201944969">
                  <w:marLeft w:val="0"/>
                  <w:marRight w:val="0"/>
                  <w:marTop w:val="0"/>
                  <w:marBottom w:val="0"/>
                  <w:divBdr>
                    <w:top w:val="none" w:sz="0" w:space="0" w:color="auto"/>
                    <w:left w:val="none" w:sz="0" w:space="0" w:color="auto"/>
                    <w:bottom w:val="none" w:sz="0" w:space="0" w:color="auto"/>
                    <w:right w:val="none" w:sz="0" w:space="0" w:color="auto"/>
                  </w:divBdr>
                  <w:divsChild>
                    <w:div w:id="1838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272569">
      <w:bodyDiv w:val="1"/>
      <w:marLeft w:val="0"/>
      <w:marRight w:val="0"/>
      <w:marTop w:val="0"/>
      <w:marBottom w:val="0"/>
      <w:divBdr>
        <w:top w:val="none" w:sz="0" w:space="0" w:color="auto"/>
        <w:left w:val="none" w:sz="0" w:space="0" w:color="auto"/>
        <w:bottom w:val="none" w:sz="0" w:space="0" w:color="auto"/>
        <w:right w:val="none" w:sz="0" w:space="0" w:color="auto"/>
      </w:divBdr>
    </w:div>
    <w:div w:id="265969268">
      <w:bodyDiv w:val="1"/>
      <w:marLeft w:val="0"/>
      <w:marRight w:val="0"/>
      <w:marTop w:val="0"/>
      <w:marBottom w:val="0"/>
      <w:divBdr>
        <w:top w:val="none" w:sz="0" w:space="0" w:color="auto"/>
        <w:left w:val="none" w:sz="0" w:space="0" w:color="auto"/>
        <w:bottom w:val="none" w:sz="0" w:space="0" w:color="auto"/>
        <w:right w:val="none" w:sz="0" w:space="0" w:color="auto"/>
      </w:divBdr>
    </w:div>
    <w:div w:id="279580526">
      <w:bodyDiv w:val="1"/>
      <w:marLeft w:val="0"/>
      <w:marRight w:val="0"/>
      <w:marTop w:val="0"/>
      <w:marBottom w:val="0"/>
      <w:divBdr>
        <w:top w:val="none" w:sz="0" w:space="0" w:color="auto"/>
        <w:left w:val="none" w:sz="0" w:space="0" w:color="auto"/>
        <w:bottom w:val="none" w:sz="0" w:space="0" w:color="auto"/>
        <w:right w:val="none" w:sz="0" w:space="0" w:color="auto"/>
      </w:divBdr>
      <w:divsChild>
        <w:div w:id="1021398177">
          <w:marLeft w:val="144"/>
          <w:marRight w:val="0"/>
          <w:marTop w:val="240"/>
          <w:marBottom w:val="40"/>
          <w:divBdr>
            <w:top w:val="none" w:sz="0" w:space="0" w:color="auto"/>
            <w:left w:val="none" w:sz="0" w:space="0" w:color="auto"/>
            <w:bottom w:val="none" w:sz="0" w:space="0" w:color="auto"/>
            <w:right w:val="none" w:sz="0" w:space="0" w:color="auto"/>
          </w:divBdr>
        </w:div>
        <w:div w:id="889415838">
          <w:marLeft w:val="144"/>
          <w:marRight w:val="0"/>
          <w:marTop w:val="240"/>
          <w:marBottom w:val="40"/>
          <w:divBdr>
            <w:top w:val="none" w:sz="0" w:space="0" w:color="auto"/>
            <w:left w:val="none" w:sz="0" w:space="0" w:color="auto"/>
            <w:bottom w:val="none" w:sz="0" w:space="0" w:color="auto"/>
            <w:right w:val="none" w:sz="0" w:space="0" w:color="auto"/>
          </w:divBdr>
        </w:div>
        <w:div w:id="714231341">
          <w:marLeft w:val="144"/>
          <w:marRight w:val="0"/>
          <w:marTop w:val="240"/>
          <w:marBottom w:val="40"/>
          <w:divBdr>
            <w:top w:val="none" w:sz="0" w:space="0" w:color="auto"/>
            <w:left w:val="none" w:sz="0" w:space="0" w:color="auto"/>
            <w:bottom w:val="none" w:sz="0" w:space="0" w:color="auto"/>
            <w:right w:val="none" w:sz="0" w:space="0" w:color="auto"/>
          </w:divBdr>
        </w:div>
        <w:div w:id="424375706">
          <w:marLeft w:val="144"/>
          <w:marRight w:val="0"/>
          <w:marTop w:val="240"/>
          <w:marBottom w:val="40"/>
          <w:divBdr>
            <w:top w:val="none" w:sz="0" w:space="0" w:color="auto"/>
            <w:left w:val="none" w:sz="0" w:space="0" w:color="auto"/>
            <w:bottom w:val="none" w:sz="0" w:space="0" w:color="auto"/>
            <w:right w:val="none" w:sz="0" w:space="0" w:color="auto"/>
          </w:divBdr>
        </w:div>
        <w:div w:id="1650207698">
          <w:marLeft w:val="144"/>
          <w:marRight w:val="0"/>
          <w:marTop w:val="240"/>
          <w:marBottom w:val="40"/>
          <w:divBdr>
            <w:top w:val="none" w:sz="0" w:space="0" w:color="auto"/>
            <w:left w:val="none" w:sz="0" w:space="0" w:color="auto"/>
            <w:bottom w:val="none" w:sz="0" w:space="0" w:color="auto"/>
            <w:right w:val="none" w:sz="0" w:space="0" w:color="auto"/>
          </w:divBdr>
        </w:div>
        <w:div w:id="751783930">
          <w:marLeft w:val="144"/>
          <w:marRight w:val="0"/>
          <w:marTop w:val="240"/>
          <w:marBottom w:val="40"/>
          <w:divBdr>
            <w:top w:val="none" w:sz="0" w:space="0" w:color="auto"/>
            <w:left w:val="none" w:sz="0" w:space="0" w:color="auto"/>
            <w:bottom w:val="none" w:sz="0" w:space="0" w:color="auto"/>
            <w:right w:val="none" w:sz="0" w:space="0" w:color="auto"/>
          </w:divBdr>
        </w:div>
        <w:div w:id="1410537170">
          <w:marLeft w:val="144"/>
          <w:marRight w:val="0"/>
          <w:marTop w:val="240"/>
          <w:marBottom w:val="40"/>
          <w:divBdr>
            <w:top w:val="none" w:sz="0" w:space="0" w:color="auto"/>
            <w:left w:val="none" w:sz="0" w:space="0" w:color="auto"/>
            <w:bottom w:val="none" w:sz="0" w:space="0" w:color="auto"/>
            <w:right w:val="none" w:sz="0" w:space="0" w:color="auto"/>
          </w:divBdr>
        </w:div>
        <w:div w:id="2051957967">
          <w:marLeft w:val="144"/>
          <w:marRight w:val="0"/>
          <w:marTop w:val="240"/>
          <w:marBottom w:val="40"/>
          <w:divBdr>
            <w:top w:val="none" w:sz="0" w:space="0" w:color="auto"/>
            <w:left w:val="none" w:sz="0" w:space="0" w:color="auto"/>
            <w:bottom w:val="none" w:sz="0" w:space="0" w:color="auto"/>
            <w:right w:val="none" w:sz="0" w:space="0" w:color="auto"/>
          </w:divBdr>
        </w:div>
      </w:divsChild>
    </w:div>
    <w:div w:id="286663626">
      <w:bodyDiv w:val="1"/>
      <w:marLeft w:val="0"/>
      <w:marRight w:val="0"/>
      <w:marTop w:val="0"/>
      <w:marBottom w:val="0"/>
      <w:divBdr>
        <w:top w:val="none" w:sz="0" w:space="0" w:color="auto"/>
        <w:left w:val="none" w:sz="0" w:space="0" w:color="auto"/>
        <w:bottom w:val="none" w:sz="0" w:space="0" w:color="auto"/>
        <w:right w:val="none" w:sz="0" w:space="0" w:color="auto"/>
      </w:divBdr>
    </w:div>
    <w:div w:id="294797126">
      <w:bodyDiv w:val="1"/>
      <w:marLeft w:val="0"/>
      <w:marRight w:val="0"/>
      <w:marTop w:val="0"/>
      <w:marBottom w:val="0"/>
      <w:divBdr>
        <w:top w:val="none" w:sz="0" w:space="0" w:color="auto"/>
        <w:left w:val="none" w:sz="0" w:space="0" w:color="auto"/>
        <w:bottom w:val="none" w:sz="0" w:space="0" w:color="auto"/>
        <w:right w:val="none" w:sz="0" w:space="0" w:color="auto"/>
      </w:divBdr>
    </w:div>
    <w:div w:id="299653561">
      <w:bodyDiv w:val="1"/>
      <w:marLeft w:val="0"/>
      <w:marRight w:val="0"/>
      <w:marTop w:val="0"/>
      <w:marBottom w:val="0"/>
      <w:divBdr>
        <w:top w:val="none" w:sz="0" w:space="0" w:color="auto"/>
        <w:left w:val="none" w:sz="0" w:space="0" w:color="auto"/>
        <w:bottom w:val="none" w:sz="0" w:space="0" w:color="auto"/>
        <w:right w:val="none" w:sz="0" w:space="0" w:color="auto"/>
      </w:divBdr>
    </w:div>
    <w:div w:id="299922574">
      <w:bodyDiv w:val="1"/>
      <w:marLeft w:val="0"/>
      <w:marRight w:val="0"/>
      <w:marTop w:val="0"/>
      <w:marBottom w:val="0"/>
      <w:divBdr>
        <w:top w:val="none" w:sz="0" w:space="0" w:color="auto"/>
        <w:left w:val="none" w:sz="0" w:space="0" w:color="auto"/>
        <w:bottom w:val="none" w:sz="0" w:space="0" w:color="auto"/>
        <w:right w:val="none" w:sz="0" w:space="0" w:color="auto"/>
      </w:divBdr>
    </w:div>
    <w:div w:id="303244913">
      <w:bodyDiv w:val="1"/>
      <w:marLeft w:val="0"/>
      <w:marRight w:val="0"/>
      <w:marTop w:val="0"/>
      <w:marBottom w:val="0"/>
      <w:divBdr>
        <w:top w:val="none" w:sz="0" w:space="0" w:color="auto"/>
        <w:left w:val="none" w:sz="0" w:space="0" w:color="auto"/>
        <w:bottom w:val="none" w:sz="0" w:space="0" w:color="auto"/>
        <w:right w:val="none" w:sz="0" w:space="0" w:color="auto"/>
      </w:divBdr>
      <w:divsChild>
        <w:div w:id="1608274116">
          <w:marLeft w:val="0"/>
          <w:marRight w:val="0"/>
          <w:marTop w:val="0"/>
          <w:marBottom w:val="0"/>
          <w:divBdr>
            <w:top w:val="none" w:sz="0" w:space="0" w:color="auto"/>
            <w:left w:val="none" w:sz="0" w:space="0" w:color="auto"/>
            <w:bottom w:val="none" w:sz="0" w:space="0" w:color="auto"/>
            <w:right w:val="none" w:sz="0" w:space="0" w:color="auto"/>
          </w:divBdr>
          <w:divsChild>
            <w:div w:id="1289700589">
              <w:marLeft w:val="0"/>
              <w:marRight w:val="0"/>
              <w:marTop w:val="0"/>
              <w:marBottom w:val="0"/>
              <w:divBdr>
                <w:top w:val="none" w:sz="0" w:space="0" w:color="auto"/>
                <w:left w:val="none" w:sz="0" w:space="0" w:color="auto"/>
                <w:bottom w:val="none" w:sz="0" w:space="0" w:color="auto"/>
                <w:right w:val="none" w:sz="0" w:space="0" w:color="auto"/>
              </w:divBdr>
              <w:divsChild>
                <w:div w:id="17896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06717">
      <w:bodyDiv w:val="1"/>
      <w:marLeft w:val="0"/>
      <w:marRight w:val="0"/>
      <w:marTop w:val="0"/>
      <w:marBottom w:val="0"/>
      <w:divBdr>
        <w:top w:val="none" w:sz="0" w:space="0" w:color="auto"/>
        <w:left w:val="none" w:sz="0" w:space="0" w:color="auto"/>
        <w:bottom w:val="none" w:sz="0" w:space="0" w:color="auto"/>
        <w:right w:val="none" w:sz="0" w:space="0" w:color="auto"/>
      </w:divBdr>
      <w:divsChild>
        <w:div w:id="518395678">
          <w:marLeft w:val="0"/>
          <w:marRight w:val="0"/>
          <w:marTop w:val="0"/>
          <w:marBottom w:val="0"/>
          <w:divBdr>
            <w:top w:val="none" w:sz="0" w:space="0" w:color="auto"/>
            <w:left w:val="none" w:sz="0" w:space="0" w:color="auto"/>
            <w:bottom w:val="none" w:sz="0" w:space="0" w:color="auto"/>
            <w:right w:val="none" w:sz="0" w:space="0" w:color="auto"/>
          </w:divBdr>
          <w:divsChild>
            <w:div w:id="324166093">
              <w:marLeft w:val="0"/>
              <w:marRight w:val="0"/>
              <w:marTop w:val="0"/>
              <w:marBottom w:val="0"/>
              <w:divBdr>
                <w:top w:val="none" w:sz="0" w:space="0" w:color="auto"/>
                <w:left w:val="none" w:sz="0" w:space="0" w:color="auto"/>
                <w:bottom w:val="none" w:sz="0" w:space="0" w:color="auto"/>
                <w:right w:val="none" w:sz="0" w:space="0" w:color="auto"/>
              </w:divBdr>
            </w:div>
          </w:divsChild>
        </w:div>
        <w:div w:id="2011760604">
          <w:marLeft w:val="0"/>
          <w:marRight w:val="0"/>
          <w:marTop w:val="0"/>
          <w:marBottom w:val="0"/>
          <w:divBdr>
            <w:top w:val="none" w:sz="0" w:space="0" w:color="auto"/>
            <w:left w:val="none" w:sz="0" w:space="0" w:color="auto"/>
            <w:bottom w:val="none" w:sz="0" w:space="0" w:color="auto"/>
            <w:right w:val="none" w:sz="0" w:space="0" w:color="auto"/>
          </w:divBdr>
        </w:div>
        <w:div w:id="643974485">
          <w:marLeft w:val="0"/>
          <w:marRight w:val="0"/>
          <w:marTop w:val="0"/>
          <w:marBottom w:val="0"/>
          <w:divBdr>
            <w:top w:val="none" w:sz="0" w:space="0" w:color="auto"/>
            <w:left w:val="none" w:sz="0" w:space="0" w:color="auto"/>
            <w:bottom w:val="none" w:sz="0" w:space="0" w:color="auto"/>
            <w:right w:val="none" w:sz="0" w:space="0" w:color="auto"/>
          </w:divBdr>
        </w:div>
        <w:div w:id="1948538357">
          <w:marLeft w:val="0"/>
          <w:marRight w:val="0"/>
          <w:marTop w:val="0"/>
          <w:marBottom w:val="0"/>
          <w:divBdr>
            <w:top w:val="none" w:sz="0" w:space="0" w:color="auto"/>
            <w:left w:val="none" w:sz="0" w:space="0" w:color="auto"/>
            <w:bottom w:val="none" w:sz="0" w:space="0" w:color="auto"/>
            <w:right w:val="none" w:sz="0" w:space="0" w:color="auto"/>
          </w:divBdr>
        </w:div>
        <w:div w:id="865868876">
          <w:marLeft w:val="0"/>
          <w:marRight w:val="0"/>
          <w:marTop w:val="0"/>
          <w:marBottom w:val="0"/>
          <w:divBdr>
            <w:top w:val="none" w:sz="0" w:space="0" w:color="auto"/>
            <w:left w:val="none" w:sz="0" w:space="0" w:color="auto"/>
            <w:bottom w:val="none" w:sz="0" w:space="0" w:color="auto"/>
            <w:right w:val="none" w:sz="0" w:space="0" w:color="auto"/>
          </w:divBdr>
        </w:div>
      </w:divsChild>
    </w:div>
    <w:div w:id="322852656">
      <w:bodyDiv w:val="1"/>
      <w:marLeft w:val="0"/>
      <w:marRight w:val="0"/>
      <w:marTop w:val="0"/>
      <w:marBottom w:val="0"/>
      <w:divBdr>
        <w:top w:val="none" w:sz="0" w:space="0" w:color="auto"/>
        <w:left w:val="none" w:sz="0" w:space="0" w:color="auto"/>
        <w:bottom w:val="none" w:sz="0" w:space="0" w:color="auto"/>
        <w:right w:val="none" w:sz="0" w:space="0" w:color="auto"/>
      </w:divBdr>
    </w:div>
    <w:div w:id="323893936">
      <w:bodyDiv w:val="1"/>
      <w:marLeft w:val="0"/>
      <w:marRight w:val="0"/>
      <w:marTop w:val="0"/>
      <w:marBottom w:val="0"/>
      <w:divBdr>
        <w:top w:val="none" w:sz="0" w:space="0" w:color="auto"/>
        <w:left w:val="none" w:sz="0" w:space="0" w:color="auto"/>
        <w:bottom w:val="none" w:sz="0" w:space="0" w:color="auto"/>
        <w:right w:val="none" w:sz="0" w:space="0" w:color="auto"/>
      </w:divBdr>
      <w:divsChild>
        <w:div w:id="669017948">
          <w:marLeft w:val="144"/>
          <w:marRight w:val="0"/>
          <w:marTop w:val="240"/>
          <w:marBottom w:val="40"/>
          <w:divBdr>
            <w:top w:val="none" w:sz="0" w:space="0" w:color="auto"/>
            <w:left w:val="none" w:sz="0" w:space="0" w:color="auto"/>
            <w:bottom w:val="none" w:sz="0" w:space="0" w:color="auto"/>
            <w:right w:val="none" w:sz="0" w:space="0" w:color="auto"/>
          </w:divBdr>
        </w:div>
        <w:div w:id="1363285631">
          <w:marLeft w:val="144"/>
          <w:marRight w:val="0"/>
          <w:marTop w:val="240"/>
          <w:marBottom w:val="40"/>
          <w:divBdr>
            <w:top w:val="none" w:sz="0" w:space="0" w:color="auto"/>
            <w:left w:val="none" w:sz="0" w:space="0" w:color="auto"/>
            <w:bottom w:val="none" w:sz="0" w:space="0" w:color="auto"/>
            <w:right w:val="none" w:sz="0" w:space="0" w:color="auto"/>
          </w:divBdr>
        </w:div>
      </w:divsChild>
    </w:div>
    <w:div w:id="328876551">
      <w:bodyDiv w:val="1"/>
      <w:marLeft w:val="0"/>
      <w:marRight w:val="0"/>
      <w:marTop w:val="0"/>
      <w:marBottom w:val="0"/>
      <w:divBdr>
        <w:top w:val="none" w:sz="0" w:space="0" w:color="auto"/>
        <w:left w:val="none" w:sz="0" w:space="0" w:color="auto"/>
        <w:bottom w:val="none" w:sz="0" w:space="0" w:color="auto"/>
        <w:right w:val="none" w:sz="0" w:space="0" w:color="auto"/>
      </w:divBdr>
    </w:div>
    <w:div w:id="335964600">
      <w:bodyDiv w:val="1"/>
      <w:marLeft w:val="0"/>
      <w:marRight w:val="0"/>
      <w:marTop w:val="0"/>
      <w:marBottom w:val="0"/>
      <w:divBdr>
        <w:top w:val="none" w:sz="0" w:space="0" w:color="auto"/>
        <w:left w:val="none" w:sz="0" w:space="0" w:color="auto"/>
        <w:bottom w:val="none" w:sz="0" w:space="0" w:color="auto"/>
        <w:right w:val="none" w:sz="0" w:space="0" w:color="auto"/>
      </w:divBdr>
    </w:div>
    <w:div w:id="337735032">
      <w:bodyDiv w:val="1"/>
      <w:marLeft w:val="0"/>
      <w:marRight w:val="0"/>
      <w:marTop w:val="0"/>
      <w:marBottom w:val="0"/>
      <w:divBdr>
        <w:top w:val="none" w:sz="0" w:space="0" w:color="auto"/>
        <w:left w:val="none" w:sz="0" w:space="0" w:color="auto"/>
        <w:bottom w:val="none" w:sz="0" w:space="0" w:color="auto"/>
        <w:right w:val="none" w:sz="0" w:space="0" w:color="auto"/>
      </w:divBdr>
    </w:div>
    <w:div w:id="384067482">
      <w:bodyDiv w:val="1"/>
      <w:marLeft w:val="0"/>
      <w:marRight w:val="0"/>
      <w:marTop w:val="0"/>
      <w:marBottom w:val="0"/>
      <w:divBdr>
        <w:top w:val="none" w:sz="0" w:space="0" w:color="auto"/>
        <w:left w:val="none" w:sz="0" w:space="0" w:color="auto"/>
        <w:bottom w:val="none" w:sz="0" w:space="0" w:color="auto"/>
        <w:right w:val="none" w:sz="0" w:space="0" w:color="auto"/>
      </w:divBdr>
    </w:div>
    <w:div w:id="392702678">
      <w:bodyDiv w:val="1"/>
      <w:marLeft w:val="0"/>
      <w:marRight w:val="0"/>
      <w:marTop w:val="0"/>
      <w:marBottom w:val="0"/>
      <w:divBdr>
        <w:top w:val="none" w:sz="0" w:space="0" w:color="auto"/>
        <w:left w:val="none" w:sz="0" w:space="0" w:color="auto"/>
        <w:bottom w:val="none" w:sz="0" w:space="0" w:color="auto"/>
        <w:right w:val="none" w:sz="0" w:space="0" w:color="auto"/>
      </w:divBdr>
    </w:div>
    <w:div w:id="413363591">
      <w:bodyDiv w:val="1"/>
      <w:marLeft w:val="0"/>
      <w:marRight w:val="0"/>
      <w:marTop w:val="0"/>
      <w:marBottom w:val="0"/>
      <w:divBdr>
        <w:top w:val="none" w:sz="0" w:space="0" w:color="auto"/>
        <w:left w:val="none" w:sz="0" w:space="0" w:color="auto"/>
        <w:bottom w:val="none" w:sz="0" w:space="0" w:color="auto"/>
        <w:right w:val="none" w:sz="0" w:space="0" w:color="auto"/>
      </w:divBdr>
      <w:divsChild>
        <w:div w:id="643313491">
          <w:marLeft w:val="0"/>
          <w:marRight w:val="0"/>
          <w:marTop w:val="0"/>
          <w:marBottom w:val="0"/>
          <w:divBdr>
            <w:top w:val="none" w:sz="0" w:space="0" w:color="auto"/>
            <w:left w:val="none" w:sz="0" w:space="0" w:color="auto"/>
            <w:bottom w:val="none" w:sz="0" w:space="0" w:color="auto"/>
            <w:right w:val="none" w:sz="0" w:space="0" w:color="auto"/>
          </w:divBdr>
          <w:divsChild>
            <w:div w:id="600183957">
              <w:marLeft w:val="0"/>
              <w:marRight w:val="0"/>
              <w:marTop w:val="0"/>
              <w:marBottom w:val="0"/>
              <w:divBdr>
                <w:top w:val="none" w:sz="0" w:space="0" w:color="auto"/>
                <w:left w:val="none" w:sz="0" w:space="0" w:color="auto"/>
                <w:bottom w:val="none" w:sz="0" w:space="0" w:color="auto"/>
                <w:right w:val="none" w:sz="0" w:space="0" w:color="auto"/>
              </w:divBdr>
              <w:divsChild>
                <w:div w:id="15003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8090">
      <w:bodyDiv w:val="1"/>
      <w:marLeft w:val="0"/>
      <w:marRight w:val="0"/>
      <w:marTop w:val="0"/>
      <w:marBottom w:val="0"/>
      <w:divBdr>
        <w:top w:val="none" w:sz="0" w:space="0" w:color="auto"/>
        <w:left w:val="none" w:sz="0" w:space="0" w:color="auto"/>
        <w:bottom w:val="none" w:sz="0" w:space="0" w:color="auto"/>
        <w:right w:val="none" w:sz="0" w:space="0" w:color="auto"/>
      </w:divBdr>
      <w:divsChild>
        <w:div w:id="1736077063">
          <w:marLeft w:val="0"/>
          <w:marRight w:val="0"/>
          <w:marTop w:val="0"/>
          <w:marBottom w:val="0"/>
          <w:divBdr>
            <w:top w:val="none" w:sz="0" w:space="0" w:color="auto"/>
            <w:left w:val="none" w:sz="0" w:space="0" w:color="auto"/>
            <w:bottom w:val="none" w:sz="0" w:space="0" w:color="auto"/>
            <w:right w:val="none" w:sz="0" w:space="0" w:color="auto"/>
          </w:divBdr>
          <w:divsChild>
            <w:div w:id="1674603880">
              <w:marLeft w:val="0"/>
              <w:marRight w:val="0"/>
              <w:marTop w:val="0"/>
              <w:marBottom w:val="0"/>
              <w:divBdr>
                <w:top w:val="none" w:sz="0" w:space="0" w:color="auto"/>
                <w:left w:val="none" w:sz="0" w:space="0" w:color="auto"/>
                <w:bottom w:val="none" w:sz="0" w:space="0" w:color="auto"/>
                <w:right w:val="none" w:sz="0" w:space="0" w:color="auto"/>
              </w:divBdr>
              <w:divsChild>
                <w:div w:id="37820947">
                  <w:marLeft w:val="0"/>
                  <w:marRight w:val="0"/>
                  <w:marTop w:val="0"/>
                  <w:marBottom w:val="0"/>
                  <w:divBdr>
                    <w:top w:val="none" w:sz="0" w:space="0" w:color="auto"/>
                    <w:left w:val="none" w:sz="0" w:space="0" w:color="auto"/>
                    <w:bottom w:val="none" w:sz="0" w:space="0" w:color="auto"/>
                    <w:right w:val="none" w:sz="0" w:space="0" w:color="auto"/>
                  </w:divBdr>
                  <w:divsChild>
                    <w:div w:id="6346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642192">
      <w:bodyDiv w:val="1"/>
      <w:marLeft w:val="0"/>
      <w:marRight w:val="0"/>
      <w:marTop w:val="0"/>
      <w:marBottom w:val="0"/>
      <w:divBdr>
        <w:top w:val="none" w:sz="0" w:space="0" w:color="auto"/>
        <w:left w:val="none" w:sz="0" w:space="0" w:color="auto"/>
        <w:bottom w:val="none" w:sz="0" w:space="0" w:color="auto"/>
        <w:right w:val="none" w:sz="0" w:space="0" w:color="auto"/>
      </w:divBdr>
    </w:div>
    <w:div w:id="439377277">
      <w:bodyDiv w:val="1"/>
      <w:marLeft w:val="0"/>
      <w:marRight w:val="0"/>
      <w:marTop w:val="0"/>
      <w:marBottom w:val="0"/>
      <w:divBdr>
        <w:top w:val="none" w:sz="0" w:space="0" w:color="auto"/>
        <w:left w:val="none" w:sz="0" w:space="0" w:color="auto"/>
        <w:bottom w:val="none" w:sz="0" w:space="0" w:color="auto"/>
        <w:right w:val="none" w:sz="0" w:space="0" w:color="auto"/>
      </w:divBdr>
    </w:div>
    <w:div w:id="496959940">
      <w:bodyDiv w:val="1"/>
      <w:marLeft w:val="0"/>
      <w:marRight w:val="0"/>
      <w:marTop w:val="0"/>
      <w:marBottom w:val="0"/>
      <w:divBdr>
        <w:top w:val="none" w:sz="0" w:space="0" w:color="auto"/>
        <w:left w:val="none" w:sz="0" w:space="0" w:color="auto"/>
        <w:bottom w:val="none" w:sz="0" w:space="0" w:color="auto"/>
        <w:right w:val="none" w:sz="0" w:space="0" w:color="auto"/>
      </w:divBdr>
    </w:div>
    <w:div w:id="501625168">
      <w:bodyDiv w:val="1"/>
      <w:marLeft w:val="0"/>
      <w:marRight w:val="0"/>
      <w:marTop w:val="0"/>
      <w:marBottom w:val="0"/>
      <w:divBdr>
        <w:top w:val="none" w:sz="0" w:space="0" w:color="auto"/>
        <w:left w:val="none" w:sz="0" w:space="0" w:color="auto"/>
        <w:bottom w:val="none" w:sz="0" w:space="0" w:color="auto"/>
        <w:right w:val="none" w:sz="0" w:space="0" w:color="auto"/>
      </w:divBdr>
    </w:div>
    <w:div w:id="520314545">
      <w:bodyDiv w:val="1"/>
      <w:marLeft w:val="0"/>
      <w:marRight w:val="0"/>
      <w:marTop w:val="0"/>
      <w:marBottom w:val="0"/>
      <w:divBdr>
        <w:top w:val="none" w:sz="0" w:space="0" w:color="auto"/>
        <w:left w:val="none" w:sz="0" w:space="0" w:color="auto"/>
        <w:bottom w:val="none" w:sz="0" w:space="0" w:color="auto"/>
        <w:right w:val="none" w:sz="0" w:space="0" w:color="auto"/>
      </w:divBdr>
    </w:div>
    <w:div w:id="525338729">
      <w:bodyDiv w:val="1"/>
      <w:marLeft w:val="0"/>
      <w:marRight w:val="0"/>
      <w:marTop w:val="0"/>
      <w:marBottom w:val="0"/>
      <w:divBdr>
        <w:top w:val="none" w:sz="0" w:space="0" w:color="auto"/>
        <w:left w:val="none" w:sz="0" w:space="0" w:color="auto"/>
        <w:bottom w:val="none" w:sz="0" w:space="0" w:color="auto"/>
        <w:right w:val="none" w:sz="0" w:space="0" w:color="auto"/>
      </w:divBdr>
    </w:div>
    <w:div w:id="535774008">
      <w:bodyDiv w:val="1"/>
      <w:marLeft w:val="0"/>
      <w:marRight w:val="0"/>
      <w:marTop w:val="0"/>
      <w:marBottom w:val="0"/>
      <w:divBdr>
        <w:top w:val="none" w:sz="0" w:space="0" w:color="auto"/>
        <w:left w:val="none" w:sz="0" w:space="0" w:color="auto"/>
        <w:bottom w:val="none" w:sz="0" w:space="0" w:color="auto"/>
        <w:right w:val="none" w:sz="0" w:space="0" w:color="auto"/>
      </w:divBdr>
    </w:div>
    <w:div w:id="543636267">
      <w:bodyDiv w:val="1"/>
      <w:marLeft w:val="0"/>
      <w:marRight w:val="0"/>
      <w:marTop w:val="0"/>
      <w:marBottom w:val="0"/>
      <w:divBdr>
        <w:top w:val="none" w:sz="0" w:space="0" w:color="auto"/>
        <w:left w:val="none" w:sz="0" w:space="0" w:color="auto"/>
        <w:bottom w:val="none" w:sz="0" w:space="0" w:color="auto"/>
        <w:right w:val="none" w:sz="0" w:space="0" w:color="auto"/>
      </w:divBdr>
    </w:div>
    <w:div w:id="550770031">
      <w:bodyDiv w:val="1"/>
      <w:marLeft w:val="0"/>
      <w:marRight w:val="0"/>
      <w:marTop w:val="0"/>
      <w:marBottom w:val="0"/>
      <w:divBdr>
        <w:top w:val="none" w:sz="0" w:space="0" w:color="auto"/>
        <w:left w:val="none" w:sz="0" w:space="0" w:color="auto"/>
        <w:bottom w:val="none" w:sz="0" w:space="0" w:color="auto"/>
        <w:right w:val="none" w:sz="0" w:space="0" w:color="auto"/>
      </w:divBdr>
    </w:div>
    <w:div w:id="557205791">
      <w:bodyDiv w:val="1"/>
      <w:marLeft w:val="0"/>
      <w:marRight w:val="0"/>
      <w:marTop w:val="0"/>
      <w:marBottom w:val="0"/>
      <w:divBdr>
        <w:top w:val="none" w:sz="0" w:space="0" w:color="auto"/>
        <w:left w:val="none" w:sz="0" w:space="0" w:color="auto"/>
        <w:bottom w:val="none" w:sz="0" w:space="0" w:color="auto"/>
        <w:right w:val="none" w:sz="0" w:space="0" w:color="auto"/>
      </w:divBdr>
    </w:div>
    <w:div w:id="569927217">
      <w:bodyDiv w:val="1"/>
      <w:marLeft w:val="0"/>
      <w:marRight w:val="0"/>
      <w:marTop w:val="0"/>
      <w:marBottom w:val="0"/>
      <w:divBdr>
        <w:top w:val="none" w:sz="0" w:space="0" w:color="auto"/>
        <w:left w:val="none" w:sz="0" w:space="0" w:color="auto"/>
        <w:bottom w:val="none" w:sz="0" w:space="0" w:color="auto"/>
        <w:right w:val="none" w:sz="0" w:space="0" w:color="auto"/>
      </w:divBdr>
    </w:div>
    <w:div w:id="570509876">
      <w:bodyDiv w:val="1"/>
      <w:marLeft w:val="0"/>
      <w:marRight w:val="0"/>
      <w:marTop w:val="0"/>
      <w:marBottom w:val="0"/>
      <w:divBdr>
        <w:top w:val="none" w:sz="0" w:space="0" w:color="auto"/>
        <w:left w:val="none" w:sz="0" w:space="0" w:color="auto"/>
        <w:bottom w:val="none" w:sz="0" w:space="0" w:color="auto"/>
        <w:right w:val="none" w:sz="0" w:space="0" w:color="auto"/>
      </w:divBdr>
      <w:divsChild>
        <w:div w:id="389813567">
          <w:marLeft w:val="0"/>
          <w:marRight w:val="0"/>
          <w:marTop w:val="0"/>
          <w:marBottom w:val="0"/>
          <w:divBdr>
            <w:top w:val="none" w:sz="0" w:space="0" w:color="auto"/>
            <w:left w:val="none" w:sz="0" w:space="0" w:color="auto"/>
            <w:bottom w:val="none" w:sz="0" w:space="0" w:color="auto"/>
            <w:right w:val="none" w:sz="0" w:space="0" w:color="auto"/>
          </w:divBdr>
          <w:divsChild>
            <w:div w:id="307978491">
              <w:marLeft w:val="0"/>
              <w:marRight w:val="0"/>
              <w:marTop w:val="0"/>
              <w:marBottom w:val="0"/>
              <w:divBdr>
                <w:top w:val="none" w:sz="0" w:space="0" w:color="auto"/>
                <w:left w:val="none" w:sz="0" w:space="0" w:color="auto"/>
                <w:bottom w:val="none" w:sz="0" w:space="0" w:color="auto"/>
                <w:right w:val="none" w:sz="0" w:space="0" w:color="auto"/>
              </w:divBdr>
              <w:divsChild>
                <w:div w:id="201853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51644">
      <w:bodyDiv w:val="1"/>
      <w:marLeft w:val="0"/>
      <w:marRight w:val="0"/>
      <w:marTop w:val="0"/>
      <w:marBottom w:val="0"/>
      <w:divBdr>
        <w:top w:val="none" w:sz="0" w:space="0" w:color="auto"/>
        <w:left w:val="none" w:sz="0" w:space="0" w:color="auto"/>
        <w:bottom w:val="none" w:sz="0" w:space="0" w:color="auto"/>
        <w:right w:val="none" w:sz="0" w:space="0" w:color="auto"/>
      </w:divBdr>
      <w:divsChild>
        <w:div w:id="388580304">
          <w:marLeft w:val="0"/>
          <w:marRight w:val="0"/>
          <w:marTop w:val="0"/>
          <w:marBottom w:val="0"/>
          <w:divBdr>
            <w:top w:val="none" w:sz="0" w:space="0" w:color="auto"/>
            <w:left w:val="none" w:sz="0" w:space="0" w:color="auto"/>
            <w:bottom w:val="none" w:sz="0" w:space="0" w:color="auto"/>
            <w:right w:val="none" w:sz="0" w:space="0" w:color="auto"/>
          </w:divBdr>
          <w:divsChild>
            <w:div w:id="141821546">
              <w:marLeft w:val="0"/>
              <w:marRight w:val="0"/>
              <w:marTop w:val="0"/>
              <w:marBottom w:val="0"/>
              <w:divBdr>
                <w:top w:val="none" w:sz="0" w:space="0" w:color="auto"/>
                <w:left w:val="none" w:sz="0" w:space="0" w:color="auto"/>
                <w:bottom w:val="none" w:sz="0" w:space="0" w:color="auto"/>
                <w:right w:val="none" w:sz="0" w:space="0" w:color="auto"/>
              </w:divBdr>
              <w:divsChild>
                <w:div w:id="184747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556958">
      <w:bodyDiv w:val="1"/>
      <w:marLeft w:val="0"/>
      <w:marRight w:val="0"/>
      <w:marTop w:val="0"/>
      <w:marBottom w:val="0"/>
      <w:divBdr>
        <w:top w:val="none" w:sz="0" w:space="0" w:color="auto"/>
        <w:left w:val="none" w:sz="0" w:space="0" w:color="auto"/>
        <w:bottom w:val="none" w:sz="0" w:space="0" w:color="auto"/>
        <w:right w:val="none" w:sz="0" w:space="0" w:color="auto"/>
      </w:divBdr>
      <w:divsChild>
        <w:div w:id="1722052026">
          <w:marLeft w:val="0"/>
          <w:marRight w:val="0"/>
          <w:marTop w:val="0"/>
          <w:marBottom w:val="0"/>
          <w:divBdr>
            <w:top w:val="none" w:sz="0" w:space="0" w:color="auto"/>
            <w:left w:val="none" w:sz="0" w:space="0" w:color="auto"/>
            <w:bottom w:val="none" w:sz="0" w:space="0" w:color="auto"/>
            <w:right w:val="none" w:sz="0" w:space="0" w:color="auto"/>
          </w:divBdr>
          <w:divsChild>
            <w:div w:id="257297291">
              <w:marLeft w:val="0"/>
              <w:marRight w:val="0"/>
              <w:marTop w:val="0"/>
              <w:marBottom w:val="0"/>
              <w:divBdr>
                <w:top w:val="none" w:sz="0" w:space="0" w:color="auto"/>
                <w:left w:val="none" w:sz="0" w:space="0" w:color="auto"/>
                <w:bottom w:val="none" w:sz="0" w:space="0" w:color="auto"/>
                <w:right w:val="none" w:sz="0" w:space="0" w:color="auto"/>
              </w:divBdr>
              <w:divsChild>
                <w:div w:id="9239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60380">
      <w:bodyDiv w:val="1"/>
      <w:marLeft w:val="0"/>
      <w:marRight w:val="0"/>
      <w:marTop w:val="0"/>
      <w:marBottom w:val="0"/>
      <w:divBdr>
        <w:top w:val="none" w:sz="0" w:space="0" w:color="auto"/>
        <w:left w:val="none" w:sz="0" w:space="0" w:color="auto"/>
        <w:bottom w:val="none" w:sz="0" w:space="0" w:color="auto"/>
        <w:right w:val="none" w:sz="0" w:space="0" w:color="auto"/>
      </w:divBdr>
      <w:divsChild>
        <w:div w:id="2140344686">
          <w:marLeft w:val="0"/>
          <w:marRight w:val="0"/>
          <w:marTop w:val="0"/>
          <w:marBottom w:val="0"/>
          <w:divBdr>
            <w:top w:val="none" w:sz="0" w:space="0" w:color="auto"/>
            <w:left w:val="none" w:sz="0" w:space="0" w:color="auto"/>
            <w:bottom w:val="none" w:sz="0" w:space="0" w:color="auto"/>
            <w:right w:val="none" w:sz="0" w:space="0" w:color="auto"/>
          </w:divBdr>
          <w:divsChild>
            <w:div w:id="1481574327">
              <w:marLeft w:val="0"/>
              <w:marRight w:val="0"/>
              <w:marTop w:val="0"/>
              <w:marBottom w:val="0"/>
              <w:divBdr>
                <w:top w:val="none" w:sz="0" w:space="0" w:color="auto"/>
                <w:left w:val="none" w:sz="0" w:space="0" w:color="auto"/>
                <w:bottom w:val="none" w:sz="0" w:space="0" w:color="auto"/>
                <w:right w:val="none" w:sz="0" w:space="0" w:color="auto"/>
              </w:divBdr>
              <w:divsChild>
                <w:div w:id="293953388">
                  <w:marLeft w:val="0"/>
                  <w:marRight w:val="0"/>
                  <w:marTop w:val="0"/>
                  <w:marBottom w:val="0"/>
                  <w:divBdr>
                    <w:top w:val="none" w:sz="0" w:space="0" w:color="auto"/>
                    <w:left w:val="none" w:sz="0" w:space="0" w:color="auto"/>
                    <w:bottom w:val="none" w:sz="0" w:space="0" w:color="auto"/>
                    <w:right w:val="none" w:sz="0" w:space="0" w:color="auto"/>
                  </w:divBdr>
                  <w:divsChild>
                    <w:div w:id="64180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643543">
      <w:bodyDiv w:val="1"/>
      <w:marLeft w:val="0"/>
      <w:marRight w:val="0"/>
      <w:marTop w:val="0"/>
      <w:marBottom w:val="0"/>
      <w:divBdr>
        <w:top w:val="none" w:sz="0" w:space="0" w:color="auto"/>
        <w:left w:val="none" w:sz="0" w:space="0" w:color="auto"/>
        <w:bottom w:val="none" w:sz="0" w:space="0" w:color="auto"/>
        <w:right w:val="none" w:sz="0" w:space="0" w:color="auto"/>
      </w:divBdr>
    </w:div>
    <w:div w:id="641497228">
      <w:bodyDiv w:val="1"/>
      <w:marLeft w:val="0"/>
      <w:marRight w:val="0"/>
      <w:marTop w:val="0"/>
      <w:marBottom w:val="0"/>
      <w:divBdr>
        <w:top w:val="none" w:sz="0" w:space="0" w:color="auto"/>
        <w:left w:val="none" w:sz="0" w:space="0" w:color="auto"/>
        <w:bottom w:val="none" w:sz="0" w:space="0" w:color="auto"/>
        <w:right w:val="none" w:sz="0" w:space="0" w:color="auto"/>
      </w:divBdr>
    </w:div>
    <w:div w:id="643312115">
      <w:bodyDiv w:val="1"/>
      <w:marLeft w:val="0"/>
      <w:marRight w:val="0"/>
      <w:marTop w:val="0"/>
      <w:marBottom w:val="0"/>
      <w:divBdr>
        <w:top w:val="none" w:sz="0" w:space="0" w:color="auto"/>
        <w:left w:val="none" w:sz="0" w:space="0" w:color="auto"/>
        <w:bottom w:val="none" w:sz="0" w:space="0" w:color="auto"/>
        <w:right w:val="none" w:sz="0" w:space="0" w:color="auto"/>
      </w:divBdr>
    </w:div>
    <w:div w:id="647200084">
      <w:bodyDiv w:val="1"/>
      <w:marLeft w:val="0"/>
      <w:marRight w:val="0"/>
      <w:marTop w:val="0"/>
      <w:marBottom w:val="0"/>
      <w:divBdr>
        <w:top w:val="none" w:sz="0" w:space="0" w:color="auto"/>
        <w:left w:val="none" w:sz="0" w:space="0" w:color="auto"/>
        <w:bottom w:val="none" w:sz="0" w:space="0" w:color="auto"/>
        <w:right w:val="none" w:sz="0" w:space="0" w:color="auto"/>
      </w:divBdr>
    </w:div>
    <w:div w:id="659895293">
      <w:bodyDiv w:val="1"/>
      <w:marLeft w:val="0"/>
      <w:marRight w:val="0"/>
      <w:marTop w:val="0"/>
      <w:marBottom w:val="0"/>
      <w:divBdr>
        <w:top w:val="none" w:sz="0" w:space="0" w:color="auto"/>
        <w:left w:val="none" w:sz="0" w:space="0" w:color="auto"/>
        <w:bottom w:val="none" w:sz="0" w:space="0" w:color="auto"/>
        <w:right w:val="none" w:sz="0" w:space="0" w:color="auto"/>
      </w:divBdr>
    </w:div>
    <w:div w:id="664015317">
      <w:bodyDiv w:val="1"/>
      <w:marLeft w:val="0"/>
      <w:marRight w:val="0"/>
      <w:marTop w:val="0"/>
      <w:marBottom w:val="0"/>
      <w:divBdr>
        <w:top w:val="none" w:sz="0" w:space="0" w:color="auto"/>
        <w:left w:val="none" w:sz="0" w:space="0" w:color="auto"/>
        <w:bottom w:val="none" w:sz="0" w:space="0" w:color="auto"/>
        <w:right w:val="none" w:sz="0" w:space="0" w:color="auto"/>
      </w:divBdr>
    </w:div>
    <w:div w:id="672340303">
      <w:bodyDiv w:val="1"/>
      <w:marLeft w:val="0"/>
      <w:marRight w:val="0"/>
      <w:marTop w:val="0"/>
      <w:marBottom w:val="0"/>
      <w:divBdr>
        <w:top w:val="none" w:sz="0" w:space="0" w:color="auto"/>
        <w:left w:val="none" w:sz="0" w:space="0" w:color="auto"/>
        <w:bottom w:val="none" w:sz="0" w:space="0" w:color="auto"/>
        <w:right w:val="none" w:sz="0" w:space="0" w:color="auto"/>
      </w:divBdr>
      <w:divsChild>
        <w:div w:id="1103501435">
          <w:marLeft w:val="0"/>
          <w:marRight w:val="0"/>
          <w:marTop w:val="0"/>
          <w:marBottom w:val="0"/>
          <w:divBdr>
            <w:top w:val="none" w:sz="0" w:space="0" w:color="auto"/>
            <w:left w:val="none" w:sz="0" w:space="0" w:color="auto"/>
            <w:bottom w:val="none" w:sz="0" w:space="0" w:color="auto"/>
            <w:right w:val="none" w:sz="0" w:space="0" w:color="auto"/>
          </w:divBdr>
          <w:divsChild>
            <w:div w:id="950359615">
              <w:marLeft w:val="0"/>
              <w:marRight w:val="0"/>
              <w:marTop w:val="0"/>
              <w:marBottom w:val="0"/>
              <w:divBdr>
                <w:top w:val="none" w:sz="0" w:space="0" w:color="auto"/>
                <w:left w:val="none" w:sz="0" w:space="0" w:color="auto"/>
                <w:bottom w:val="none" w:sz="0" w:space="0" w:color="auto"/>
                <w:right w:val="none" w:sz="0" w:space="0" w:color="auto"/>
              </w:divBdr>
              <w:divsChild>
                <w:div w:id="74641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123027">
      <w:bodyDiv w:val="1"/>
      <w:marLeft w:val="0"/>
      <w:marRight w:val="0"/>
      <w:marTop w:val="0"/>
      <w:marBottom w:val="0"/>
      <w:divBdr>
        <w:top w:val="none" w:sz="0" w:space="0" w:color="auto"/>
        <w:left w:val="none" w:sz="0" w:space="0" w:color="auto"/>
        <w:bottom w:val="none" w:sz="0" w:space="0" w:color="auto"/>
        <w:right w:val="none" w:sz="0" w:space="0" w:color="auto"/>
      </w:divBdr>
    </w:div>
    <w:div w:id="678626504">
      <w:bodyDiv w:val="1"/>
      <w:marLeft w:val="0"/>
      <w:marRight w:val="0"/>
      <w:marTop w:val="0"/>
      <w:marBottom w:val="0"/>
      <w:divBdr>
        <w:top w:val="none" w:sz="0" w:space="0" w:color="auto"/>
        <w:left w:val="none" w:sz="0" w:space="0" w:color="auto"/>
        <w:bottom w:val="none" w:sz="0" w:space="0" w:color="auto"/>
        <w:right w:val="none" w:sz="0" w:space="0" w:color="auto"/>
      </w:divBdr>
    </w:div>
    <w:div w:id="681858121">
      <w:bodyDiv w:val="1"/>
      <w:marLeft w:val="0"/>
      <w:marRight w:val="0"/>
      <w:marTop w:val="0"/>
      <w:marBottom w:val="0"/>
      <w:divBdr>
        <w:top w:val="none" w:sz="0" w:space="0" w:color="auto"/>
        <w:left w:val="none" w:sz="0" w:space="0" w:color="auto"/>
        <w:bottom w:val="none" w:sz="0" w:space="0" w:color="auto"/>
        <w:right w:val="none" w:sz="0" w:space="0" w:color="auto"/>
      </w:divBdr>
    </w:div>
    <w:div w:id="685594717">
      <w:bodyDiv w:val="1"/>
      <w:marLeft w:val="0"/>
      <w:marRight w:val="0"/>
      <w:marTop w:val="0"/>
      <w:marBottom w:val="0"/>
      <w:divBdr>
        <w:top w:val="none" w:sz="0" w:space="0" w:color="auto"/>
        <w:left w:val="none" w:sz="0" w:space="0" w:color="auto"/>
        <w:bottom w:val="none" w:sz="0" w:space="0" w:color="auto"/>
        <w:right w:val="none" w:sz="0" w:space="0" w:color="auto"/>
      </w:divBdr>
    </w:div>
    <w:div w:id="696539545">
      <w:bodyDiv w:val="1"/>
      <w:marLeft w:val="0"/>
      <w:marRight w:val="0"/>
      <w:marTop w:val="0"/>
      <w:marBottom w:val="0"/>
      <w:divBdr>
        <w:top w:val="none" w:sz="0" w:space="0" w:color="auto"/>
        <w:left w:val="none" w:sz="0" w:space="0" w:color="auto"/>
        <w:bottom w:val="none" w:sz="0" w:space="0" w:color="auto"/>
        <w:right w:val="none" w:sz="0" w:space="0" w:color="auto"/>
      </w:divBdr>
      <w:divsChild>
        <w:div w:id="347413180">
          <w:marLeft w:val="0"/>
          <w:marRight w:val="0"/>
          <w:marTop w:val="0"/>
          <w:marBottom w:val="0"/>
          <w:divBdr>
            <w:top w:val="none" w:sz="0" w:space="0" w:color="auto"/>
            <w:left w:val="none" w:sz="0" w:space="0" w:color="auto"/>
            <w:bottom w:val="none" w:sz="0" w:space="0" w:color="auto"/>
            <w:right w:val="none" w:sz="0" w:space="0" w:color="auto"/>
          </w:divBdr>
          <w:divsChild>
            <w:div w:id="221718918">
              <w:marLeft w:val="-300"/>
              <w:marRight w:val="0"/>
              <w:marTop w:val="0"/>
              <w:marBottom w:val="0"/>
              <w:divBdr>
                <w:top w:val="none" w:sz="0" w:space="0" w:color="auto"/>
                <w:left w:val="none" w:sz="0" w:space="0" w:color="auto"/>
                <w:bottom w:val="none" w:sz="0" w:space="0" w:color="auto"/>
                <w:right w:val="none" w:sz="0" w:space="0" w:color="auto"/>
              </w:divBdr>
              <w:divsChild>
                <w:div w:id="958299138">
                  <w:marLeft w:val="0"/>
                  <w:marRight w:val="0"/>
                  <w:marTop w:val="0"/>
                  <w:marBottom w:val="0"/>
                  <w:divBdr>
                    <w:top w:val="none" w:sz="0" w:space="0" w:color="auto"/>
                    <w:left w:val="none" w:sz="0" w:space="0" w:color="auto"/>
                    <w:bottom w:val="none" w:sz="0" w:space="0" w:color="auto"/>
                    <w:right w:val="none" w:sz="0" w:space="0" w:color="auto"/>
                  </w:divBdr>
                  <w:divsChild>
                    <w:div w:id="1660575552">
                      <w:marLeft w:val="0"/>
                      <w:marRight w:val="0"/>
                      <w:marTop w:val="0"/>
                      <w:marBottom w:val="0"/>
                      <w:divBdr>
                        <w:top w:val="none" w:sz="0" w:space="0" w:color="auto"/>
                        <w:left w:val="none" w:sz="0" w:space="0" w:color="auto"/>
                        <w:bottom w:val="none" w:sz="0" w:space="0" w:color="auto"/>
                        <w:right w:val="none" w:sz="0" w:space="0" w:color="auto"/>
                      </w:divBdr>
                      <w:divsChild>
                        <w:div w:id="133565880">
                          <w:marLeft w:val="0"/>
                          <w:marRight w:val="0"/>
                          <w:marTop w:val="0"/>
                          <w:marBottom w:val="0"/>
                          <w:divBdr>
                            <w:top w:val="none" w:sz="0" w:space="0" w:color="auto"/>
                            <w:left w:val="none" w:sz="0" w:space="0" w:color="auto"/>
                            <w:bottom w:val="none" w:sz="0" w:space="0" w:color="auto"/>
                            <w:right w:val="none" w:sz="0" w:space="0" w:color="auto"/>
                          </w:divBdr>
                          <w:divsChild>
                            <w:div w:id="1528176505">
                              <w:marLeft w:val="0"/>
                              <w:marRight w:val="0"/>
                              <w:marTop w:val="240"/>
                              <w:marBottom w:val="480"/>
                              <w:divBdr>
                                <w:top w:val="none" w:sz="0" w:space="0" w:color="auto"/>
                                <w:left w:val="none" w:sz="0" w:space="0" w:color="auto"/>
                                <w:bottom w:val="none" w:sz="0" w:space="0" w:color="auto"/>
                                <w:right w:val="none" w:sz="0" w:space="0" w:color="auto"/>
                              </w:divBdr>
                              <w:divsChild>
                                <w:div w:id="715587896">
                                  <w:marLeft w:val="0"/>
                                  <w:marRight w:val="0"/>
                                  <w:marTop w:val="0"/>
                                  <w:marBottom w:val="0"/>
                                  <w:divBdr>
                                    <w:top w:val="none" w:sz="0" w:space="0" w:color="auto"/>
                                    <w:left w:val="none" w:sz="0" w:space="0" w:color="auto"/>
                                    <w:bottom w:val="none" w:sz="0" w:space="0" w:color="auto"/>
                                    <w:right w:val="none" w:sz="0" w:space="0" w:color="auto"/>
                                  </w:divBdr>
                                  <w:divsChild>
                                    <w:div w:id="1145196744">
                                      <w:marLeft w:val="0"/>
                                      <w:marRight w:val="0"/>
                                      <w:marTop w:val="240"/>
                                      <w:marBottom w:val="480"/>
                                      <w:divBdr>
                                        <w:top w:val="none" w:sz="0" w:space="0" w:color="auto"/>
                                        <w:left w:val="none" w:sz="0" w:space="0" w:color="auto"/>
                                        <w:bottom w:val="none" w:sz="0" w:space="0" w:color="auto"/>
                                        <w:right w:val="none" w:sz="0" w:space="0" w:color="auto"/>
                                      </w:divBdr>
                                      <w:divsChild>
                                        <w:div w:id="164827986">
                                          <w:marLeft w:val="0"/>
                                          <w:marRight w:val="0"/>
                                          <w:marTop w:val="0"/>
                                          <w:marBottom w:val="0"/>
                                          <w:divBdr>
                                            <w:top w:val="none" w:sz="0" w:space="0" w:color="auto"/>
                                            <w:left w:val="none" w:sz="0" w:space="0" w:color="auto"/>
                                            <w:bottom w:val="none" w:sz="0" w:space="0" w:color="auto"/>
                                            <w:right w:val="none" w:sz="0" w:space="0" w:color="auto"/>
                                          </w:divBdr>
                                          <w:divsChild>
                                            <w:div w:id="189874594">
                                              <w:marLeft w:val="0"/>
                                              <w:marRight w:val="0"/>
                                              <w:marTop w:val="0"/>
                                              <w:marBottom w:val="0"/>
                                              <w:divBdr>
                                                <w:top w:val="none" w:sz="0" w:space="0" w:color="auto"/>
                                                <w:left w:val="none" w:sz="0" w:space="0" w:color="auto"/>
                                                <w:bottom w:val="none" w:sz="0" w:space="0" w:color="auto"/>
                                                <w:right w:val="none" w:sz="0" w:space="0" w:color="auto"/>
                                              </w:divBdr>
                                              <w:divsChild>
                                                <w:div w:id="19434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8046896">
      <w:bodyDiv w:val="1"/>
      <w:marLeft w:val="0"/>
      <w:marRight w:val="0"/>
      <w:marTop w:val="0"/>
      <w:marBottom w:val="0"/>
      <w:divBdr>
        <w:top w:val="none" w:sz="0" w:space="0" w:color="auto"/>
        <w:left w:val="none" w:sz="0" w:space="0" w:color="auto"/>
        <w:bottom w:val="none" w:sz="0" w:space="0" w:color="auto"/>
        <w:right w:val="none" w:sz="0" w:space="0" w:color="auto"/>
      </w:divBdr>
    </w:div>
    <w:div w:id="698625367">
      <w:bodyDiv w:val="1"/>
      <w:marLeft w:val="0"/>
      <w:marRight w:val="0"/>
      <w:marTop w:val="0"/>
      <w:marBottom w:val="0"/>
      <w:divBdr>
        <w:top w:val="none" w:sz="0" w:space="0" w:color="auto"/>
        <w:left w:val="none" w:sz="0" w:space="0" w:color="auto"/>
        <w:bottom w:val="none" w:sz="0" w:space="0" w:color="auto"/>
        <w:right w:val="none" w:sz="0" w:space="0" w:color="auto"/>
      </w:divBdr>
    </w:div>
    <w:div w:id="699863530">
      <w:bodyDiv w:val="1"/>
      <w:marLeft w:val="0"/>
      <w:marRight w:val="0"/>
      <w:marTop w:val="0"/>
      <w:marBottom w:val="0"/>
      <w:divBdr>
        <w:top w:val="none" w:sz="0" w:space="0" w:color="auto"/>
        <w:left w:val="none" w:sz="0" w:space="0" w:color="auto"/>
        <w:bottom w:val="none" w:sz="0" w:space="0" w:color="auto"/>
        <w:right w:val="none" w:sz="0" w:space="0" w:color="auto"/>
      </w:divBdr>
    </w:div>
    <w:div w:id="709303963">
      <w:bodyDiv w:val="1"/>
      <w:marLeft w:val="0"/>
      <w:marRight w:val="0"/>
      <w:marTop w:val="0"/>
      <w:marBottom w:val="0"/>
      <w:divBdr>
        <w:top w:val="none" w:sz="0" w:space="0" w:color="auto"/>
        <w:left w:val="none" w:sz="0" w:space="0" w:color="auto"/>
        <w:bottom w:val="none" w:sz="0" w:space="0" w:color="auto"/>
        <w:right w:val="none" w:sz="0" w:space="0" w:color="auto"/>
      </w:divBdr>
    </w:div>
    <w:div w:id="715933396">
      <w:bodyDiv w:val="1"/>
      <w:marLeft w:val="0"/>
      <w:marRight w:val="0"/>
      <w:marTop w:val="0"/>
      <w:marBottom w:val="0"/>
      <w:divBdr>
        <w:top w:val="none" w:sz="0" w:space="0" w:color="auto"/>
        <w:left w:val="none" w:sz="0" w:space="0" w:color="auto"/>
        <w:bottom w:val="none" w:sz="0" w:space="0" w:color="auto"/>
        <w:right w:val="none" w:sz="0" w:space="0" w:color="auto"/>
      </w:divBdr>
      <w:divsChild>
        <w:div w:id="1031804507">
          <w:marLeft w:val="144"/>
          <w:marRight w:val="0"/>
          <w:marTop w:val="240"/>
          <w:marBottom w:val="40"/>
          <w:divBdr>
            <w:top w:val="none" w:sz="0" w:space="0" w:color="auto"/>
            <w:left w:val="none" w:sz="0" w:space="0" w:color="auto"/>
            <w:bottom w:val="none" w:sz="0" w:space="0" w:color="auto"/>
            <w:right w:val="none" w:sz="0" w:space="0" w:color="auto"/>
          </w:divBdr>
        </w:div>
        <w:div w:id="1445421669">
          <w:marLeft w:val="144"/>
          <w:marRight w:val="0"/>
          <w:marTop w:val="240"/>
          <w:marBottom w:val="40"/>
          <w:divBdr>
            <w:top w:val="none" w:sz="0" w:space="0" w:color="auto"/>
            <w:left w:val="none" w:sz="0" w:space="0" w:color="auto"/>
            <w:bottom w:val="none" w:sz="0" w:space="0" w:color="auto"/>
            <w:right w:val="none" w:sz="0" w:space="0" w:color="auto"/>
          </w:divBdr>
        </w:div>
        <w:div w:id="43145317">
          <w:marLeft w:val="144"/>
          <w:marRight w:val="0"/>
          <w:marTop w:val="240"/>
          <w:marBottom w:val="40"/>
          <w:divBdr>
            <w:top w:val="none" w:sz="0" w:space="0" w:color="auto"/>
            <w:left w:val="none" w:sz="0" w:space="0" w:color="auto"/>
            <w:bottom w:val="none" w:sz="0" w:space="0" w:color="auto"/>
            <w:right w:val="none" w:sz="0" w:space="0" w:color="auto"/>
          </w:divBdr>
        </w:div>
      </w:divsChild>
    </w:div>
    <w:div w:id="727924977">
      <w:bodyDiv w:val="1"/>
      <w:marLeft w:val="0"/>
      <w:marRight w:val="0"/>
      <w:marTop w:val="0"/>
      <w:marBottom w:val="0"/>
      <w:divBdr>
        <w:top w:val="none" w:sz="0" w:space="0" w:color="auto"/>
        <w:left w:val="none" w:sz="0" w:space="0" w:color="auto"/>
        <w:bottom w:val="none" w:sz="0" w:space="0" w:color="auto"/>
        <w:right w:val="none" w:sz="0" w:space="0" w:color="auto"/>
      </w:divBdr>
    </w:div>
    <w:div w:id="735737775">
      <w:bodyDiv w:val="1"/>
      <w:marLeft w:val="0"/>
      <w:marRight w:val="0"/>
      <w:marTop w:val="0"/>
      <w:marBottom w:val="0"/>
      <w:divBdr>
        <w:top w:val="none" w:sz="0" w:space="0" w:color="auto"/>
        <w:left w:val="none" w:sz="0" w:space="0" w:color="auto"/>
        <w:bottom w:val="none" w:sz="0" w:space="0" w:color="auto"/>
        <w:right w:val="none" w:sz="0" w:space="0" w:color="auto"/>
      </w:divBdr>
    </w:div>
    <w:div w:id="761029208">
      <w:bodyDiv w:val="1"/>
      <w:marLeft w:val="0"/>
      <w:marRight w:val="0"/>
      <w:marTop w:val="0"/>
      <w:marBottom w:val="0"/>
      <w:divBdr>
        <w:top w:val="none" w:sz="0" w:space="0" w:color="auto"/>
        <w:left w:val="none" w:sz="0" w:space="0" w:color="auto"/>
        <w:bottom w:val="none" w:sz="0" w:space="0" w:color="auto"/>
        <w:right w:val="none" w:sz="0" w:space="0" w:color="auto"/>
      </w:divBdr>
    </w:div>
    <w:div w:id="763919557">
      <w:bodyDiv w:val="1"/>
      <w:marLeft w:val="0"/>
      <w:marRight w:val="0"/>
      <w:marTop w:val="0"/>
      <w:marBottom w:val="0"/>
      <w:divBdr>
        <w:top w:val="none" w:sz="0" w:space="0" w:color="auto"/>
        <w:left w:val="none" w:sz="0" w:space="0" w:color="auto"/>
        <w:bottom w:val="none" w:sz="0" w:space="0" w:color="auto"/>
        <w:right w:val="none" w:sz="0" w:space="0" w:color="auto"/>
      </w:divBdr>
      <w:divsChild>
        <w:div w:id="857622681">
          <w:marLeft w:val="0"/>
          <w:marRight w:val="0"/>
          <w:marTop w:val="0"/>
          <w:marBottom w:val="0"/>
          <w:divBdr>
            <w:top w:val="none" w:sz="0" w:space="0" w:color="auto"/>
            <w:left w:val="none" w:sz="0" w:space="0" w:color="auto"/>
            <w:bottom w:val="none" w:sz="0" w:space="0" w:color="auto"/>
            <w:right w:val="none" w:sz="0" w:space="0" w:color="auto"/>
          </w:divBdr>
          <w:divsChild>
            <w:div w:id="346176354">
              <w:marLeft w:val="0"/>
              <w:marRight w:val="0"/>
              <w:marTop w:val="0"/>
              <w:marBottom w:val="0"/>
              <w:divBdr>
                <w:top w:val="none" w:sz="0" w:space="0" w:color="auto"/>
                <w:left w:val="none" w:sz="0" w:space="0" w:color="auto"/>
                <w:bottom w:val="none" w:sz="0" w:space="0" w:color="auto"/>
                <w:right w:val="none" w:sz="0" w:space="0" w:color="auto"/>
              </w:divBdr>
              <w:divsChild>
                <w:div w:id="20980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73319">
      <w:bodyDiv w:val="1"/>
      <w:marLeft w:val="0"/>
      <w:marRight w:val="0"/>
      <w:marTop w:val="0"/>
      <w:marBottom w:val="0"/>
      <w:divBdr>
        <w:top w:val="none" w:sz="0" w:space="0" w:color="auto"/>
        <w:left w:val="none" w:sz="0" w:space="0" w:color="auto"/>
        <w:bottom w:val="none" w:sz="0" w:space="0" w:color="auto"/>
        <w:right w:val="none" w:sz="0" w:space="0" w:color="auto"/>
      </w:divBdr>
    </w:div>
    <w:div w:id="773861895">
      <w:bodyDiv w:val="1"/>
      <w:marLeft w:val="0"/>
      <w:marRight w:val="0"/>
      <w:marTop w:val="0"/>
      <w:marBottom w:val="0"/>
      <w:divBdr>
        <w:top w:val="none" w:sz="0" w:space="0" w:color="auto"/>
        <w:left w:val="none" w:sz="0" w:space="0" w:color="auto"/>
        <w:bottom w:val="none" w:sz="0" w:space="0" w:color="auto"/>
        <w:right w:val="none" w:sz="0" w:space="0" w:color="auto"/>
      </w:divBdr>
    </w:div>
    <w:div w:id="785930188">
      <w:bodyDiv w:val="1"/>
      <w:marLeft w:val="0"/>
      <w:marRight w:val="0"/>
      <w:marTop w:val="0"/>
      <w:marBottom w:val="0"/>
      <w:divBdr>
        <w:top w:val="none" w:sz="0" w:space="0" w:color="auto"/>
        <w:left w:val="none" w:sz="0" w:space="0" w:color="auto"/>
        <w:bottom w:val="none" w:sz="0" w:space="0" w:color="auto"/>
        <w:right w:val="none" w:sz="0" w:space="0" w:color="auto"/>
      </w:divBdr>
    </w:div>
    <w:div w:id="786243393">
      <w:bodyDiv w:val="1"/>
      <w:marLeft w:val="0"/>
      <w:marRight w:val="0"/>
      <w:marTop w:val="0"/>
      <w:marBottom w:val="0"/>
      <w:divBdr>
        <w:top w:val="none" w:sz="0" w:space="0" w:color="auto"/>
        <w:left w:val="none" w:sz="0" w:space="0" w:color="auto"/>
        <w:bottom w:val="none" w:sz="0" w:space="0" w:color="auto"/>
        <w:right w:val="none" w:sz="0" w:space="0" w:color="auto"/>
      </w:divBdr>
    </w:div>
    <w:div w:id="795104808">
      <w:bodyDiv w:val="1"/>
      <w:marLeft w:val="0"/>
      <w:marRight w:val="0"/>
      <w:marTop w:val="0"/>
      <w:marBottom w:val="0"/>
      <w:divBdr>
        <w:top w:val="none" w:sz="0" w:space="0" w:color="auto"/>
        <w:left w:val="none" w:sz="0" w:space="0" w:color="auto"/>
        <w:bottom w:val="none" w:sz="0" w:space="0" w:color="auto"/>
        <w:right w:val="none" w:sz="0" w:space="0" w:color="auto"/>
      </w:divBdr>
    </w:div>
    <w:div w:id="796950341">
      <w:bodyDiv w:val="1"/>
      <w:marLeft w:val="0"/>
      <w:marRight w:val="0"/>
      <w:marTop w:val="0"/>
      <w:marBottom w:val="0"/>
      <w:divBdr>
        <w:top w:val="none" w:sz="0" w:space="0" w:color="auto"/>
        <w:left w:val="none" w:sz="0" w:space="0" w:color="auto"/>
        <w:bottom w:val="none" w:sz="0" w:space="0" w:color="auto"/>
        <w:right w:val="none" w:sz="0" w:space="0" w:color="auto"/>
      </w:divBdr>
    </w:div>
    <w:div w:id="801046880">
      <w:bodyDiv w:val="1"/>
      <w:marLeft w:val="0"/>
      <w:marRight w:val="0"/>
      <w:marTop w:val="0"/>
      <w:marBottom w:val="0"/>
      <w:divBdr>
        <w:top w:val="none" w:sz="0" w:space="0" w:color="auto"/>
        <w:left w:val="none" w:sz="0" w:space="0" w:color="auto"/>
        <w:bottom w:val="none" w:sz="0" w:space="0" w:color="auto"/>
        <w:right w:val="none" w:sz="0" w:space="0" w:color="auto"/>
      </w:divBdr>
      <w:divsChild>
        <w:div w:id="853346516">
          <w:marLeft w:val="0"/>
          <w:marRight w:val="0"/>
          <w:marTop w:val="0"/>
          <w:marBottom w:val="0"/>
          <w:divBdr>
            <w:top w:val="none" w:sz="0" w:space="0" w:color="auto"/>
            <w:left w:val="none" w:sz="0" w:space="0" w:color="auto"/>
            <w:bottom w:val="none" w:sz="0" w:space="0" w:color="auto"/>
            <w:right w:val="none" w:sz="0" w:space="0" w:color="auto"/>
          </w:divBdr>
          <w:divsChild>
            <w:div w:id="314723661">
              <w:marLeft w:val="0"/>
              <w:marRight w:val="0"/>
              <w:marTop w:val="0"/>
              <w:marBottom w:val="0"/>
              <w:divBdr>
                <w:top w:val="none" w:sz="0" w:space="0" w:color="auto"/>
                <w:left w:val="none" w:sz="0" w:space="0" w:color="auto"/>
                <w:bottom w:val="none" w:sz="0" w:space="0" w:color="auto"/>
                <w:right w:val="none" w:sz="0" w:space="0" w:color="auto"/>
              </w:divBdr>
              <w:divsChild>
                <w:div w:id="6303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98915">
      <w:bodyDiv w:val="1"/>
      <w:marLeft w:val="0"/>
      <w:marRight w:val="0"/>
      <w:marTop w:val="0"/>
      <w:marBottom w:val="0"/>
      <w:divBdr>
        <w:top w:val="none" w:sz="0" w:space="0" w:color="auto"/>
        <w:left w:val="none" w:sz="0" w:space="0" w:color="auto"/>
        <w:bottom w:val="none" w:sz="0" w:space="0" w:color="auto"/>
        <w:right w:val="none" w:sz="0" w:space="0" w:color="auto"/>
      </w:divBdr>
    </w:div>
    <w:div w:id="823356003">
      <w:bodyDiv w:val="1"/>
      <w:marLeft w:val="0"/>
      <w:marRight w:val="0"/>
      <w:marTop w:val="0"/>
      <w:marBottom w:val="0"/>
      <w:divBdr>
        <w:top w:val="none" w:sz="0" w:space="0" w:color="auto"/>
        <w:left w:val="none" w:sz="0" w:space="0" w:color="auto"/>
        <w:bottom w:val="none" w:sz="0" w:space="0" w:color="auto"/>
        <w:right w:val="none" w:sz="0" w:space="0" w:color="auto"/>
      </w:divBdr>
    </w:div>
    <w:div w:id="823623172">
      <w:bodyDiv w:val="1"/>
      <w:marLeft w:val="0"/>
      <w:marRight w:val="0"/>
      <w:marTop w:val="0"/>
      <w:marBottom w:val="0"/>
      <w:divBdr>
        <w:top w:val="none" w:sz="0" w:space="0" w:color="auto"/>
        <w:left w:val="none" w:sz="0" w:space="0" w:color="auto"/>
        <w:bottom w:val="none" w:sz="0" w:space="0" w:color="auto"/>
        <w:right w:val="none" w:sz="0" w:space="0" w:color="auto"/>
      </w:divBdr>
    </w:div>
    <w:div w:id="828524183">
      <w:bodyDiv w:val="1"/>
      <w:marLeft w:val="0"/>
      <w:marRight w:val="0"/>
      <w:marTop w:val="0"/>
      <w:marBottom w:val="0"/>
      <w:divBdr>
        <w:top w:val="none" w:sz="0" w:space="0" w:color="auto"/>
        <w:left w:val="none" w:sz="0" w:space="0" w:color="auto"/>
        <w:bottom w:val="none" w:sz="0" w:space="0" w:color="auto"/>
        <w:right w:val="none" w:sz="0" w:space="0" w:color="auto"/>
      </w:divBdr>
      <w:divsChild>
        <w:div w:id="437411127">
          <w:marLeft w:val="0"/>
          <w:marRight w:val="0"/>
          <w:marTop w:val="0"/>
          <w:marBottom w:val="0"/>
          <w:divBdr>
            <w:top w:val="none" w:sz="0" w:space="0" w:color="auto"/>
            <w:left w:val="none" w:sz="0" w:space="0" w:color="auto"/>
            <w:bottom w:val="none" w:sz="0" w:space="0" w:color="auto"/>
            <w:right w:val="none" w:sz="0" w:space="0" w:color="auto"/>
          </w:divBdr>
          <w:divsChild>
            <w:div w:id="1329871179">
              <w:marLeft w:val="0"/>
              <w:marRight w:val="0"/>
              <w:marTop w:val="0"/>
              <w:marBottom w:val="0"/>
              <w:divBdr>
                <w:top w:val="none" w:sz="0" w:space="0" w:color="auto"/>
                <w:left w:val="none" w:sz="0" w:space="0" w:color="auto"/>
                <w:bottom w:val="none" w:sz="0" w:space="0" w:color="auto"/>
                <w:right w:val="none" w:sz="0" w:space="0" w:color="auto"/>
              </w:divBdr>
              <w:divsChild>
                <w:div w:id="1715764121">
                  <w:marLeft w:val="0"/>
                  <w:marRight w:val="0"/>
                  <w:marTop w:val="0"/>
                  <w:marBottom w:val="0"/>
                  <w:divBdr>
                    <w:top w:val="none" w:sz="0" w:space="0" w:color="auto"/>
                    <w:left w:val="none" w:sz="0" w:space="0" w:color="auto"/>
                    <w:bottom w:val="none" w:sz="0" w:space="0" w:color="auto"/>
                    <w:right w:val="none" w:sz="0" w:space="0" w:color="auto"/>
                  </w:divBdr>
                  <w:divsChild>
                    <w:div w:id="7228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80485">
      <w:bodyDiv w:val="1"/>
      <w:marLeft w:val="0"/>
      <w:marRight w:val="0"/>
      <w:marTop w:val="0"/>
      <w:marBottom w:val="0"/>
      <w:divBdr>
        <w:top w:val="none" w:sz="0" w:space="0" w:color="auto"/>
        <w:left w:val="none" w:sz="0" w:space="0" w:color="auto"/>
        <w:bottom w:val="none" w:sz="0" w:space="0" w:color="auto"/>
        <w:right w:val="none" w:sz="0" w:space="0" w:color="auto"/>
      </w:divBdr>
      <w:divsChild>
        <w:div w:id="124202919">
          <w:marLeft w:val="0"/>
          <w:marRight w:val="0"/>
          <w:marTop w:val="0"/>
          <w:marBottom w:val="0"/>
          <w:divBdr>
            <w:top w:val="none" w:sz="0" w:space="0" w:color="auto"/>
            <w:left w:val="none" w:sz="0" w:space="0" w:color="auto"/>
            <w:bottom w:val="none" w:sz="0" w:space="0" w:color="auto"/>
            <w:right w:val="none" w:sz="0" w:space="0" w:color="auto"/>
          </w:divBdr>
          <w:divsChild>
            <w:div w:id="1113750707">
              <w:marLeft w:val="0"/>
              <w:marRight w:val="0"/>
              <w:marTop w:val="0"/>
              <w:marBottom w:val="0"/>
              <w:divBdr>
                <w:top w:val="none" w:sz="0" w:space="0" w:color="auto"/>
                <w:left w:val="none" w:sz="0" w:space="0" w:color="auto"/>
                <w:bottom w:val="none" w:sz="0" w:space="0" w:color="auto"/>
                <w:right w:val="none" w:sz="0" w:space="0" w:color="auto"/>
              </w:divBdr>
              <w:divsChild>
                <w:div w:id="87354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09807">
      <w:bodyDiv w:val="1"/>
      <w:marLeft w:val="0"/>
      <w:marRight w:val="0"/>
      <w:marTop w:val="0"/>
      <w:marBottom w:val="0"/>
      <w:divBdr>
        <w:top w:val="none" w:sz="0" w:space="0" w:color="auto"/>
        <w:left w:val="none" w:sz="0" w:space="0" w:color="auto"/>
        <w:bottom w:val="none" w:sz="0" w:space="0" w:color="auto"/>
        <w:right w:val="none" w:sz="0" w:space="0" w:color="auto"/>
      </w:divBdr>
    </w:div>
    <w:div w:id="868838178">
      <w:bodyDiv w:val="1"/>
      <w:marLeft w:val="0"/>
      <w:marRight w:val="0"/>
      <w:marTop w:val="0"/>
      <w:marBottom w:val="0"/>
      <w:divBdr>
        <w:top w:val="none" w:sz="0" w:space="0" w:color="auto"/>
        <w:left w:val="none" w:sz="0" w:space="0" w:color="auto"/>
        <w:bottom w:val="none" w:sz="0" w:space="0" w:color="auto"/>
        <w:right w:val="none" w:sz="0" w:space="0" w:color="auto"/>
      </w:divBdr>
      <w:divsChild>
        <w:div w:id="752169565">
          <w:marLeft w:val="0"/>
          <w:marRight w:val="0"/>
          <w:marTop w:val="0"/>
          <w:marBottom w:val="0"/>
          <w:divBdr>
            <w:top w:val="none" w:sz="0" w:space="0" w:color="auto"/>
            <w:left w:val="none" w:sz="0" w:space="0" w:color="auto"/>
            <w:bottom w:val="none" w:sz="0" w:space="0" w:color="auto"/>
            <w:right w:val="none" w:sz="0" w:space="0" w:color="auto"/>
          </w:divBdr>
          <w:divsChild>
            <w:div w:id="1357924178">
              <w:marLeft w:val="0"/>
              <w:marRight w:val="0"/>
              <w:marTop w:val="0"/>
              <w:marBottom w:val="0"/>
              <w:divBdr>
                <w:top w:val="none" w:sz="0" w:space="0" w:color="auto"/>
                <w:left w:val="none" w:sz="0" w:space="0" w:color="auto"/>
                <w:bottom w:val="none" w:sz="0" w:space="0" w:color="auto"/>
                <w:right w:val="none" w:sz="0" w:space="0" w:color="auto"/>
              </w:divBdr>
              <w:divsChild>
                <w:div w:id="809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33201">
      <w:bodyDiv w:val="1"/>
      <w:marLeft w:val="0"/>
      <w:marRight w:val="0"/>
      <w:marTop w:val="0"/>
      <w:marBottom w:val="0"/>
      <w:divBdr>
        <w:top w:val="none" w:sz="0" w:space="0" w:color="auto"/>
        <w:left w:val="none" w:sz="0" w:space="0" w:color="auto"/>
        <w:bottom w:val="none" w:sz="0" w:space="0" w:color="auto"/>
        <w:right w:val="none" w:sz="0" w:space="0" w:color="auto"/>
      </w:divBdr>
    </w:div>
    <w:div w:id="886258106">
      <w:bodyDiv w:val="1"/>
      <w:marLeft w:val="0"/>
      <w:marRight w:val="0"/>
      <w:marTop w:val="0"/>
      <w:marBottom w:val="0"/>
      <w:divBdr>
        <w:top w:val="none" w:sz="0" w:space="0" w:color="auto"/>
        <w:left w:val="none" w:sz="0" w:space="0" w:color="auto"/>
        <w:bottom w:val="none" w:sz="0" w:space="0" w:color="auto"/>
        <w:right w:val="none" w:sz="0" w:space="0" w:color="auto"/>
      </w:divBdr>
    </w:div>
    <w:div w:id="904413310">
      <w:bodyDiv w:val="1"/>
      <w:marLeft w:val="0"/>
      <w:marRight w:val="0"/>
      <w:marTop w:val="0"/>
      <w:marBottom w:val="0"/>
      <w:divBdr>
        <w:top w:val="none" w:sz="0" w:space="0" w:color="auto"/>
        <w:left w:val="none" w:sz="0" w:space="0" w:color="auto"/>
        <w:bottom w:val="none" w:sz="0" w:space="0" w:color="auto"/>
        <w:right w:val="none" w:sz="0" w:space="0" w:color="auto"/>
      </w:divBdr>
      <w:divsChild>
        <w:div w:id="1787460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5344732">
              <w:marLeft w:val="0"/>
              <w:marRight w:val="0"/>
              <w:marTop w:val="0"/>
              <w:marBottom w:val="0"/>
              <w:divBdr>
                <w:top w:val="none" w:sz="0" w:space="0" w:color="auto"/>
                <w:left w:val="none" w:sz="0" w:space="0" w:color="auto"/>
                <w:bottom w:val="none" w:sz="0" w:space="0" w:color="auto"/>
                <w:right w:val="none" w:sz="0" w:space="0" w:color="auto"/>
              </w:divBdr>
              <w:divsChild>
                <w:div w:id="288825143">
                  <w:marLeft w:val="0"/>
                  <w:marRight w:val="0"/>
                  <w:marTop w:val="0"/>
                  <w:marBottom w:val="0"/>
                  <w:divBdr>
                    <w:top w:val="none" w:sz="0" w:space="0" w:color="auto"/>
                    <w:left w:val="none" w:sz="0" w:space="0" w:color="auto"/>
                    <w:bottom w:val="none" w:sz="0" w:space="0" w:color="auto"/>
                    <w:right w:val="none" w:sz="0" w:space="0" w:color="auto"/>
                  </w:divBdr>
                  <w:divsChild>
                    <w:div w:id="1577202462">
                      <w:marLeft w:val="0"/>
                      <w:marRight w:val="0"/>
                      <w:marTop w:val="0"/>
                      <w:marBottom w:val="0"/>
                      <w:divBdr>
                        <w:top w:val="none" w:sz="0" w:space="0" w:color="auto"/>
                        <w:left w:val="none" w:sz="0" w:space="0" w:color="auto"/>
                        <w:bottom w:val="none" w:sz="0" w:space="0" w:color="auto"/>
                        <w:right w:val="none" w:sz="0" w:space="0" w:color="auto"/>
                      </w:divBdr>
                      <w:divsChild>
                        <w:div w:id="194926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4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883820">
      <w:bodyDiv w:val="1"/>
      <w:marLeft w:val="0"/>
      <w:marRight w:val="0"/>
      <w:marTop w:val="0"/>
      <w:marBottom w:val="0"/>
      <w:divBdr>
        <w:top w:val="none" w:sz="0" w:space="0" w:color="auto"/>
        <w:left w:val="none" w:sz="0" w:space="0" w:color="auto"/>
        <w:bottom w:val="none" w:sz="0" w:space="0" w:color="auto"/>
        <w:right w:val="none" w:sz="0" w:space="0" w:color="auto"/>
      </w:divBdr>
    </w:div>
    <w:div w:id="923998498">
      <w:bodyDiv w:val="1"/>
      <w:marLeft w:val="0"/>
      <w:marRight w:val="0"/>
      <w:marTop w:val="0"/>
      <w:marBottom w:val="0"/>
      <w:divBdr>
        <w:top w:val="none" w:sz="0" w:space="0" w:color="auto"/>
        <w:left w:val="none" w:sz="0" w:space="0" w:color="auto"/>
        <w:bottom w:val="none" w:sz="0" w:space="0" w:color="auto"/>
        <w:right w:val="none" w:sz="0" w:space="0" w:color="auto"/>
      </w:divBdr>
    </w:div>
    <w:div w:id="925502171">
      <w:bodyDiv w:val="1"/>
      <w:marLeft w:val="0"/>
      <w:marRight w:val="0"/>
      <w:marTop w:val="0"/>
      <w:marBottom w:val="0"/>
      <w:divBdr>
        <w:top w:val="none" w:sz="0" w:space="0" w:color="auto"/>
        <w:left w:val="none" w:sz="0" w:space="0" w:color="auto"/>
        <w:bottom w:val="none" w:sz="0" w:space="0" w:color="auto"/>
        <w:right w:val="none" w:sz="0" w:space="0" w:color="auto"/>
      </w:divBdr>
      <w:divsChild>
        <w:div w:id="1043604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324573">
              <w:marLeft w:val="0"/>
              <w:marRight w:val="0"/>
              <w:marTop w:val="0"/>
              <w:marBottom w:val="0"/>
              <w:divBdr>
                <w:top w:val="none" w:sz="0" w:space="0" w:color="auto"/>
                <w:left w:val="none" w:sz="0" w:space="0" w:color="auto"/>
                <w:bottom w:val="none" w:sz="0" w:space="0" w:color="auto"/>
                <w:right w:val="none" w:sz="0" w:space="0" w:color="auto"/>
              </w:divBdr>
              <w:divsChild>
                <w:div w:id="3416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1539">
      <w:bodyDiv w:val="1"/>
      <w:marLeft w:val="0"/>
      <w:marRight w:val="0"/>
      <w:marTop w:val="0"/>
      <w:marBottom w:val="0"/>
      <w:divBdr>
        <w:top w:val="none" w:sz="0" w:space="0" w:color="auto"/>
        <w:left w:val="none" w:sz="0" w:space="0" w:color="auto"/>
        <w:bottom w:val="none" w:sz="0" w:space="0" w:color="auto"/>
        <w:right w:val="none" w:sz="0" w:space="0" w:color="auto"/>
      </w:divBdr>
      <w:divsChild>
        <w:div w:id="682442618">
          <w:marLeft w:val="0"/>
          <w:marRight w:val="0"/>
          <w:marTop w:val="0"/>
          <w:marBottom w:val="0"/>
          <w:divBdr>
            <w:top w:val="none" w:sz="0" w:space="0" w:color="auto"/>
            <w:left w:val="none" w:sz="0" w:space="0" w:color="auto"/>
            <w:bottom w:val="none" w:sz="0" w:space="0" w:color="auto"/>
            <w:right w:val="none" w:sz="0" w:space="0" w:color="auto"/>
          </w:divBdr>
          <w:divsChild>
            <w:div w:id="167983426">
              <w:marLeft w:val="0"/>
              <w:marRight w:val="0"/>
              <w:marTop w:val="0"/>
              <w:marBottom w:val="0"/>
              <w:divBdr>
                <w:top w:val="none" w:sz="0" w:space="0" w:color="auto"/>
                <w:left w:val="none" w:sz="0" w:space="0" w:color="auto"/>
                <w:bottom w:val="none" w:sz="0" w:space="0" w:color="auto"/>
                <w:right w:val="none" w:sz="0" w:space="0" w:color="auto"/>
              </w:divBdr>
              <w:divsChild>
                <w:div w:id="16177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028306">
      <w:bodyDiv w:val="1"/>
      <w:marLeft w:val="0"/>
      <w:marRight w:val="0"/>
      <w:marTop w:val="0"/>
      <w:marBottom w:val="0"/>
      <w:divBdr>
        <w:top w:val="none" w:sz="0" w:space="0" w:color="auto"/>
        <w:left w:val="none" w:sz="0" w:space="0" w:color="auto"/>
        <w:bottom w:val="none" w:sz="0" w:space="0" w:color="auto"/>
        <w:right w:val="none" w:sz="0" w:space="0" w:color="auto"/>
      </w:divBdr>
    </w:div>
    <w:div w:id="950168181">
      <w:bodyDiv w:val="1"/>
      <w:marLeft w:val="0"/>
      <w:marRight w:val="0"/>
      <w:marTop w:val="0"/>
      <w:marBottom w:val="0"/>
      <w:divBdr>
        <w:top w:val="none" w:sz="0" w:space="0" w:color="auto"/>
        <w:left w:val="none" w:sz="0" w:space="0" w:color="auto"/>
        <w:bottom w:val="none" w:sz="0" w:space="0" w:color="auto"/>
        <w:right w:val="none" w:sz="0" w:space="0" w:color="auto"/>
      </w:divBdr>
    </w:div>
    <w:div w:id="956445222">
      <w:bodyDiv w:val="1"/>
      <w:marLeft w:val="0"/>
      <w:marRight w:val="0"/>
      <w:marTop w:val="0"/>
      <w:marBottom w:val="0"/>
      <w:divBdr>
        <w:top w:val="none" w:sz="0" w:space="0" w:color="auto"/>
        <w:left w:val="none" w:sz="0" w:space="0" w:color="auto"/>
        <w:bottom w:val="none" w:sz="0" w:space="0" w:color="auto"/>
        <w:right w:val="none" w:sz="0" w:space="0" w:color="auto"/>
      </w:divBdr>
    </w:div>
    <w:div w:id="969168760">
      <w:bodyDiv w:val="1"/>
      <w:marLeft w:val="0"/>
      <w:marRight w:val="0"/>
      <w:marTop w:val="0"/>
      <w:marBottom w:val="0"/>
      <w:divBdr>
        <w:top w:val="none" w:sz="0" w:space="0" w:color="auto"/>
        <w:left w:val="none" w:sz="0" w:space="0" w:color="auto"/>
        <w:bottom w:val="none" w:sz="0" w:space="0" w:color="auto"/>
        <w:right w:val="none" w:sz="0" w:space="0" w:color="auto"/>
      </w:divBdr>
    </w:div>
    <w:div w:id="981884598">
      <w:bodyDiv w:val="1"/>
      <w:marLeft w:val="0"/>
      <w:marRight w:val="0"/>
      <w:marTop w:val="0"/>
      <w:marBottom w:val="0"/>
      <w:divBdr>
        <w:top w:val="none" w:sz="0" w:space="0" w:color="auto"/>
        <w:left w:val="none" w:sz="0" w:space="0" w:color="auto"/>
        <w:bottom w:val="none" w:sz="0" w:space="0" w:color="auto"/>
        <w:right w:val="none" w:sz="0" w:space="0" w:color="auto"/>
      </w:divBdr>
    </w:div>
    <w:div w:id="986938918">
      <w:bodyDiv w:val="1"/>
      <w:marLeft w:val="0"/>
      <w:marRight w:val="0"/>
      <w:marTop w:val="0"/>
      <w:marBottom w:val="0"/>
      <w:divBdr>
        <w:top w:val="none" w:sz="0" w:space="0" w:color="auto"/>
        <w:left w:val="none" w:sz="0" w:space="0" w:color="auto"/>
        <w:bottom w:val="none" w:sz="0" w:space="0" w:color="auto"/>
        <w:right w:val="none" w:sz="0" w:space="0" w:color="auto"/>
      </w:divBdr>
    </w:div>
    <w:div w:id="1005743581">
      <w:bodyDiv w:val="1"/>
      <w:marLeft w:val="0"/>
      <w:marRight w:val="0"/>
      <w:marTop w:val="0"/>
      <w:marBottom w:val="0"/>
      <w:divBdr>
        <w:top w:val="none" w:sz="0" w:space="0" w:color="auto"/>
        <w:left w:val="none" w:sz="0" w:space="0" w:color="auto"/>
        <w:bottom w:val="none" w:sz="0" w:space="0" w:color="auto"/>
        <w:right w:val="none" w:sz="0" w:space="0" w:color="auto"/>
      </w:divBdr>
    </w:div>
    <w:div w:id="1007099389">
      <w:bodyDiv w:val="1"/>
      <w:marLeft w:val="0"/>
      <w:marRight w:val="0"/>
      <w:marTop w:val="0"/>
      <w:marBottom w:val="0"/>
      <w:divBdr>
        <w:top w:val="none" w:sz="0" w:space="0" w:color="auto"/>
        <w:left w:val="none" w:sz="0" w:space="0" w:color="auto"/>
        <w:bottom w:val="none" w:sz="0" w:space="0" w:color="auto"/>
        <w:right w:val="none" w:sz="0" w:space="0" w:color="auto"/>
      </w:divBdr>
    </w:div>
    <w:div w:id="1019238712">
      <w:bodyDiv w:val="1"/>
      <w:marLeft w:val="0"/>
      <w:marRight w:val="0"/>
      <w:marTop w:val="0"/>
      <w:marBottom w:val="0"/>
      <w:divBdr>
        <w:top w:val="none" w:sz="0" w:space="0" w:color="auto"/>
        <w:left w:val="none" w:sz="0" w:space="0" w:color="auto"/>
        <w:bottom w:val="none" w:sz="0" w:space="0" w:color="auto"/>
        <w:right w:val="none" w:sz="0" w:space="0" w:color="auto"/>
      </w:divBdr>
    </w:div>
    <w:div w:id="1073091112">
      <w:bodyDiv w:val="1"/>
      <w:marLeft w:val="0"/>
      <w:marRight w:val="0"/>
      <w:marTop w:val="0"/>
      <w:marBottom w:val="0"/>
      <w:divBdr>
        <w:top w:val="none" w:sz="0" w:space="0" w:color="auto"/>
        <w:left w:val="none" w:sz="0" w:space="0" w:color="auto"/>
        <w:bottom w:val="none" w:sz="0" w:space="0" w:color="auto"/>
        <w:right w:val="none" w:sz="0" w:space="0" w:color="auto"/>
      </w:divBdr>
      <w:divsChild>
        <w:div w:id="864633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6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23771">
      <w:bodyDiv w:val="1"/>
      <w:marLeft w:val="0"/>
      <w:marRight w:val="0"/>
      <w:marTop w:val="0"/>
      <w:marBottom w:val="0"/>
      <w:divBdr>
        <w:top w:val="none" w:sz="0" w:space="0" w:color="auto"/>
        <w:left w:val="none" w:sz="0" w:space="0" w:color="auto"/>
        <w:bottom w:val="none" w:sz="0" w:space="0" w:color="auto"/>
        <w:right w:val="none" w:sz="0" w:space="0" w:color="auto"/>
      </w:divBdr>
    </w:div>
    <w:div w:id="1135831411">
      <w:bodyDiv w:val="1"/>
      <w:marLeft w:val="0"/>
      <w:marRight w:val="0"/>
      <w:marTop w:val="0"/>
      <w:marBottom w:val="0"/>
      <w:divBdr>
        <w:top w:val="none" w:sz="0" w:space="0" w:color="auto"/>
        <w:left w:val="none" w:sz="0" w:space="0" w:color="auto"/>
        <w:bottom w:val="none" w:sz="0" w:space="0" w:color="auto"/>
        <w:right w:val="none" w:sz="0" w:space="0" w:color="auto"/>
      </w:divBdr>
      <w:divsChild>
        <w:div w:id="196049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1030837">
              <w:marLeft w:val="0"/>
              <w:marRight w:val="0"/>
              <w:marTop w:val="0"/>
              <w:marBottom w:val="0"/>
              <w:divBdr>
                <w:top w:val="none" w:sz="0" w:space="0" w:color="auto"/>
                <w:left w:val="none" w:sz="0" w:space="0" w:color="auto"/>
                <w:bottom w:val="none" w:sz="0" w:space="0" w:color="auto"/>
                <w:right w:val="none" w:sz="0" w:space="0" w:color="auto"/>
              </w:divBdr>
              <w:divsChild>
                <w:div w:id="220334519">
                  <w:marLeft w:val="0"/>
                  <w:marRight w:val="0"/>
                  <w:marTop w:val="0"/>
                  <w:marBottom w:val="0"/>
                  <w:divBdr>
                    <w:top w:val="none" w:sz="0" w:space="0" w:color="auto"/>
                    <w:left w:val="none" w:sz="0" w:space="0" w:color="auto"/>
                    <w:bottom w:val="none" w:sz="0" w:space="0" w:color="auto"/>
                    <w:right w:val="none" w:sz="0" w:space="0" w:color="auto"/>
                  </w:divBdr>
                </w:div>
                <w:div w:id="99827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89624">
      <w:bodyDiv w:val="1"/>
      <w:marLeft w:val="0"/>
      <w:marRight w:val="0"/>
      <w:marTop w:val="0"/>
      <w:marBottom w:val="0"/>
      <w:divBdr>
        <w:top w:val="none" w:sz="0" w:space="0" w:color="auto"/>
        <w:left w:val="none" w:sz="0" w:space="0" w:color="auto"/>
        <w:bottom w:val="none" w:sz="0" w:space="0" w:color="auto"/>
        <w:right w:val="none" w:sz="0" w:space="0" w:color="auto"/>
      </w:divBdr>
    </w:div>
    <w:div w:id="1189104288">
      <w:bodyDiv w:val="1"/>
      <w:marLeft w:val="0"/>
      <w:marRight w:val="0"/>
      <w:marTop w:val="0"/>
      <w:marBottom w:val="0"/>
      <w:divBdr>
        <w:top w:val="none" w:sz="0" w:space="0" w:color="auto"/>
        <w:left w:val="none" w:sz="0" w:space="0" w:color="auto"/>
        <w:bottom w:val="none" w:sz="0" w:space="0" w:color="auto"/>
        <w:right w:val="none" w:sz="0" w:space="0" w:color="auto"/>
      </w:divBdr>
      <w:divsChild>
        <w:div w:id="420219743">
          <w:marLeft w:val="0"/>
          <w:marRight w:val="0"/>
          <w:marTop w:val="0"/>
          <w:marBottom w:val="0"/>
          <w:divBdr>
            <w:top w:val="none" w:sz="0" w:space="0" w:color="auto"/>
            <w:left w:val="none" w:sz="0" w:space="0" w:color="auto"/>
            <w:bottom w:val="none" w:sz="0" w:space="0" w:color="auto"/>
            <w:right w:val="none" w:sz="0" w:space="0" w:color="auto"/>
          </w:divBdr>
          <w:divsChild>
            <w:div w:id="1000042458">
              <w:marLeft w:val="0"/>
              <w:marRight w:val="0"/>
              <w:marTop w:val="0"/>
              <w:marBottom w:val="0"/>
              <w:divBdr>
                <w:top w:val="none" w:sz="0" w:space="0" w:color="auto"/>
                <w:left w:val="none" w:sz="0" w:space="0" w:color="auto"/>
                <w:bottom w:val="none" w:sz="0" w:space="0" w:color="auto"/>
                <w:right w:val="none" w:sz="0" w:space="0" w:color="auto"/>
              </w:divBdr>
              <w:divsChild>
                <w:div w:id="114427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6238">
      <w:bodyDiv w:val="1"/>
      <w:marLeft w:val="0"/>
      <w:marRight w:val="0"/>
      <w:marTop w:val="0"/>
      <w:marBottom w:val="0"/>
      <w:divBdr>
        <w:top w:val="none" w:sz="0" w:space="0" w:color="auto"/>
        <w:left w:val="none" w:sz="0" w:space="0" w:color="auto"/>
        <w:bottom w:val="none" w:sz="0" w:space="0" w:color="auto"/>
        <w:right w:val="none" w:sz="0" w:space="0" w:color="auto"/>
      </w:divBdr>
    </w:div>
    <w:div w:id="1204171389">
      <w:bodyDiv w:val="1"/>
      <w:marLeft w:val="0"/>
      <w:marRight w:val="0"/>
      <w:marTop w:val="0"/>
      <w:marBottom w:val="0"/>
      <w:divBdr>
        <w:top w:val="none" w:sz="0" w:space="0" w:color="auto"/>
        <w:left w:val="none" w:sz="0" w:space="0" w:color="auto"/>
        <w:bottom w:val="none" w:sz="0" w:space="0" w:color="auto"/>
        <w:right w:val="none" w:sz="0" w:space="0" w:color="auto"/>
      </w:divBdr>
    </w:div>
    <w:div w:id="1225336567">
      <w:bodyDiv w:val="1"/>
      <w:marLeft w:val="0"/>
      <w:marRight w:val="0"/>
      <w:marTop w:val="0"/>
      <w:marBottom w:val="0"/>
      <w:divBdr>
        <w:top w:val="none" w:sz="0" w:space="0" w:color="auto"/>
        <w:left w:val="none" w:sz="0" w:space="0" w:color="auto"/>
        <w:bottom w:val="none" w:sz="0" w:space="0" w:color="auto"/>
        <w:right w:val="none" w:sz="0" w:space="0" w:color="auto"/>
      </w:divBdr>
    </w:div>
    <w:div w:id="1231188452">
      <w:bodyDiv w:val="1"/>
      <w:marLeft w:val="0"/>
      <w:marRight w:val="0"/>
      <w:marTop w:val="0"/>
      <w:marBottom w:val="0"/>
      <w:divBdr>
        <w:top w:val="none" w:sz="0" w:space="0" w:color="auto"/>
        <w:left w:val="none" w:sz="0" w:space="0" w:color="auto"/>
        <w:bottom w:val="none" w:sz="0" w:space="0" w:color="auto"/>
        <w:right w:val="none" w:sz="0" w:space="0" w:color="auto"/>
      </w:divBdr>
    </w:div>
    <w:div w:id="1272587709">
      <w:bodyDiv w:val="1"/>
      <w:marLeft w:val="0"/>
      <w:marRight w:val="0"/>
      <w:marTop w:val="0"/>
      <w:marBottom w:val="0"/>
      <w:divBdr>
        <w:top w:val="none" w:sz="0" w:space="0" w:color="auto"/>
        <w:left w:val="none" w:sz="0" w:space="0" w:color="auto"/>
        <w:bottom w:val="none" w:sz="0" w:space="0" w:color="auto"/>
        <w:right w:val="none" w:sz="0" w:space="0" w:color="auto"/>
      </w:divBdr>
    </w:div>
    <w:div w:id="1272740844">
      <w:bodyDiv w:val="1"/>
      <w:marLeft w:val="0"/>
      <w:marRight w:val="0"/>
      <w:marTop w:val="0"/>
      <w:marBottom w:val="0"/>
      <w:divBdr>
        <w:top w:val="none" w:sz="0" w:space="0" w:color="auto"/>
        <w:left w:val="none" w:sz="0" w:space="0" w:color="auto"/>
        <w:bottom w:val="none" w:sz="0" w:space="0" w:color="auto"/>
        <w:right w:val="none" w:sz="0" w:space="0" w:color="auto"/>
      </w:divBdr>
      <w:divsChild>
        <w:div w:id="1988511300">
          <w:marLeft w:val="0"/>
          <w:marRight w:val="0"/>
          <w:marTop w:val="0"/>
          <w:marBottom w:val="0"/>
          <w:divBdr>
            <w:top w:val="none" w:sz="0" w:space="0" w:color="auto"/>
            <w:left w:val="none" w:sz="0" w:space="0" w:color="auto"/>
            <w:bottom w:val="none" w:sz="0" w:space="0" w:color="auto"/>
            <w:right w:val="none" w:sz="0" w:space="0" w:color="auto"/>
          </w:divBdr>
          <w:divsChild>
            <w:div w:id="646133987">
              <w:marLeft w:val="0"/>
              <w:marRight w:val="0"/>
              <w:marTop w:val="0"/>
              <w:marBottom w:val="0"/>
              <w:divBdr>
                <w:top w:val="none" w:sz="0" w:space="0" w:color="auto"/>
                <w:left w:val="none" w:sz="0" w:space="0" w:color="auto"/>
                <w:bottom w:val="none" w:sz="0" w:space="0" w:color="auto"/>
                <w:right w:val="none" w:sz="0" w:space="0" w:color="auto"/>
              </w:divBdr>
              <w:divsChild>
                <w:div w:id="15188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53225">
      <w:bodyDiv w:val="1"/>
      <w:marLeft w:val="0"/>
      <w:marRight w:val="0"/>
      <w:marTop w:val="0"/>
      <w:marBottom w:val="0"/>
      <w:divBdr>
        <w:top w:val="none" w:sz="0" w:space="0" w:color="auto"/>
        <w:left w:val="none" w:sz="0" w:space="0" w:color="auto"/>
        <w:bottom w:val="none" w:sz="0" w:space="0" w:color="auto"/>
        <w:right w:val="none" w:sz="0" w:space="0" w:color="auto"/>
      </w:divBdr>
      <w:divsChild>
        <w:div w:id="528417360">
          <w:marLeft w:val="144"/>
          <w:marRight w:val="0"/>
          <w:marTop w:val="240"/>
          <w:marBottom w:val="40"/>
          <w:divBdr>
            <w:top w:val="none" w:sz="0" w:space="0" w:color="auto"/>
            <w:left w:val="none" w:sz="0" w:space="0" w:color="auto"/>
            <w:bottom w:val="none" w:sz="0" w:space="0" w:color="auto"/>
            <w:right w:val="none" w:sz="0" w:space="0" w:color="auto"/>
          </w:divBdr>
        </w:div>
      </w:divsChild>
    </w:div>
    <w:div w:id="1280795418">
      <w:bodyDiv w:val="1"/>
      <w:marLeft w:val="0"/>
      <w:marRight w:val="0"/>
      <w:marTop w:val="0"/>
      <w:marBottom w:val="0"/>
      <w:divBdr>
        <w:top w:val="none" w:sz="0" w:space="0" w:color="auto"/>
        <w:left w:val="none" w:sz="0" w:space="0" w:color="auto"/>
        <w:bottom w:val="none" w:sz="0" w:space="0" w:color="auto"/>
        <w:right w:val="none" w:sz="0" w:space="0" w:color="auto"/>
      </w:divBdr>
    </w:div>
    <w:div w:id="1281256491">
      <w:bodyDiv w:val="1"/>
      <w:marLeft w:val="0"/>
      <w:marRight w:val="0"/>
      <w:marTop w:val="0"/>
      <w:marBottom w:val="0"/>
      <w:divBdr>
        <w:top w:val="none" w:sz="0" w:space="0" w:color="auto"/>
        <w:left w:val="none" w:sz="0" w:space="0" w:color="auto"/>
        <w:bottom w:val="none" w:sz="0" w:space="0" w:color="auto"/>
        <w:right w:val="none" w:sz="0" w:space="0" w:color="auto"/>
      </w:divBdr>
    </w:div>
    <w:div w:id="1284340062">
      <w:bodyDiv w:val="1"/>
      <w:marLeft w:val="0"/>
      <w:marRight w:val="0"/>
      <w:marTop w:val="0"/>
      <w:marBottom w:val="0"/>
      <w:divBdr>
        <w:top w:val="none" w:sz="0" w:space="0" w:color="auto"/>
        <w:left w:val="none" w:sz="0" w:space="0" w:color="auto"/>
        <w:bottom w:val="none" w:sz="0" w:space="0" w:color="auto"/>
        <w:right w:val="none" w:sz="0" w:space="0" w:color="auto"/>
      </w:divBdr>
      <w:divsChild>
        <w:div w:id="227153300">
          <w:marLeft w:val="0"/>
          <w:marRight w:val="0"/>
          <w:marTop w:val="0"/>
          <w:marBottom w:val="0"/>
          <w:divBdr>
            <w:top w:val="none" w:sz="0" w:space="0" w:color="auto"/>
            <w:left w:val="none" w:sz="0" w:space="0" w:color="auto"/>
            <w:bottom w:val="none" w:sz="0" w:space="0" w:color="auto"/>
            <w:right w:val="none" w:sz="0" w:space="0" w:color="auto"/>
          </w:divBdr>
          <w:divsChild>
            <w:div w:id="840118139">
              <w:marLeft w:val="0"/>
              <w:marRight w:val="0"/>
              <w:marTop w:val="0"/>
              <w:marBottom w:val="0"/>
              <w:divBdr>
                <w:top w:val="none" w:sz="0" w:space="0" w:color="auto"/>
                <w:left w:val="none" w:sz="0" w:space="0" w:color="auto"/>
                <w:bottom w:val="none" w:sz="0" w:space="0" w:color="auto"/>
                <w:right w:val="none" w:sz="0" w:space="0" w:color="auto"/>
              </w:divBdr>
              <w:divsChild>
                <w:div w:id="17612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625836">
      <w:bodyDiv w:val="1"/>
      <w:marLeft w:val="0"/>
      <w:marRight w:val="0"/>
      <w:marTop w:val="0"/>
      <w:marBottom w:val="0"/>
      <w:divBdr>
        <w:top w:val="none" w:sz="0" w:space="0" w:color="auto"/>
        <w:left w:val="none" w:sz="0" w:space="0" w:color="auto"/>
        <w:bottom w:val="none" w:sz="0" w:space="0" w:color="auto"/>
        <w:right w:val="none" w:sz="0" w:space="0" w:color="auto"/>
      </w:divBdr>
      <w:divsChild>
        <w:div w:id="439299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2321708">
              <w:marLeft w:val="0"/>
              <w:marRight w:val="0"/>
              <w:marTop w:val="0"/>
              <w:marBottom w:val="0"/>
              <w:divBdr>
                <w:top w:val="none" w:sz="0" w:space="0" w:color="auto"/>
                <w:left w:val="none" w:sz="0" w:space="0" w:color="auto"/>
                <w:bottom w:val="none" w:sz="0" w:space="0" w:color="auto"/>
                <w:right w:val="none" w:sz="0" w:space="0" w:color="auto"/>
              </w:divBdr>
              <w:divsChild>
                <w:div w:id="14326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17340">
      <w:bodyDiv w:val="1"/>
      <w:marLeft w:val="0"/>
      <w:marRight w:val="0"/>
      <w:marTop w:val="0"/>
      <w:marBottom w:val="0"/>
      <w:divBdr>
        <w:top w:val="none" w:sz="0" w:space="0" w:color="auto"/>
        <w:left w:val="none" w:sz="0" w:space="0" w:color="auto"/>
        <w:bottom w:val="none" w:sz="0" w:space="0" w:color="auto"/>
        <w:right w:val="none" w:sz="0" w:space="0" w:color="auto"/>
      </w:divBdr>
    </w:div>
    <w:div w:id="1314604652">
      <w:bodyDiv w:val="1"/>
      <w:marLeft w:val="0"/>
      <w:marRight w:val="0"/>
      <w:marTop w:val="0"/>
      <w:marBottom w:val="0"/>
      <w:divBdr>
        <w:top w:val="none" w:sz="0" w:space="0" w:color="auto"/>
        <w:left w:val="none" w:sz="0" w:space="0" w:color="auto"/>
        <w:bottom w:val="none" w:sz="0" w:space="0" w:color="auto"/>
        <w:right w:val="none" w:sz="0" w:space="0" w:color="auto"/>
      </w:divBdr>
    </w:div>
    <w:div w:id="1334066977">
      <w:bodyDiv w:val="1"/>
      <w:marLeft w:val="0"/>
      <w:marRight w:val="0"/>
      <w:marTop w:val="0"/>
      <w:marBottom w:val="0"/>
      <w:divBdr>
        <w:top w:val="none" w:sz="0" w:space="0" w:color="auto"/>
        <w:left w:val="none" w:sz="0" w:space="0" w:color="auto"/>
        <w:bottom w:val="none" w:sz="0" w:space="0" w:color="auto"/>
        <w:right w:val="none" w:sz="0" w:space="0" w:color="auto"/>
      </w:divBdr>
    </w:div>
    <w:div w:id="1340498574">
      <w:bodyDiv w:val="1"/>
      <w:marLeft w:val="0"/>
      <w:marRight w:val="0"/>
      <w:marTop w:val="0"/>
      <w:marBottom w:val="0"/>
      <w:divBdr>
        <w:top w:val="none" w:sz="0" w:space="0" w:color="auto"/>
        <w:left w:val="none" w:sz="0" w:space="0" w:color="auto"/>
        <w:bottom w:val="none" w:sz="0" w:space="0" w:color="auto"/>
        <w:right w:val="none" w:sz="0" w:space="0" w:color="auto"/>
      </w:divBdr>
    </w:div>
    <w:div w:id="1349332263">
      <w:bodyDiv w:val="1"/>
      <w:marLeft w:val="0"/>
      <w:marRight w:val="0"/>
      <w:marTop w:val="0"/>
      <w:marBottom w:val="0"/>
      <w:divBdr>
        <w:top w:val="none" w:sz="0" w:space="0" w:color="auto"/>
        <w:left w:val="none" w:sz="0" w:space="0" w:color="auto"/>
        <w:bottom w:val="none" w:sz="0" w:space="0" w:color="auto"/>
        <w:right w:val="none" w:sz="0" w:space="0" w:color="auto"/>
      </w:divBdr>
      <w:divsChild>
        <w:div w:id="1494489402">
          <w:marLeft w:val="0"/>
          <w:marRight w:val="0"/>
          <w:marTop w:val="0"/>
          <w:marBottom w:val="0"/>
          <w:divBdr>
            <w:top w:val="none" w:sz="0" w:space="0" w:color="auto"/>
            <w:left w:val="none" w:sz="0" w:space="0" w:color="auto"/>
            <w:bottom w:val="none" w:sz="0" w:space="0" w:color="auto"/>
            <w:right w:val="none" w:sz="0" w:space="0" w:color="auto"/>
          </w:divBdr>
          <w:divsChild>
            <w:div w:id="1353728520">
              <w:marLeft w:val="0"/>
              <w:marRight w:val="0"/>
              <w:marTop w:val="0"/>
              <w:marBottom w:val="0"/>
              <w:divBdr>
                <w:top w:val="none" w:sz="0" w:space="0" w:color="auto"/>
                <w:left w:val="none" w:sz="0" w:space="0" w:color="auto"/>
                <w:bottom w:val="none" w:sz="0" w:space="0" w:color="auto"/>
                <w:right w:val="none" w:sz="0" w:space="0" w:color="auto"/>
              </w:divBdr>
              <w:divsChild>
                <w:div w:id="24249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57015">
      <w:bodyDiv w:val="1"/>
      <w:marLeft w:val="0"/>
      <w:marRight w:val="0"/>
      <w:marTop w:val="0"/>
      <w:marBottom w:val="0"/>
      <w:divBdr>
        <w:top w:val="none" w:sz="0" w:space="0" w:color="auto"/>
        <w:left w:val="none" w:sz="0" w:space="0" w:color="auto"/>
        <w:bottom w:val="none" w:sz="0" w:space="0" w:color="auto"/>
        <w:right w:val="none" w:sz="0" w:space="0" w:color="auto"/>
      </w:divBdr>
      <w:divsChild>
        <w:div w:id="259995160">
          <w:marLeft w:val="0"/>
          <w:marRight w:val="0"/>
          <w:marTop w:val="0"/>
          <w:marBottom w:val="0"/>
          <w:divBdr>
            <w:top w:val="none" w:sz="0" w:space="0" w:color="auto"/>
            <w:left w:val="none" w:sz="0" w:space="0" w:color="auto"/>
            <w:bottom w:val="none" w:sz="0" w:space="0" w:color="auto"/>
            <w:right w:val="none" w:sz="0" w:space="0" w:color="auto"/>
          </w:divBdr>
          <w:divsChild>
            <w:div w:id="1305623163">
              <w:marLeft w:val="0"/>
              <w:marRight w:val="0"/>
              <w:marTop w:val="0"/>
              <w:marBottom w:val="0"/>
              <w:divBdr>
                <w:top w:val="none" w:sz="0" w:space="0" w:color="auto"/>
                <w:left w:val="none" w:sz="0" w:space="0" w:color="auto"/>
                <w:bottom w:val="none" w:sz="0" w:space="0" w:color="auto"/>
                <w:right w:val="none" w:sz="0" w:space="0" w:color="auto"/>
              </w:divBdr>
              <w:divsChild>
                <w:div w:id="18129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5036">
      <w:bodyDiv w:val="1"/>
      <w:marLeft w:val="0"/>
      <w:marRight w:val="0"/>
      <w:marTop w:val="0"/>
      <w:marBottom w:val="0"/>
      <w:divBdr>
        <w:top w:val="none" w:sz="0" w:space="0" w:color="auto"/>
        <w:left w:val="none" w:sz="0" w:space="0" w:color="auto"/>
        <w:bottom w:val="none" w:sz="0" w:space="0" w:color="auto"/>
        <w:right w:val="none" w:sz="0" w:space="0" w:color="auto"/>
      </w:divBdr>
      <w:divsChild>
        <w:div w:id="1597133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8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5070">
      <w:bodyDiv w:val="1"/>
      <w:marLeft w:val="0"/>
      <w:marRight w:val="0"/>
      <w:marTop w:val="0"/>
      <w:marBottom w:val="0"/>
      <w:divBdr>
        <w:top w:val="none" w:sz="0" w:space="0" w:color="auto"/>
        <w:left w:val="none" w:sz="0" w:space="0" w:color="auto"/>
        <w:bottom w:val="none" w:sz="0" w:space="0" w:color="auto"/>
        <w:right w:val="none" w:sz="0" w:space="0" w:color="auto"/>
      </w:divBdr>
    </w:div>
    <w:div w:id="1377199842">
      <w:bodyDiv w:val="1"/>
      <w:marLeft w:val="0"/>
      <w:marRight w:val="0"/>
      <w:marTop w:val="0"/>
      <w:marBottom w:val="0"/>
      <w:divBdr>
        <w:top w:val="none" w:sz="0" w:space="0" w:color="auto"/>
        <w:left w:val="none" w:sz="0" w:space="0" w:color="auto"/>
        <w:bottom w:val="none" w:sz="0" w:space="0" w:color="auto"/>
        <w:right w:val="none" w:sz="0" w:space="0" w:color="auto"/>
      </w:divBdr>
      <w:divsChild>
        <w:div w:id="844326771">
          <w:marLeft w:val="0"/>
          <w:marRight w:val="0"/>
          <w:marTop w:val="0"/>
          <w:marBottom w:val="0"/>
          <w:divBdr>
            <w:top w:val="none" w:sz="0" w:space="0" w:color="auto"/>
            <w:left w:val="none" w:sz="0" w:space="0" w:color="auto"/>
            <w:bottom w:val="none" w:sz="0" w:space="0" w:color="auto"/>
            <w:right w:val="none" w:sz="0" w:space="0" w:color="auto"/>
          </w:divBdr>
          <w:divsChild>
            <w:div w:id="2135519134">
              <w:marLeft w:val="0"/>
              <w:marRight w:val="0"/>
              <w:marTop w:val="0"/>
              <w:marBottom w:val="0"/>
              <w:divBdr>
                <w:top w:val="none" w:sz="0" w:space="0" w:color="auto"/>
                <w:left w:val="none" w:sz="0" w:space="0" w:color="auto"/>
                <w:bottom w:val="none" w:sz="0" w:space="0" w:color="auto"/>
                <w:right w:val="none" w:sz="0" w:space="0" w:color="auto"/>
              </w:divBdr>
              <w:divsChild>
                <w:div w:id="178993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10835">
      <w:bodyDiv w:val="1"/>
      <w:marLeft w:val="0"/>
      <w:marRight w:val="0"/>
      <w:marTop w:val="0"/>
      <w:marBottom w:val="0"/>
      <w:divBdr>
        <w:top w:val="none" w:sz="0" w:space="0" w:color="auto"/>
        <w:left w:val="none" w:sz="0" w:space="0" w:color="auto"/>
        <w:bottom w:val="none" w:sz="0" w:space="0" w:color="auto"/>
        <w:right w:val="none" w:sz="0" w:space="0" w:color="auto"/>
      </w:divBdr>
      <w:divsChild>
        <w:div w:id="1320883284">
          <w:marLeft w:val="144"/>
          <w:marRight w:val="0"/>
          <w:marTop w:val="240"/>
          <w:marBottom w:val="40"/>
          <w:divBdr>
            <w:top w:val="none" w:sz="0" w:space="0" w:color="auto"/>
            <w:left w:val="none" w:sz="0" w:space="0" w:color="auto"/>
            <w:bottom w:val="none" w:sz="0" w:space="0" w:color="auto"/>
            <w:right w:val="none" w:sz="0" w:space="0" w:color="auto"/>
          </w:divBdr>
        </w:div>
        <w:div w:id="1172798015">
          <w:marLeft w:val="144"/>
          <w:marRight w:val="0"/>
          <w:marTop w:val="240"/>
          <w:marBottom w:val="40"/>
          <w:divBdr>
            <w:top w:val="none" w:sz="0" w:space="0" w:color="auto"/>
            <w:left w:val="none" w:sz="0" w:space="0" w:color="auto"/>
            <w:bottom w:val="none" w:sz="0" w:space="0" w:color="auto"/>
            <w:right w:val="none" w:sz="0" w:space="0" w:color="auto"/>
          </w:divBdr>
        </w:div>
        <w:div w:id="369040863">
          <w:marLeft w:val="144"/>
          <w:marRight w:val="0"/>
          <w:marTop w:val="240"/>
          <w:marBottom w:val="40"/>
          <w:divBdr>
            <w:top w:val="none" w:sz="0" w:space="0" w:color="auto"/>
            <w:left w:val="none" w:sz="0" w:space="0" w:color="auto"/>
            <w:bottom w:val="none" w:sz="0" w:space="0" w:color="auto"/>
            <w:right w:val="none" w:sz="0" w:space="0" w:color="auto"/>
          </w:divBdr>
        </w:div>
        <w:div w:id="952786346">
          <w:marLeft w:val="144"/>
          <w:marRight w:val="0"/>
          <w:marTop w:val="240"/>
          <w:marBottom w:val="40"/>
          <w:divBdr>
            <w:top w:val="none" w:sz="0" w:space="0" w:color="auto"/>
            <w:left w:val="none" w:sz="0" w:space="0" w:color="auto"/>
            <w:bottom w:val="none" w:sz="0" w:space="0" w:color="auto"/>
            <w:right w:val="none" w:sz="0" w:space="0" w:color="auto"/>
          </w:divBdr>
        </w:div>
        <w:div w:id="2103991235">
          <w:marLeft w:val="144"/>
          <w:marRight w:val="0"/>
          <w:marTop w:val="240"/>
          <w:marBottom w:val="40"/>
          <w:divBdr>
            <w:top w:val="none" w:sz="0" w:space="0" w:color="auto"/>
            <w:left w:val="none" w:sz="0" w:space="0" w:color="auto"/>
            <w:bottom w:val="none" w:sz="0" w:space="0" w:color="auto"/>
            <w:right w:val="none" w:sz="0" w:space="0" w:color="auto"/>
          </w:divBdr>
        </w:div>
        <w:div w:id="802424838">
          <w:marLeft w:val="144"/>
          <w:marRight w:val="0"/>
          <w:marTop w:val="240"/>
          <w:marBottom w:val="40"/>
          <w:divBdr>
            <w:top w:val="none" w:sz="0" w:space="0" w:color="auto"/>
            <w:left w:val="none" w:sz="0" w:space="0" w:color="auto"/>
            <w:bottom w:val="none" w:sz="0" w:space="0" w:color="auto"/>
            <w:right w:val="none" w:sz="0" w:space="0" w:color="auto"/>
          </w:divBdr>
        </w:div>
        <w:div w:id="107509168">
          <w:marLeft w:val="144"/>
          <w:marRight w:val="0"/>
          <w:marTop w:val="240"/>
          <w:marBottom w:val="40"/>
          <w:divBdr>
            <w:top w:val="none" w:sz="0" w:space="0" w:color="auto"/>
            <w:left w:val="none" w:sz="0" w:space="0" w:color="auto"/>
            <w:bottom w:val="none" w:sz="0" w:space="0" w:color="auto"/>
            <w:right w:val="none" w:sz="0" w:space="0" w:color="auto"/>
          </w:divBdr>
        </w:div>
        <w:div w:id="159858375">
          <w:marLeft w:val="144"/>
          <w:marRight w:val="0"/>
          <w:marTop w:val="240"/>
          <w:marBottom w:val="40"/>
          <w:divBdr>
            <w:top w:val="none" w:sz="0" w:space="0" w:color="auto"/>
            <w:left w:val="none" w:sz="0" w:space="0" w:color="auto"/>
            <w:bottom w:val="none" w:sz="0" w:space="0" w:color="auto"/>
            <w:right w:val="none" w:sz="0" w:space="0" w:color="auto"/>
          </w:divBdr>
        </w:div>
        <w:div w:id="881289766">
          <w:marLeft w:val="144"/>
          <w:marRight w:val="0"/>
          <w:marTop w:val="240"/>
          <w:marBottom w:val="40"/>
          <w:divBdr>
            <w:top w:val="none" w:sz="0" w:space="0" w:color="auto"/>
            <w:left w:val="none" w:sz="0" w:space="0" w:color="auto"/>
            <w:bottom w:val="none" w:sz="0" w:space="0" w:color="auto"/>
            <w:right w:val="none" w:sz="0" w:space="0" w:color="auto"/>
          </w:divBdr>
        </w:div>
      </w:divsChild>
    </w:div>
    <w:div w:id="1410227749">
      <w:bodyDiv w:val="1"/>
      <w:marLeft w:val="0"/>
      <w:marRight w:val="0"/>
      <w:marTop w:val="0"/>
      <w:marBottom w:val="0"/>
      <w:divBdr>
        <w:top w:val="none" w:sz="0" w:space="0" w:color="auto"/>
        <w:left w:val="none" w:sz="0" w:space="0" w:color="auto"/>
        <w:bottom w:val="none" w:sz="0" w:space="0" w:color="auto"/>
        <w:right w:val="none" w:sz="0" w:space="0" w:color="auto"/>
      </w:divBdr>
    </w:div>
    <w:div w:id="1411922710">
      <w:bodyDiv w:val="1"/>
      <w:marLeft w:val="0"/>
      <w:marRight w:val="0"/>
      <w:marTop w:val="0"/>
      <w:marBottom w:val="0"/>
      <w:divBdr>
        <w:top w:val="none" w:sz="0" w:space="0" w:color="auto"/>
        <w:left w:val="none" w:sz="0" w:space="0" w:color="auto"/>
        <w:bottom w:val="none" w:sz="0" w:space="0" w:color="auto"/>
        <w:right w:val="none" w:sz="0" w:space="0" w:color="auto"/>
      </w:divBdr>
    </w:div>
    <w:div w:id="1414355602">
      <w:bodyDiv w:val="1"/>
      <w:marLeft w:val="0"/>
      <w:marRight w:val="0"/>
      <w:marTop w:val="0"/>
      <w:marBottom w:val="0"/>
      <w:divBdr>
        <w:top w:val="none" w:sz="0" w:space="0" w:color="auto"/>
        <w:left w:val="none" w:sz="0" w:space="0" w:color="auto"/>
        <w:bottom w:val="none" w:sz="0" w:space="0" w:color="auto"/>
        <w:right w:val="none" w:sz="0" w:space="0" w:color="auto"/>
      </w:divBdr>
    </w:div>
    <w:div w:id="1421439844">
      <w:bodyDiv w:val="1"/>
      <w:marLeft w:val="0"/>
      <w:marRight w:val="0"/>
      <w:marTop w:val="0"/>
      <w:marBottom w:val="0"/>
      <w:divBdr>
        <w:top w:val="none" w:sz="0" w:space="0" w:color="auto"/>
        <w:left w:val="none" w:sz="0" w:space="0" w:color="auto"/>
        <w:bottom w:val="none" w:sz="0" w:space="0" w:color="auto"/>
        <w:right w:val="none" w:sz="0" w:space="0" w:color="auto"/>
      </w:divBdr>
    </w:div>
    <w:div w:id="1430462464">
      <w:bodyDiv w:val="1"/>
      <w:marLeft w:val="0"/>
      <w:marRight w:val="0"/>
      <w:marTop w:val="0"/>
      <w:marBottom w:val="0"/>
      <w:divBdr>
        <w:top w:val="none" w:sz="0" w:space="0" w:color="auto"/>
        <w:left w:val="none" w:sz="0" w:space="0" w:color="auto"/>
        <w:bottom w:val="none" w:sz="0" w:space="0" w:color="auto"/>
        <w:right w:val="none" w:sz="0" w:space="0" w:color="auto"/>
      </w:divBdr>
    </w:div>
    <w:div w:id="1451246286">
      <w:bodyDiv w:val="1"/>
      <w:marLeft w:val="0"/>
      <w:marRight w:val="0"/>
      <w:marTop w:val="0"/>
      <w:marBottom w:val="0"/>
      <w:divBdr>
        <w:top w:val="none" w:sz="0" w:space="0" w:color="auto"/>
        <w:left w:val="none" w:sz="0" w:space="0" w:color="auto"/>
        <w:bottom w:val="none" w:sz="0" w:space="0" w:color="auto"/>
        <w:right w:val="none" w:sz="0" w:space="0" w:color="auto"/>
      </w:divBdr>
      <w:divsChild>
        <w:div w:id="601765270">
          <w:marLeft w:val="0"/>
          <w:marRight w:val="0"/>
          <w:marTop w:val="0"/>
          <w:marBottom w:val="0"/>
          <w:divBdr>
            <w:top w:val="none" w:sz="0" w:space="0" w:color="auto"/>
            <w:left w:val="none" w:sz="0" w:space="0" w:color="auto"/>
            <w:bottom w:val="none" w:sz="0" w:space="0" w:color="auto"/>
            <w:right w:val="none" w:sz="0" w:space="0" w:color="auto"/>
          </w:divBdr>
          <w:divsChild>
            <w:div w:id="834421082">
              <w:marLeft w:val="0"/>
              <w:marRight w:val="0"/>
              <w:marTop w:val="0"/>
              <w:marBottom w:val="0"/>
              <w:divBdr>
                <w:top w:val="none" w:sz="0" w:space="0" w:color="auto"/>
                <w:left w:val="none" w:sz="0" w:space="0" w:color="auto"/>
                <w:bottom w:val="none" w:sz="0" w:space="0" w:color="auto"/>
                <w:right w:val="none" w:sz="0" w:space="0" w:color="auto"/>
              </w:divBdr>
              <w:divsChild>
                <w:div w:id="18796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06147">
      <w:bodyDiv w:val="1"/>
      <w:marLeft w:val="0"/>
      <w:marRight w:val="0"/>
      <w:marTop w:val="0"/>
      <w:marBottom w:val="0"/>
      <w:divBdr>
        <w:top w:val="none" w:sz="0" w:space="0" w:color="auto"/>
        <w:left w:val="none" w:sz="0" w:space="0" w:color="auto"/>
        <w:bottom w:val="none" w:sz="0" w:space="0" w:color="auto"/>
        <w:right w:val="none" w:sz="0" w:space="0" w:color="auto"/>
      </w:divBdr>
    </w:div>
    <w:div w:id="1520507466">
      <w:bodyDiv w:val="1"/>
      <w:marLeft w:val="0"/>
      <w:marRight w:val="0"/>
      <w:marTop w:val="0"/>
      <w:marBottom w:val="0"/>
      <w:divBdr>
        <w:top w:val="none" w:sz="0" w:space="0" w:color="auto"/>
        <w:left w:val="none" w:sz="0" w:space="0" w:color="auto"/>
        <w:bottom w:val="none" w:sz="0" w:space="0" w:color="auto"/>
        <w:right w:val="none" w:sz="0" w:space="0" w:color="auto"/>
      </w:divBdr>
    </w:div>
    <w:div w:id="1520580419">
      <w:bodyDiv w:val="1"/>
      <w:marLeft w:val="0"/>
      <w:marRight w:val="0"/>
      <w:marTop w:val="0"/>
      <w:marBottom w:val="0"/>
      <w:divBdr>
        <w:top w:val="none" w:sz="0" w:space="0" w:color="auto"/>
        <w:left w:val="none" w:sz="0" w:space="0" w:color="auto"/>
        <w:bottom w:val="none" w:sz="0" w:space="0" w:color="auto"/>
        <w:right w:val="none" w:sz="0" w:space="0" w:color="auto"/>
      </w:divBdr>
    </w:div>
    <w:div w:id="1520850705">
      <w:bodyDiv w:val="1"/>
      <w:marLeft w:val="0"/>
      <w:marRight w:val="0"/>
      <w:marTop w:val="0"/>
      <w:marBottom w:val="0"/>
      <w:divBdr>
        <w:top w:val="none" w:sz="0" w:space="0" w:color="auto"/>
        <w:left w:val="none" w:sz="0" w:space="0" w:color="auto"/>
        <w:bottom w:val="none" w:sz="0" w:space="0" w:color="auto"/>
        <w:right w:val="none" w:sz="0" w:space="0" w:color="auto"/>
      </w:divBdr>
      <w:divsChild>
        <w:div w:id="1571621791">
          <w:marLeft w:val="0"/>
          <w:marRight w:val="0"/>
          <w:marTop w:val="0"/>
          <w:marBottom w:val="0"/>
          <w:divBdr>
            <w:top w:val="none" w:sz="0" w:space="0" w:color="auto"/>
            <w:left w:val="none" w:sz="0" w:space="0" w:color="auto"/>
            <w:bottom w:val="none" w:sz="0" w:space="0" w:color="auto"/>
            <w:right w:val="none" w:sz="0" w:space="0" w:color="auto"/>
          </w:divBdr>
          <w:divsChild>
            <w:div w:id="245308343">
              <w:marLeft w:val="0"/>
              <w:marRight w:val="0"/>
              <w:marTop w:val="0"/>
              <w:marBottom w:val="0"/>
              <w:divBdr>
                <w:top w:val="none" w:sz="0" w:space="0" w:color="auto"/>
                <w:left w:val="none" w:sz="0" w:space="0" w:color="auto"/>
                <w:bottom w:val="none" w:sz="0" w:space="0" w:color="auto"/>
                <w:right w:val="none" w:sz="0" w:space="0" w:color="auto"/>
              </w:divBdr>
              <w:divsChild>
                <w:div w:id="187402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02094">
      <w:bodyDiv w:val="1"/>
      <w:marLeft w:val="0"/>
      <w:marRight w:val="0"/>
      <w:marTop w:val="0"/>
      <w:marBottom w:val="0"/>
      <w:divBdr>
        <w:top w:val="none" w:sz="0" w:space="0" w:color="auto"/>
        <w:left w:val="none" w:sz="0" w:space="0" w:color="auto"/>
        <w:bottom w:val="none" w:sz="0" w:space="0" w:color="auto"/>
        <w:right w:val="none" w:sz="0" w:space="0" w:color="auto"/>
      </w:divBdr>
    </w:div>
    <w:div w:id="1567373220">
      <w:bodyDiv w:val="1"/>
      <w:marLeft w:val="0"/>
      <w:marRight w:val="0"/>
      <w:marTop w:val="0"/>
      <w:marBottom w:val="0"/>
      <w:divBdr>
        <w:top w:val="none" w:sz="0" w:space="0" w:color="auto"/>
        <w:left w:val="none" w:sz="0" w:space="0" w:color="auto"/>
        <w:bottom w:val="none" w:sz="0" w:space="0" w:color="auto"/>
        <w:right w:val="none" w:sz="0" w:space="0" w:color="auto"/>
      </w:divBdr>
    </w:div>
    <w:div w:id="1600992581">
      <w:bodyDiv w:val="1"/>
      <w:marLeft w:val="0"/>
      <w:marRight w:val="0"/>
      <w:marTop w:val="0"/>
      <w:marBottom w:val="0"/>
      <w:divBdr>
        <w:top w:val="none" w:sz="0" w:space="0" w:color="auto"/>
        <w:left w:val="none" w:sz="0" w:space="0" w:color="auto"/>
        <w:bottom w:val="none" w:sz="0" w:space="0" w:color="auto"/>
        <w:right w:val="none" w:sz="0" w:space="0" w:color="auto"/>
      </w:divBdr>
      <w:divsChild>
        <w:div w:id="763845921">
          <w:marLeft w:val="0"/>
          <w:marRight w:val="0"/>
          <w:marTop w:val="0"/>
          <w:marBottom w:val="0"/>
          <w:divBdr>
            <w:top w:val="none" w:sz="0" w:space="0" w:color="auto"/>
            <w:left w:val="none" w:sz="0" w:space="0" w:color="auto"/>
            <w:bottom w:val="none" w:sz="0" w:space="0" w:color="auto"/>
            <w:right w:val="none" w:sz="0" w:space="0" w:color="auto"/>
          </w:divBdr>
          <w:divsChild>
            <w:div w:id="544216894">
              <w:marLeft w:val="0"/>
              <w:marRight w:val="0"/>
              <w:marTop w:val="0"/>
              <w:marBottom w:val="0"/>
              <w:divBdr>
                <w:top w:val="none" w:sz="0" w:space="0" w:color="auto"/>
                <w:left w:val="none" w:sz="0" w:space="0" w:color="auto"/>
                <w:bottom w:val="none" w:sz="0" w:space="0" w:color="auto"/>
                <w:right w:val="none" w:sz="0" w:space="0" w:color="auto"/>
              </w:divBdr>
              <w:divsChild>
                <w:div w:id="11510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80568">
      <w:bodyDiv w:val="1"/>
      <w:marLeft w:val="0"/>
      <w:marRight w:val="0"/>
      <w:marTop w:val="0"/>
      <w:marBottom w:val="0"/>
      <w:divBdr>
        <w:top w:val="none" w:sz="0" w:space="0" w:color="auto"/>
        <w:left w:val="none" w:sz="0" w:space="0" w:color="auto"/>
        <w:bottom w:val="none" w:sz="0" w:space="0" w:color="auto"/>
        <w:right w:val="none" w:sz="0" w:space="0" w:color="auto"/>
      </w:divBdr>
      <w:divsChild>
        <w:div w:id="42368351">
          <w:marLeft w:val="0"/>
          <w:marRight w:val="0"/>
          <w:marTop w:val="0"/>
          <w:marBottom w:val="0"/>
          <w:divBdr>
            <w:top w:val="none" w:sz="0" w:space="0" w:color="auto"/>
            <w:left w:val="none" w:sz="0" w:space="0" w:color="auto"/>
            <w:bottom w:val="none" w:sz="0" w:space="0" w:color="auto"/>
            <w:right w:val="none" w:sz="0" w:space="0" w:color="auto"/>
          </w:divBdr>
          <w:divsChild>
            <w:div w:id="1481264243">
              <w:marLeft w:val="0"/>
              <w:marRight w:val="0"/>
              <w:marTop w:val="0"/>
              <w:marBottom w:val="0"/>
              <w:divBdr>
                <w:top w:val="none" w:sz="0" w:space="0" w:color="auto"/>
                <w:left w:val="none" w:sz="0" w:space="0" w:color="auto"/>
                <w:bottom w:val="none" w:sz="0" w:space="0" w:color="auto"/>
                <w:right w:val="none" w:sz="0" w:space="0" w:color="auto"/>
              </w:divBdr>
              <w:divsChild>
                <w:div w:id="3131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3794">
      <w:bodyDiv w:val="1"/>
      <w:marLeft w:val="0"/>
      <w:marRight w:val="0"/>
      <w:marTop w:val="0"/>
      <w:marBottom w:val="0"/>
      <w:divBdr>
        <w:top w:val="none" w:sz="0" w:space="0" w:color="auto"/>
        <w:left w:val="none" w:sz="0" w:space="0" w:color="auto"/>
        <w:bottom w:val="none" w:sz="0" w:space="0" w:color="auto"/>
        <w:right w:val="none" w:sz="0" w:space="0" w:color="auto"/>
      </w:divBdr>
    </w:div>
    <w:div w:id="1637292588">
      <w:bodyDiv w:val="1"/>
      <w:marLeft w:val="0"/>
      <w:marRight w:val="0"/>
      <w:marTop w:val="0"/>
      <w:marBottom w:val="0"/>
      <w:divBdr>
        <w:top w:val="none" w:sz="0" w:space="0" w:color="auto"/>
        <w:left w:val="none" w:sz="0" w:space="0" w:color="auto"/>
        <w:bottom w:val="none" w:sz="0" w:space="0" w:color="auto"/>
        <w:right w:val="none" w:sz="0" w:space="0" w:color="auto"/>
      </w:divBdr>
    </w:div>
    <w:div w:id="1640189791">
      <w:bodyDiv w:val="1"/>
      <w:marLeft w:val="0"/>
      <w:marRight w:val="0"/>
      <w:marTop w:val="0"/>
      <w:marBottom w:val="0"/>
      <w:divBdr>
        <w:top w:val="none" w:sz="0" w:space="0" w:color="auto"/>
        <w:left w:val="none" w:sz="0" w:space="0" w:color="auto"/>
        <w:bottom w:val="none" w:sz="0" w:space="0" w:color="auto"/>
        <w:right w:val="none" w:sz="0" w:space="0" w:color="auto"/>
      </w:divBdr>
    </w:div>
    <w:div w:id="1672365472">
      <w:bodyDiv w:val="1"/>
      <w:marLeft w:val="0"/>
      <w:marRight w:val="0"/>
      <w:marTop w:val="0"/>
      <w:marBottom w:val="0"/>
      <w:divBdr>
        <w:top w:val="none" w:sz="0" w:space="0" w:color="auto"/>
        <w:left w:val="none" w:sz="0" w:space="0" w:color="auto"/>
        <w:bottom w:val="none" w:sz="0" w:space="0" w:color="auto"/>
        <w:right w:val="none" w:sz="0" w:space="0" w:color="auto"/>
      </w:divBdr>
    </w:div>
    <w:div w:id="1674139596">
      <w:bodyDiv w:val="1"/>
      <w:marLeft w:val="0"/>
      <w:marRight w:val="0"/>
      <w:marTop w:val="0"/>
      <w:marBottom w:val="0"/>
      <w:divBdr>
        <w:top w:val="none" w:sz="0" w:space="0" w:color="auto"/>
        <w:left w:val="none" w:sz="0" w:space="0" w:color="auto"/>
        <w:bottom w:val="none" w:sz="0" w:space="0" w:color="auto"/>
        <w:right w:val="none" w:sz="0" w:space="0" w:color="auto"/>
      </w:divBdr>
    </w:div>
    <w:div w:id="1697466403">
      <w:bodyDiv w:val="1"/>
      <w:marLeft w:val="0"/>
      <w:marRight w:val="0"/>
      <w:marTop w:val="0"/>
      <w:marBottom w:val="0"/>
      <w:divBdr>
        <w:top w:val="none" w:sz="0" w:space="0" w:color="auto"/>
        <w:left w:val="none" w:sz="0" w:space="0" w:color="auto"/>
        <w:bottom w:val="none" w:sz="0" w:space="0" w:color="auto"/>
        <w:right w:val="none" w:sz="0" w:space="0" w:color="auto"/>
      </w:divBdr>
    </w:div>
    <w:div w:id="1698388993">
      <w:bodyDiv w:val="1"/>
      <w:marLeft w:val="0"/>
      <w:marRight w:val="0"/>
      <w:marTop w:val="0"/>
      <w:marBottom w:val="0"/>
      <w:divBdr>
        <w:top w:val="none" w:sz="0" w:space="0" w:color="auto"/>
        <w:left w:val="none" w:sz="0" w:space="0" w:color="auto"/>
        <w:bottom w:val="none" w:sz="0" w:space="0" w:color="auto"/>
        <w:right w:val="none" w:sz="0" w:space="0" w:color="auto"/>
      </w:divBdr>
    </w:div>
    <w:div w:id="1698896175">
      <w:bodyDiv w:val="1"/>
      <w:marLeft w:val="0"/>
      <w:marRight w:val="0"/>
      <w:marTop w:val="0"/>
      <w:marBottom w:val="0"/>
      <w:divBdr>
        <w:top w:val="none" w:sz="0" w:space="0" w:color="auto"/>
        <w:left w:val="none" w:sz="0" w:space="0" w:color="auto"/>
        <w:bottom w:val="none" w:sz="0" w:space="0" w:color="auto"/>
        <w:right w:val="none" w:sz="0" w:space="0" w:color="auto"/>
      </w:divBdr>
    </w:div>
    <w:div w:id="1706981194">
      <w:bodyDiv w:val="1"/>
      <w:marLeft w:val="0"/>
      <w:marRight w:val="0"/>
      <w:marTop w:val="0"/>
      <w:marBottom w:val="0"/>
      <w:divBdr>
        <w:top w:val="none" w:sz="0" w:space="0" w:color="auto"/>
        <w:left w:val="none" w:sz="0" w:space="0" w:color="auto"/>
        <w:bottom w:val="none" w:sz="0" w:space="0" w:color="auto"/>
        <w:right w:val="none" w:sz="0" w:space="0" w:color="auto"/>
      </w:divBdr>
    </w:div>
    <w:div w:id="1722512455">
      <w:bodyDiv w:val="1"/>
      <w:marLeft w:val="0"/>
      <w:marRight w:val="0"/>
      <w:marTop w:val="0"/>
      <w:marBottom w:val="0"/>
      <w:divBdr>
        <w:top w:val="none" w:sz="0" w:space="0" w:color="auto"/>
        <w:left w:val="none" w:sz="0" w:space="0" w:color="auto"/>
        <w:bottom w:val="none" w:sz="0" w:space="0" w:color="auto"/>
        <w:right w:val="none" w:sz="0" w:space="0" w:color="auto"/>
      </w:divBdr>
      <w:divsChild>
        <w:div w:id="498156938">
          <w:marLeft w:val="0"/>
          <w:marRight w:val="0"/>
          <w:marTop w:val="0"/>
          <w:marBottom w:val="0"/>
          <w:divBdr>
            <w:top w:val="none" w:sz="0" w:space="0" w:color="auto"/>
            <w:left w:val="none" w:sz="0" w:space="0" w:color="auto"/>
            <w:bottom w:val="none" w:sz="0" w:space="0" w:color="auto"/>
            <w:right w:val="none" w:sz="0" w:space="0" w:color="auto"/>
          </w:divBdr>
          <w:divsChild>
            <w:div w:id="399786827">
              <w:marLeft w:val="0"/>
              <w:marRight w:val="0"/>
              <w:marTop w:val="0"/>
              <w:marBottom w:val="0"/>
              <w:divBdr>
                <w:top w:val="none" w:sz="0" w:space="0" w:color="auto"/>
                <w:left w:val="none" w:sz="0" w:space="0" w:color="auto"/>
                <w:bottom w:val="none" w:sz="0" w:space="0" w:color="auto"/>
                <w:right w:val="none" w:sz="0" w:space="0" w:color="auto"/>
              </w:divBdr>
              <w:divsChild>
                <w:div w:id="121557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254328">
      <w:bodyDiv w:val="1"/>
      <w:marLeft w:val="0"/>
      <w:marRight w:val="0"/>
      <w:marTop w:val="0"/>
      <w:marBottom w:val="0"/>
      <w:divBdr>
        <w:top w:val="none" w:sz="0" w:space="0" w:color="auto"/>
        <w:left w:val="none" w:sz="0" w:space="0" w:color="auto"/>
        <w:bottom w:val="none" w:sz="0" w:space="0" w:color="auto"/>
        <w:right w:val="none" w:sz="0" w:space="0" w:color="auto"/>
      </w:divBdr>
    </w:div>
    <w:div w:id="1749376076">
      <w:bodyDiv w:val="1"/>
      <w:marLeft w:val="0"/>
      <w:marRight w:val="0"/>
      <w:marTop w:val="0"/>
      <w:marBottom w:val="0"/>
      <w:divBdr>
        <w:top w:val="none" w:sz="0" w:space="0" w:color="auto"/>
        <w:left w:val="none" w:sz="0" w:space="0" w:color="auto"/>
        <w:bottom w:val="none" w:sz="0" w:space="0" w:color="auto"/>
        <w:right w:val="none" w:sz="0" w:space="0" w:color="auto"/>
      </w:divBdr>
    </w:div>
    <w:div w:id="1754354579">
      <w:bodyDiv w:val="1"/>
      <w:marLeft w:val="0"/>
      <w:marRight w:val="0"/>
      <w:marTop w:val="0"/>
      <w:marBottom w:val="0"/>
      <w:divBdr>
        <w:top w:val="none" w:sz="0" w:space="0" w:color="auto"/>
        <w:left w:val="none" w:sz="0" w:space="0" w:color="auto"/>
        <w:bottom w:val="none" w:sz="0" w:space="0" w:color="auto"/>
        <w:right w:val="none" w:sz="0" w:space="0" w:color="auto"/>
      </w:divBdr>
    </w:div>
    <w:div w:id="1760902109">
      <w:bodyDiv w:val="1"/>
      <w:marLeft w:val="0"/>
      <w:marRight w:val="0"/>
      <w:marTop w:val="0"/>
      <w:marBottom w:val="0"/>
      <w:divBdr>
        <w:top w:val="none" w:sz="0" w:space="0" w:color="auto"/>
        <w:left w:val="none" w:sz="0" w:space="0" w:color="auto"/>
        <w:bottom w:val="none" w:sz="0" w:space="0" w:color="auto"/>
        <w:right w:val="none" w:sz="0" w:space="0" w:color="auto"/>
      </w:divBdr>
    </w:div>
    <w:div w:id="1762414518">
      <w:bodyDiv w:val="1"/>
      <w:marLeft w:val="0"/>
      <w:marRight w:val="0"/>
      <w:marTop w:val="0"/>
      <w:marBottom w:val="0"/>
      <w:divBdr>
        <w:top w:val="none" w:sz="0" w:space="0" w:color="auto"/>
        <w:left w:val="none" w:sz="0" w:space="0" w:color="auto"/>
        <w:bottom w:val="none" w:sz="0" w:space="0" w:color="auto"/>
        <w:right w:val="none" w:sz="0" w:space="0" w:color="auto"/>
      </w:divBdr>
    </w:div>
    <w:div w:id="1767845010">
      <w:bodyDiv w:val="1"/>
      <w:marLeft w:val="0"/>
      <w:marRight w:val="0"/>
      <w:marTop w:val="0"/>
      <w:marBottom w:val="0"/>
      <w:divBdr>
        <w:top w:val="none" w:sz="0" w:space="0" w:color="auto"/>
        <w:left w:val="none" w:sz="0" w:space="0" w:color="auto"/>
        <w:bottom w:val="none" w:sz="0" w:space="0" w:color="auto"/>
        <w:right w:val="none" w:sz="0" w:space="0" w:color="auto"/>
      </w:divBdr>
    </w:div>
    <w:div w:id="1771511079">
      <w:bodyDiv w:val="1"/>
      <w:marLeft w:val="0"/>
      <w:marRight w:val="0"/>
      <w:marTop w:val="0"/>
      <w:marBottom w:val="0"/>
      <w:divBdr>
        <w:top w:val="none" w:sz="0" w:space="0" w:color="auto"/>
        <w:left w:val="none" w:sz="0" w:space="0" w:color="auto"/>
        <w:bottom w:val="none" w:sz="0" w:space="0" w:color="auto"/>
        <w:right w:val="none" w:sz="0" w:space="0" w:color="auto"/>
      </w:divBdr>
      <w:divsChild>
        <w:div w:id="1434126206">
          <w:marLeft w:val="0"/>
          <w:marRight w:val="0"/>
          <w:marTop w:val="0"/>
          <w:marBottom w:val="0"/>
          <w:divBdr>
            <w:top w:val="none" w:sz="0" w:space="0" w:color="auto"/>
            <w:left w:val="none" w:sz="0" w:space="0" w:color="auto"/>
            <w:bottom w:val="none" w:sz="0" w:space="0" w:color="auto"/>
            <w:right w:val="none" w:sz="0" w:space="0" w:color="auto"/>
          </w:divBdr>
          <w:divsChild>
            <w:div w:id="1064764685">
              <w:marLeft w:val="0"/>
              <w:marRight w:val="0"/>
              <w:marTop w:val="0"/>
              <w:marBottom w:val="0"/>
              <w:divBdr>
                <w:top w:val="none" w:sz="0" w:space="0" w:color="auto"/>
                <w:left w:val="none" w:sz="0" w:space="0" w:color="auto"/>
                <w:bottom w:val="none" w:sz="0" w:space="0" w:color="auto"/>
                <w:right w:val="none" w:sz="0" w:space="0" w:color="auto"/>
              </w:divBdr>
              <w:divsChild>
                <w:div w:id="117434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735">
      <w:bodyDiv w:val="1"/>
      <w:marLeft w:val="0"/>
      <w:marRight w:val="0"/>
      <w:marTop w:val="0"/>
      <w:marBottom w:val="0"/>
      <w:divBdr>
        <w:top w:val="none" w:sz="0" w:space="0" w:color="auto"/>
        <w:left w:val="none" w:sz="0" w:space="0" w:color="auto"/>
        <w:bottom w:val="none" w:sz="0" w:space="0" w:color="auto"/>
        <w:right w:val="none" w:sz="0" w:space="0" w:color="auto"/>
      </w:divBdr>
    </w:div>
    <w:div w:id="1781796417">
      <w:bodyDiv w:val="1"/>
      <w:marLeft w:val="0"/>
      <w:marRight w:val="0"/>
      <w:marTop w:val="0"/>
      <w:marBottom w:val="0"/>
      <w:divBdr>
        <w:top w:val="none" w:sz="0" w:space="0" w:color="auto"/>
        <w:left w:val="none" w:sz="0" w:space="0" w:color="auto"/>
        <w:bottom w:val="none" w:sz="0" w:space="0" w:color="auto"/>
        <w:right w:val="none" w:sz="0" w:space="0" w:color="auto"/>
      </w:divBdr>
    </w:div>
    <w:div w:id="1787233742">
      <w:bodyDiv w:val="1"/>
      <w:marLeft w:val="0"/>
      <w:marRight w:val="0"/>
      <w:marTop w:val="0"/>
      <w:marBottom w:val="0"/>
      <w:divBdr>
        <w:top w:val="none" w:sz="0" w:space="0" w:color="auto"/>
        <w:left w:val="none" w:sz="0" w:space="0" w:color="auto"/>
        <w:bottom w:val="none" w:sz="0" w:space="0" w:color="auto"/>
        <w:right w:val="none" w:sz="0" w:space="0" w:color="auto"/>
      </w:divBdr>
      <w:divsChild>
        <w:div w:id="930042281">
          <w:marLeft w:val="0"/>
          <w:marRight w:val="0"/>
          <w:marTop w:val="0"/>
          <w:marBottom w:val="0"/>
          <w:divBdr>
            <w:top w:val="none" w:sz="0" w:space="0" w:color="auto"/>
            <w:left w:val="none" w:sz="0" w:space="0" w:color="auto"/>
            <w:bottom w:val="none" w:sz="0" w:space="0" w:color="auto"/>
            <w:right w:val="none" w:sz="0" w:space="0" w:color="auto"/>
          </w:divBdr>
          <w:divsChild>
            <w:div w:id="1170484358">
              <w:marLeft w:val="0"/>
              <w:marRight w:val="0"/>
              <w:marTop w:val="0"/>
              <w:marBottom w:val="0"/>
              <w:divBdr>
                <w:top w:val="none" w:sz="0" w:space="0" w:color="auto"/>
                <w:left w:val="none" w:sz="0" w:space="0" w:color="auto"/>
                <w:bottom w:val="none" w:sz="0" w:space="0" w:color="auto"/>
                <w:right w:val="none" w:sz="0" w:space="0" w:color="auto"/>
              </w:divBdr>
              <w:divsChild>
                <w:div w:id="4610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13524">
      <w:bodyDiv w:val="1"/>
      <w:marLeft w:val="0"/>
      <w:marRight w:val="0"/>
      <w:marTop w:val="0"/>
      <w:marBottom w:val="0"/>
      <w:divBdr>
        <w:top w:val="none" w:sz="0" w:space="0" w:color="auto"/>
        <w:left w:val="none" w:sz="0" w:space="0" w:color="auto"/>
        <w:bottom w:val="none" w:sz="0" w:space="0" w:color="auto"/>
        <w:right w:val="none" w:sz="0" w:space="0" w:color="auto"/>
      </w:divBdr>
    </w:div>
    <w:div w:id="1811482992">
      <w:bodyDiv w:val="1"/>
      <w:marLeft w:val="0"/>
      <w:marRight w:val="0"/>
      <w:marTop w:val="0"/>
      <w:marBottom w:val="0"/>
      <w:divBdr>
        <w:top w:val="none" w:sz="0" w:space="0" w:color="auto"/>
        <w:left w:val="none" w:sz="0" w:space="0" w:color="auto"/>
        <w:bottom w:val="none" w:sz="0" w:space="0" w:color="auto"/>
        <w:right w:val="none" w:sz="0" w:space="0" w:color="auto"/>
      </w:divBdr>
      <w:divsChild>
        <w:div w:id="1134568273">
          <w:marLeft w:val="0"/>
          <w:marRight w:val="0"/>
          <w:marTop w:val="0"/>
          <w:marBottom w:val="0"/>
          <w:divBdr>
            <w:top w:val="none" w:sz="0" w:space="0" w:color="auto"/>
            <w:left w:val="none" w:sz="0" w:space="0" w:color="auto"/>
            <w:bottom w:val="none" w:sz="0" w:space="0" w:color="auto"/>
            <w:right w:val="none" w:sz="0" w:space="0" w:color="auto"/>
          </w:divBdr>
          <w:divsChild>
            <w:div w:id="668020741">
              <w:marLeft w:val="0"/>
              <w:marRight w:val="0"/>
              <w:marTop w:val="0"/>
              <w:marBottom w:val="0"/>
              <w:divBdr>
                <w:top w:val="none" w:sz="0" w:space="0" w:color="auto"/>
                <w:left w:val="none" w:sz="0" w:space="0" w:color="auto"/>
                <w:bottom w:val="none" w:sz="0" w:space="0" w:color="auto"/>
                <w:right w:val="none" w:sz="0" w:space="0" w:color="auto"/>
              </w:divBdr>
              <w:divsChild>
                <w:div w:id="670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41900">
      <w:bodyDiv w:val="1"/>
      <w:marLeft w:val="0"/>
      <w:marRight w:val="0"/>
      <w:marTop w:val="0"/>
      <w:marBottom w:val="0"/>
      <w:divBdr>
        <w:top w:val="none" w:sz="0" w:space="0" w:color="auto"/>
        <w:left w:val="none" w:sz="0" w:space="0" w:color="auto"/>
        <w:bottom w:val="none" w:sz="0" w:space="0" w:color="auto"/>
        <w:right w:val="none" w:sz="0" w:space="0" w:color="auto"/>
      </w:divBdr>
    </w:div>
    <w:div w:id="1828395841">
      <w:bodyDiv w:val="1"/>
      <w:marLeft w:val="0"/>
      <w:marRight w:val="0"/>
      <w:marTop w:val="0"/>
      <w:marBottom w:val="0"/>
      <w:divBdr>
        <w:top w:val="none" w:sz="0" w:space="0" w:color="auto"/>
        <w:left w:val="none" w:sz="0" w:space="0" w:color="auto"/>
        <w:bottom w:val="none" w:sz="0" w:space="0" w:color="auto"/>
        <w:right w:val="none" w:sz="0" w:space="0" w:color="auto"/>
      </w:divBdr>
    </w:div>
    <w:div w:id="1856118417">
      <w:bodyDiv w:val="1"/>
      <w:marLeft w:val="0"/>
      <w:marRight w:val="0"/>
      <w:marTop w:val="0"/>
      <w:marBottom w:val="0"/>
      <w:divBdr>
        <w:top w:val="none" w:sz="0" w:space="0" w:color="auto"/>
        <w:left w:val="none" w:sz="0" w:space="0" w:color="auto"/>
        <w:bottom w:val="none" w:sz="0" w:space="0" w:color="auto"/>
        <w:right w:val="none" w:sz="0" w:space="0" w:color="auto"/>
      </w:divBdr>
      <w:divsChild>
        <w:div w:id="678775489">
          <w:marLeft w:val="0"/>
          <w:marRight w:val="0"/>
          <w:marTop w:val="0"/>
          <w:marBottom w:val="0"/>
          <w:divBdr>
            <w:top w:val="none" w:sz="0" w:space="0" w:color="auto"/>
            <w:left w:val="none" w:sz="0" w:space="0" w:color="auto"/>
            <w:bottom w:val="none" w:sz="0" w:space="0" w:color="auto"/>
            <w:right w:val="none" w:sz="0" w:space="0" w:color="auto"/>
          </w:divBdr>
          <w:divsChild>
            <w:div w:id="186216023">
              <w:marLeft w:val="0"/>
              <w:marRight w:val="0"/>
              <w:marTop w:val="0"/>
              <w:marBottom w:val="0"/>
              <w:divBdr>
                <w:top w:val="none" w:sz="0" w:space="0" w:color="auto"/>
                <w:left w:val="none" w:sz="0" w:space="0" w:color="auto"/>
                <w:bottom w:val="none" w:sz="0" w:space="0" w:color="auto"/>
                <w:right w:val="none" w:sz="0" w:space="0" w:color="auto"/>
              </w:divBdr>
              <w:divsChild>
                <w:div w:id="1734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25628">
      <w:bodyDiv w:val="1"/>
      <w:marLeft w:val="0"/>
      <w:marRight w:val="0"/>
      <w:marTop w:val="0"/>
      <w:marBottom w:val="0"/>
      <w:divBdr>
        <w:top w:val="none" w:sz="0" w:space="0" w:color="auto"/>
        <w:left w:val="none" w:sz="0" w:space="0" w:color="auto"/>
        <w:bottom w:val="none" w:sz="0" w:space="0" w:color="auto"/>
        <w:right w:val="none" w:sz="0" w:space="0" w:color="auto"/>
      </w:divBdr>
      <w:divsChild>
        <w:div w:id="697966767">
          <w:marLeft w:val="0"/>
          <w:marRight w:val="0"/>
          <w:marTop w:val="0"/>
          <w:marBottom w:val="0"/>
          <w:divBdr>
            <w:top w:val="none" w:sz="0" w:space="0" w:color="auto"/>
            <w:left w:val="none" w:sz="0" w:space="0" w:color="auto"/>
            <w:bottom w:val="none" w:sz="0" w:space="0" w:color="auto"/>
            <w:right w:val="none" w:sz="0" w:space="0" w:color="auto"/>
          </w:divBdr>
          <w:divsChild>
            <w:div w:id="1567836553">
              <w:marLeft w:val="0"/>
              <w:marRight w:val="0"/>
              <w:marTop w:val="0"/>
              <w:marBottom w:val="0"/>
              <w:divBdr>
                <w:top w:val="none" w:sz="0" w:space="0" w:color="auto"/>
                <w:left w:val="none" w:sz="0" w:space="0" w:color="auto"/>
                <w:bottom w:val="none" w:sz="0" w:space="0" w:color="auto"/>
                <w:right w:val="none" w:sz="0" w:space="0" w:color="auto"/>
              </w:divBdr>
              <w:divsChild>
                <w:div w:id="16808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47003">
      <w:bodyDiv w:val="1"/>
      <w:marLeft w:val="0"/>
      <w:marRight w:val="0"/>
      <w:marTop w:val="0"/>
      <w:marBottom w:val="0"/>
      <w:divBdr>
        <w:top w:val="none" w:sz="0" w:space="0" w:color="auto"/>
        <w:left w:val="none" w:sz="0" w:space="0" w:color="auto"/>
        <w:bottom w:val="none" w:sz="0" w:space="0" w:color="auto"/>
        <w:right w:val="none" w:sz="0" w:space="0" w:color="auto"/>
      </w:divBdr>
      <w:divsChild>
        <w:div w:id="8335159">
          <w:marLeft w:val="0"/>
          <w:marRight w:val="0"/>
          <w:marTop w:val="0"/>
          <w:marBottom w:val="0"/>
          <w:divBdr>
            <w:top w:val="none" w:sz="0" w:space="0" w:color="auto"/>
            <w:left w:val="none" w:sz="0" w:space="0" w:color="auto"/>
            <w:bottom w:val="none" w:sz="0" w:space="0" w:color="auto"/>
            <w:right w:val="none" w:sz="0" w:space="0" w:color="auto"/>
          </w:divBdr>
          <w:divsChild>
            <w:div w:id="554393960">
              <w:marLeft w:val="0"/>
              <w:marRight w:val="0"/>
              <w:marTop w:val="0"/>
              <w:marBottom w:val="0"/>
              <w:divBdr>
                <w:top w:val="none" w:sz="0" w:space="0" w:color="auto"/>
                <w:left w:val="none" w:sz="0" w:space="0" w:color="auto"/>
                <w:bottom w:val="none" w:sz="0" w:space="0" w:color="auto"/>
                <w:right w:val="none" w:sz="0" w:space="0" w:color="auto"/>
              </w:divBdr>
              <w:divsChild>
                <w:div w:id="111640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46453">
      <w:bodyDiv w:val="1"/>
      <w:marLeft w:val="0"/>
      <w:marRight w:val="0"/>
      <w:marTop w:val="0"/>
      <w:marBottom w:val="0"/>
      <w:divBdr>
        <w:top w:val="none" w:sz="0" w:space="0" w:color="auto"/>
        <w:left w:val="none" w:sz="0" w:space="0" w:color="auto"/>
        <w:bottom w:val="none" w:sz="0" w:space="0" w:color="auto"/>
        <w:right w:val="none" w:sz="0" w:space="0" w:color="auto"/>
      </w:divBdr>
    </w:div>
    <w:div w:id="1918859601">
      <w:bodyDiv w:val="1"/>
      <w:marLeft w:val="0"/>
      <w:marRight w:val="0"/>
      <w:marTop w:val="0"/>
      <w:marBottom w:val="0"/>
      <w:divBdr>
        <w:top w:val="none" w:sz="0" w:space="0" w:color="auto"/>
        <w:left w:val="none" w:sz="0" w:space="0" w:color="auto"/>
        <w:bottom w:val="none" w:sz="0" w:space="0" w:color="auto"/>
        <w:right w:val="none" w:sz="0" w:space="0" w:color="auto"/>
      </w:divBdr>
    </w:div>
    <w:div w:id="1933859365">
      <w:bodyDiv w:val="1"/>
      <w:marLeft w:val="0"/>
      <w:marRight w:val="0"/>
      <w:marTop w:val="0"/>
      <w:marBottom w:val="0"/>
      <w:divBdr>
        <w:top w:val="none" w:sz="0" w:space="0" w:color="auto"/>
        <w:left w:val="none" w:sz="0" w:space="0" w:color="auto"/>
        <w:bottom w:val="none" w:sz="0" w:space="0" w:color="auto"/>
        <w:right w:val="none" w:sz="0" w:space="0" w:color="auto"/>
      </w:divBdr>
      <w:divsChild>
        <w:div w:id="463502771">
          <w:marLeft w:val="0"/>
          <w:marRight w:val="0"/>
          <w:marTop w:val="0"/>
          <w:marBottom w:val="0"/>
          <w:divBdr>
            <w:top w:val="none" w:sz="0" w:space="0" w:color="auto"/>
            <w:left w:val="none" w:sz="0" w:space="0" w:color="auto"/>
            <w:bottom w:val="none" w:sz="0" w:space="0" w:color="auto"/>
            <w:right w:val="none" w:sz="0" w:space="0" w:color="auto"/>
          </w:divBdr>
          <w:divsChild>
            <w:div w:id="1238630517">
              <w:marLeft w:val="0"/>
              <w:marRight w:val="0"/>
              <w:marTop w:val="0"/>
              <w:marBottom w:val="0"/>
              <w:divBdr>
                <w:top w:val="none" w:sz="0" w:space="0" w:color="auto"/>
                <w:left w:val="none" w:sz="0" w:space="0" w:color="auto"/>
                <w:bottom w:val="none" w:sz="0" w:space="0" w:color="auto"/>
                <w:right w:val="none" w:sz="0" w:space="0" w:color="auto"/>
              </w:divBdr>
              <w:divsChild>
                <w:div w:id="13168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25351">
      <w:bodyDiv w:val="1"/>
      <w:marLeft w:val="0"/>
      <w:marRight w:val="0"/>
      <w:marTop w:val="0"/>
      <w:marBottom w:val="0"/>
      <w:divBdr>
        <w:top w:val="none" w:sz="0" w:space="0" w:color="auto"/>
        <w:left w:val="none" w:sz="0" w:space="0" w:color="auto"/>
        <w:bottom w:val="none" w:sz="0" w:space="0" w:color="auto"/>
        <w:right w:val="none" w:sz="0" w:space="0" w:color="auto"/>
      </w:divBdr>
    </w:div>
    <w:div w:id="1948809381">
      <w:bodyDiv w:val="1"/>
      <w:marLeft w:val="0"/>
      <w:marRight w:val="0"/>
      <w:marTop w:val="0"/>
      <w:marBottom w:val="0"/>
      <w:divBdr>
        <w:top w:val="none" w:sz="0" w:space="0" w:color="auto"/>
        <w:left w:val="none" w:sz="0" w:space="0" w:color="auto"/>
        <w:bottom w:val="none" w:sz="0" w:space="0" w:color="auto"/>
        <w:right w:val="none" w:sz="0" w:space="0" w:color="auto"/>
      </w:divBdr>
    </w:div>
    <w:div w:id="1961253887">
      <w:bodyDiv w:val="1"/>
      <w:marLeft w:val="0"/>
      <w:marRight w:val="0"/>
      <w:marTop w:val="0"/>
      <w:marBottom w:val="0"/>
      <w:divBdr>
        <w:top w:val="none" w:sz="0" w:space="0" w:color="auto"/>
        <w:left w:val="none" w:sz="0" w:space="0" w:color="auto"/>
        <w:bottom w:val="none" w:sz="0" w:space="0" w:color="auto"/>
        <w:right w:val="none" w:sz="0" w:space="0" w:color="auto"/>
      </w:divBdr>
    </w:div>
    <w:div w:id="1963265179">
      <w:bodyDiv w:val="1"/>
      <w:marLeft w:val="0"/>
      <w:marRight w:val="0"/>
      <w:marTop w:val="0"/>
      <w:marBottom w:val="0"/>
      <w:divBdr>
        <w:top w:val="none" w:sz="0" w:space="0" w:color="auto"/>
        <w:left w:val="none" w:sz="0" w:space="0" w:color="auto"/>
        <w:bottom w:val="none" w:sz="0" w:space="0" w:color="auto"/>
        <w:right w:val="none" w:sz="0" w:space="0" w:color="auto"/>
      </w:divBdr>
    </w:div>
    <w:div w:id="1975792308">
      <w:bodyDiv w:val="1"/>
      <w:marLeft w:val="0"/>
      <w:marRight w:val="0"/>
      <w:marTop w:val="0"/>
      <w:marBottom w:val="0"/>
      <w:divBdr>
        <w:top w:val="none" w:sz="0" w:space="0" w:color="auto"/>
        <w:left w:val="none" w:sz="0" w:space="0" w:color="auto"/>
        <w:bottom w:val="none" w:sz="0" w:space="0" w:color="auto"/>
        <w:right w:val="none" w:sz="0" w:space="0" w:color="auto"/>
      </w:divBdr>
      <w:divsChild>
        <w:div w:id="723022332">
          <w:marLeft w:val="0"/>
          <w:marRight w:val="0"/>
          <w:marTop w:val="0"/>
          <w:marBottom w:val="0"/>
          <w:divBdr>
            <w:top w:val="none" w:sz="0" w:space="0" w:color="auto"/>
            <w:left w:val="none" w:sz="0" w:space="0" w:color="auto"/>
            <w:bottom w:val="none" w:sz="0" w:space="0" w:color="auto"/>
            <w:right w:val="none" w:sz="0" w:space="0" w:color="auto"/>
          </w:divBdr>
          <w:divsChild>
            <w:div w:id="150829809">
              <w:marLeft w:val="0"/>
              <w:marRight w:val="0"/>
              <w:marTop w:val="0"/>
              <w:marBottom w:val="0"/>
              <w:divBdr>
                <w:top w:val="none" w:sz="0" w:space="0" w:color="auto"/>
                <w:left w:val="none" w:sz="0" w:space="0" w:color="auto"/>
                <w:bottom w:val="none" w:sz="0" w:space="0" w:color="auto"/>
                <w:right w:val="none" w:sz="0" w:space="0" w:color="auto"/>
              </w:divBdr>
              <w:divsChild>
                <w:div w:id="8999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4645">
          <w:marLeft w:val="0"/>
          <w:marRight w:val="0"/>
          <w:marTop w:val="0"/>
          <w:marBottom w:val="0"/>
          <w:divBdr>
            <w:top w:val="none" w:sz="0" w:space="0" w:color="auto"/>
            <w:left w:val="none" w:sz="0" w:space="0" w:color="auto"/>
            <w:bottom w:val="none" w:sz="0" w:space="0" w:color="auto"/>
            <w:right w:val="none" w:sz="0" w:space="0" w:color="auto"/>
          </w:divBdr>
          <w:divsChild>
            <w:div w:id="1036928713">
              <w:marLeft w:val="0"/>
              <w:marRight w:val="0"/>
              <w:marTop w:val="0"/>
              <w:marBottom w:val="0"/>
              <w:divBdr>
                <w:top w:val="none" w:sz="0" w:space="0" w:color="auto"/>
                <w:left w:val="none" w:sz="0" w:space="0" w:color="auto"/>
                <w:bottom w:val="none" w:sz="0" w:space="0" w:color="auto"/>
                <w:right w:val="none" w:sz="0" w:space="0" w:color="auto"/>
              </w:divBdr>
              <w:divsChild>
                <w:div w:id="18310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25734">
      <w:bodyDiv w:val="1"/>
      <w:marLeft w:val="0"/>
      <w:marRight w:val="0"/>
      <w:marTop w:val="0"/>
      <w:marBottom w:val="0"/>
      <w:divBdr>
        <w:top w:val="none" w:sz="0" w:space="0" w:color="auto"/>
        <w:left w:val="none" w:sz="0" w:space="0" w:color="auto"/>
        <w:bottom w:val="none" w:sz="0" w:space="0" w:color="auto"/>
        <w:right w:val="none" w:sz="0" w:space="0" w:color="auto"/>
      </w:divBdr>
    </w:div>
    <w:div w:id="1986203612">
      <w:bodyDiv w:val="1"/>
      <w:marLeft w:val="0"/>
      <w:marRight w:val="0"/>
      <w:marTop w:val="0"/>
      <w:marBottom w:val="0"/>
      <w:divBdr>
        <w:top w:val="none" w:sz="0" w:space="0" w:color="auto"/>
        <w:left w:val="none" w:sz="0" w:space="0" w:color="auto"/>
        <w:bottom w:val="none" w:sz="0" w:space="0" w:color="auto"/>
        <w:right w:val="none" w:sz="0" w:space="0" w:color="auto"/>
      </w:divBdr>
    </w:div>
    <w:div w:id="1991908427">
      <w:bodyDiv w:val="1"/>
      <w:marLeft w:val="0"/>
      <w:marRight w:val="0"/>
      <w:marTop w:val="0"/>
      <w:marBottom w:val="0"/>
      <w:divBdr>
        <w:top w:val="none" w:sz="0" w:space="0" w:color="auto"/>
        <w:left w:val="none" w:sz="0" w:space="0" w:color="auto"/>
        <w:bottom w:val="none" w:sz="0" w:space="0" w:color="auto"/>
        <w:right w:val="none" w:sz="0" w:space="0" w:color="auto"/>
      </w:divBdr>
    </w:div>
    <w:div w:id="1996914474">
      <w:bodyDiv w:val="1"/>
      <w:marLeft w:val="0"/>
      <w:marRight w:val="0"/>
      <w:marTop w:val="0"/>
      <w:marBottom w:val="0"/>
      <w:divBdr>
        <w:top w:val="none" w:sz="0" w:space="0" w:color="auto"/>
        <w:left w:val="none" w:sz="0" w:space="0" w:color="auto"/>
        <w:bottom w:val="none" w:sz="0" w:space="0" w:color="auto"/>
        <w:right w:val="none" w:sz="0" w:space="0" w:color="auto"/>
      </w:divBdr>
    </w:div>
    <w:div w:id="2022048143">
      <w:bodyDiv w:val="1"/>
      <w:marLeft w:val="0"/>
      <w:marRight w:val="0"/>
      <w:marTop w:val="0"/>
      <w:marBottom w:val="0"/>
      <w:divBdr>
        <w:top w:val="none" w:sz="0" w:space="0" w:color="auto"/>
        <w:left w:val="none" w:sz="0" w:space="0" w:color="auto"/>
        <w:bottom w:val="none" w:sz="0" w:space="0" w:color="auto"/>
        <w:right w:val="none" w:sz="0" w:space="0" w:color="auto"/>
      </w:divBdr>
      <w:divsChild>
        <w:div w:id="1646083987">
          <w:marLeft w:val="0"/>
          <w:marRight w:val="0"/>
          <w:marTop w:val="0"/>
          <w:marBottom w:val="0"/>
          <w:divBdr>
            <w:top w:val="none" w:sz="0" w:space="0" w:color="auto"/>
            <w:left w:val="none" w:sz="0" w:space="0" w:color="auto"/>
            <w:bottom w:val="none" w:sz="0" w:space="0" w:color="auto"/>
            <w:right w:val="none" w:sz="0" w:space="0" w:color="auto"/>
          </w:divBdr>
          <w:divsChild>
            <w:div w:id="609901237">
              <w:marLeft w:val="0"/>
              <w:marRight w:val="0"/>
              <w:marTop w:val="0"/>
              <w:marBottom w:val="0"/>
              <w:divBdr>
                <w:top w:val="none" w:sz="0" w:space="0" w:color="auto"/>
                <w:left w:val="none" w:sz="0" w:space="0" w:color="auto"/>
                <w:bottom w:val="none" w:sz="0" w:space="0" w:color="auto"/>
                <w:right w:val="none" w:sz="0" w:space="0" w:color="auto"/>
              </w:divBdr>
              <w:divsChild>
                <w:div w:id="23516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0902">
      <w:bodyDiv w:val="1"/>
      <w:marLeft w:val="0"/>
      <w:marRight w:val="0"/>
      <w:marTop w:val="0"/>
      <w:marBottom w:val="0"/>
      <w:divBdr>
        <w:top w:val="none" w:sz="0" w:space="0" w:color="auto"/>
        <w:left w:val="none" w:sz="0" w:space="0" w:color="auto"/>
        <w:bottom w:val="none" w:sz="0" w:space="0" w:color="auto"/>
        <w:right w:val="none" w:sz="0" w:space="0" w:color="auto"/>
      </w:divBdr>
      <w:divsChild>
        <w:div w:id="1554998298">
          <w:marLeft w:val="144"/>
          <w:marRight w:val="0"/>
          <w:marTop w:val="240"/>
          <w:marBottom w:val="40"/>
          <w:divBdr>
            <w:top w:val="none" w:sz="0" w:space="0" w:color="auto"/>
            <w:left w:val="none" w:sz="0" w:space="0" w:color="auto"/>
            <w:bottom w:val="none" w:sz="0" w:space="0" w:color="auto"/>
            <w:right w:val="none" w:sz="0" w:space="0" w:color="auto"/>
          </w:divBdr>
        </w:div>
        <w:div w:id="2014995123">
          <w:marLeft w:val="144"/>
          <w:marRight w:val="0"/>
          <w:marTop w:val="240"/>
          <w:marBottom w:val="40"/>
          <w:divBdr>
            <w:top w:val="none" w:sz="0" w:space="0" w:color="auto"/>
            <w:left w:val="none" w:sz="0" w:space="0" w:color="auto"/>
            <w:bottom w:val="none" w:sz="0" w:space="0" w:color="auto"/>
            <w:right w:val="none" w:sz="0" w:space="0" w:color="auto"/>
          </w:divBdr>
        </w:div>
        <w:div w:id="1105807201">
          <w:marLeft w:val="144"/>
          <w:marRight w:val="0"/>
          <w:marTop w:val="240"/>
          <w:marBottom w:val="40"/>
          <w:divBdr>
            <w:top w:val="none" w:sz="0" w:space="0" w:color="auto"/>
            <w:left w:val="none" w:sz="0" w:space="0" w:color="auto"/>
            <w:bottom w:val="none" w:sz="0" w:space="0" w:color="auto"/>
            <w:right w:val="none" w:sz="0" w:space="0" w:color="auto"/>
          </w:divBdr>
        </w:div>
        <w:div w:id="754136276">
          <w:marLeft w:val="144"/>
          <w:marRight w:val="0"/>
          <w:marTop w:val="240"/>
          <w:marBottom w:val="40"/>
          <w:divBdr>
            <w:top w:val="none" w:sz="0" w:space="0" w:color="auto"/>
            <w:left w:val="none" w:sz="0" w:space="0" w:color="auto"/>
            <w:bottom w:val="none" w:sz="0" w:space="0" w:color="auto"/>
            <w:right w:val="none" w:sz="0" w:space="0" w:color="auto"/>
          </w:divBdr>
        </w:div>
        <w:div w:id="909388214">
          <w:marLeft w:val="144"/>
          <w:marRight w:val="0"/>
          <w:marTop w:val="240"/>
          <w:marBottom w:val="40"/>
          <w:divBdr>
            <w:top w:val="none" w:sz="0" w:space="0" w:color="auto"/>
            <w:left w:val="none" w:sz="0" w:space="0" w:color="auto"/>
            <w:bottom w:val="none" w:sz="0" w:space="0" w:color="auto"/>
            <w:right w:val="none" w:sz="0" w:space="0" w:color="auto"/>
          </w:divBdr>
        </w:div>
        <w:div w:id="309789749">
          <w:marLeft w:val="144"/>
          <w:marRight w:val="0"/>
          <w:marTop w:val="240"/>
          <w:marBottom w:val="40"/>
          <w:divBdr>
            <w:top w:val="none" w:sz="0" w:space="0" w:color="auto"/>
            <w:left w:val="none" w:sz="0" w:space="0" w:color="auto"/>
            <w:bottom w:val="none" w:sz="0" w:space="0" w:color="auto"/>
            <w:right w:val="none" w:sz="0" w:space="0" w:color="auto"/>
          </w:divBdr>
        </w:div>
        <w:div w:id="604118768">
          <w:marLeft w:val="144"/>
          <w:marRight w:val="0"/>
          <w:marTop w:val="240"/>
          <w:marBottom w:val="40"/>
          <w:divBdr>
            <w:top w:val="none" w:sz="0" w:space="0" w:color="auto"/>
            <w:left w:val="none" w:sz="0" w:space="0" w:color="auto"/>
            <w:bottom w:val="none" w:sz="0" w:space="0" w:color="auto"/>
            <w:right w:val="none" w:sz="0" w:space="0" w:color="auto"/>
          </w:divBdr>
        </w:div>
      </w:divsChild>
    </w:div>
    <w:div w:id="2026589048">
      <w:bodyDiv w:val="1"/>
      <w:marLeft w:val="0"/>
      <w:marRight w:val="0"/>
      <w:marTop w:val="0"/>
      <w:marBottom w:val="0"/>
      <w:divBdr>
        <w:top w:val="none" w:sz="0" w:space="0" w:color="auto"/>
        <w:left w:val="none" w:sz="0" w:space="0" w:color="auto"/>
        <w:bottom w:val="none" w:sz="0" w:space="0" w:color="auto"/>
        <w:right w:val="none" w:sz="0" w:space="0" w:color="auto"/>
      </w:divBdr>
    </w:div>
    <w:div w:id="2034377296">
      <w:bodyDiv w:val="1"/>
      <w:marLeft w:val="0"/>
      <w:marRight w:val="0"/>
      <w:marTop w:val="0"/>
      <w:marBottom w:val="0"/>
      <w:divBdr>
        <w:top w:val="none" w:sz="0" w:space="0" w:color="auto"/>
        <w:left w:val="none" w:sz="0" w:space="0" w:color="auto"/>
        <w:bottom w:val="none" w:sz="0" w:space="0" w:color="auto"/>
        <w:right w:val="none" w:sz="0" w:space="0" w:color="auto"/>
      </w:divBdr>
    </w:div>
    <w:div w:id="2042827007">
      <w:bodyDiv w:val="1"/>
      <w:marLeft w:val="0"/>
      <w:marRight w:val="0"/>
      <w:marTop w:val="0"/>
      <w:marBottom w:val="0"/>
      <w:divBdr>
        <w:top w:val="none" w:sz="0" w:space="0" w:color="auto"/>
        <w:left w:val="none" w:sz="0" w:space="0" w:color="auto"/>
        <w:bottom w:val="none" w:sz="0" w:space="0" w:color="auto"/>
        <w:right w:val="none" w:sz="0" w:space="0" w:color="auto"/>
      </w:divBdr>
    </w:div>
    <w:div w:id="2045985849">
      <w:bodyDiv w:val="1"/>
      <w:marLeft w:val="0"/>
      <w:marRight w:val="0"/>
      <w:marTop w:val="0"/>
      <w:marBottom w:val="0"/>
      <w:divBdr>
        <w:top w:val="none" w:sz="0" w:space="0" w:color="auto"/>
        <w:left w:val="none" w:sz="0" w:space="0" w:color="auto"/>
        <w:bottom w:val="none" w:sz="0" w:space="0" w:color="auto"/>
        <w:right w:val="none" w:sz="0" w:space="0" w:color="auto"/>
      </w:divBdr>
    </w:div>
    <w:div w:id="2048215584">
      <w:bodyDiv w:val="1"/>
      <w:marLeft w:val="0"/>
      <w:marRight w:val="0"/>
      <w:marTop w:val="0"/>
      <w:marBottom w:val="0"/>
      <w:divBdr>
        <w:top w:val="none" w:sz="0" w:space="0" w:color="auto"/>
        <w:left w:val="none" w:sz="0" w:space="0" w:color="auto"/>
        <w:bottom w:val="none" w:sz="0" w:space="0" w:color="auto"/>
        <w:right w:val="none" w:sz="0" w:space="0" w:color="auto"/>
      </w:divBdr>
    </w:div>
    <w:div w:id="2052993045">
      <w:bodyDiv w:val="1"/>
      <w:marLeft w:val="0"/>
      <w:marRight w:val="0"/>
      <w:marTop w:val="0"/>
      <w:marBottom w:val="0"/>
      <w:divBdr>
        <w:top w:val="none" w:sz="0" w:space="0" w:color="auto"/>
        <w:left w:val="none" w:sz="0" w:space="0" w:color="auto"/>
        <w:bottom w:val="none" w:sz="0" w:space="0" w:color="auto"/>
        <w:right w:val="none" w:sz="0" w:space="0" w:color="auto"/>
      </w:divBdr>
    </w:div>
    <w:div w:id="2056808425">
      <w:bodyDiv w:val="1"/>
      <w:marLeft w:val="0"/>
      <w:marRight w:val="0"/>
      <w:marTop w:val="0"/>
      <w:marBottom w:val="0"/>
      <w:divBdr>
        <w:top w:val="none" w:sz="0" w:space="0" w:color="auto"/>
        <w:left w:val="none" w:sz="0" w:space="0" w:color="auto"/>
        <w:bottom w:val="none" w:sz="0" w:space="0" w:color="auto"/>
        <w:right w:val="none" w:sz="0" w:space="0" w:color="auto"/>
      </w:divBdr>
    </w:div>
    <w:div w:id="2064671050">
      <w:bodyDiv w:val="1"/>
      <w:marLeft w:val="0"/>
      <w:marRight w:val="0"/>
      <w:marTop w:val="0"/>
      <w:marBottom w:val="0"/>
      <w:divBdr>
        <w:top w:val="none" w:sz="0" w:space="0" w:color="auto"/>
        <w:left w:val="none" w:sz="0" w:space="0" w:color="auto"/>
        <w:bottom w:val="none" w:sz="0" w:space="0" w:color="auto"/>
        <w:right w:val="none" w:sz="0" w:space="0" w:color="auto"/>
      </w:divBdr>
      <w:divsChild>
        <w:div w:id="1615360808">
          <w:marLeft w:val="0"/>
          <w:marRight w:val="0"/>
          <w:marTop w:val="0"/>
          <w:marBottom w:val="0"/>
          <w:divBdr>
            <w:top w:val="none" w:sz="0" w:space="0" w:color="auto"/>
            <w:left w:val="none" w:sz="0" w:space="0" w:color="auto"/>
            <w:bottom w:val="none" w:sz="0" w:space="0" w:color="auto"/>
            <w:right w:val="none" w:sz="0" w:space="0" w:color="auto"/>
          </w:divBdr>
          <w:divsChild>
            <w:div w:id="596788435">
              <w:marLeft w:val="0"/>
              <w:marRight w:val="0"/>
              <w:marTop w:val="0"/>
              <w:marBottom w:val="0"/>
              <w:divBdr>
                <w:top w:val="none" w:sz="0" w:space="0" w:color="auto"/>
                <w:left w:val="none" w:sz="0" w:space="0" w:color="auto"/>
                <w:bottom w:val="none" w:sz="0" w:space="0" w:color="auto"/>
                <w:right w:val="none" w:sz="0" w:space="0" w:color="auto"/>
              </w:divBdr>
              <w:divsChild>
                <w:div w:id="1760980784">
                  <w:marLeft w:val="0"/>
                  <w:marRight w:val="0"/>
                  <w:marTop w:val="0"/>
                  <w:marBottom w:val="0"/>
                  <w:divBdr>
                    <w:top w:val="none" w:sz="0" w:space="0" w:color="auto"/>
                    <w:left w:val="none" w:sz="0" w:space="0" w:color="auto"/>
                    <w:bottom w:val="none" w:sz="0" w:space="0" w:color="auto"/>
                    <w:right w:val="none" w:sz="0" w:space="0" w:color="auto"/>
                  </w:divBdr>
                  <w:divsChild>
                    <w:div w:id="12752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837878">
      <w:bodyDiv w:val="1"/>
      <w:marLeft w:val="0"/>
      <w:marRight w:val="0"/>
      <w:marTop w:val="0"/>
      <w:marBottom w:val="0"/>
      <w:divBdr>
        <w:top w:val="none" w:sz="0" w:space="0" w:color="auto"/>
        <w:left w:val="none" w:sz="0" w:space="0" w:color="auto"/>
        <w:bottom w:val="none" w:sz="0" w:space="0" w:color="auto"/>
        <w:right w:val="none" w:sz="0" w:space="0" w:color="auto"/>
      </w:divBdr>
    </w:div>
    <w:div w:id="2117478794">
      <w:bodyDiv w:val="1"/>
      <w:marLeft w:val="0"/>
      <w:marRight w:val="0"/>
      <w:marTop w:val="0"/>
      <w:marBottom w:val="0"/>
      <w:divBdr>
        <w:top w:val="none" w:sz="0" w:space="0" w:color="auto"/>
        <w:left w:val="none" w:sz="0" w:space="0" w:color="auto"/>
        <w:bottom w:val="none" w:sz="0" w:space="0" w:color="auto"/>
        <w:right w:val="none" w:sz="0" w:space="0" w:color="auto"/>
      </w:divBdr>
    </w:div>
    <w:div w:id="212765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fgc.org.au/wp-content/uploads/2019/10/FINAL-Food_Industry_Guide_to_Allergen_Management_and_Labelling_ANZ_2019_VD3.pdf" TargetMode="External"/><Relationship Id="rId21" Type="http://schemas.openxmlformats.org/officeDocument/2006/relationships/hyperlink" Target="https://www.accc.gov.au/system/files/Country%20of%20Origin%20food%20%20labelling%20Guide_March%202019.pdf" TargetMode="External"/><Relationship Id="rId42" Type="http://schemas.openxmlformats.org/officeDocument/2006/relationships/hyperlink" Target="https://ablis.business.gov.au/service/tas/registration-notification-of-a-food-business-launceston-city-council/8993" TargetMode="External"/><Relationship Id="rId47" Type="http://schemas.openxmlformats.org/officeDocument/2006/relationships/hyperlink" Target="https://www.legislation.gov.au/Details/F2011C00551" TargetMode="External"/><Relationship Id="rId63" Type="http://schemas.openxmlformats.org/officeDocument/2006/relationships/hyperlink" Target="https://www.foodauthority.nsw.gov.au/offences" TargetMode="External"/><Relationship Id="rId68" Type="http://schemas.openxmlformats.org/officeDocument/2006/relationships/hyperlink" Target="https://www.sahealth.sa.gov.au/wps/wcm/connect/public+content/sa+health+internet/public+health/food+safety+for+businesses/food+safety+rating+scheme+for+businesses" TargetMode="External"/><Relationship Id="rId84" Type="http://schemas.openxmlformats.org/officeDocument/2006/relationships/hyperlink" Target="https://content.legislation.vic.gov.au/sites/default/files/2020-07/98-94aa094%20authorised.pdf" TargetMode="External"/><Relationship Id="rId89" Type="http://schemas.openxmlformats.org/officeDocument/2006/relationships/hyperlink" Target="https://www.foodauthority.nsw.gov.au/" TargetMode="Externa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s://www.legislation.gov.au/Details/F2017C00333" TargetMode="External"/><Relationship Id="rId107" Type="http://schemas.openxmlformats.org/officeDocument/2006/relationships/header" Target="header4.xml"/><Relationship Id="rId11" Type="http://schemas.openxmlformats.org/officeDocument/2006/relationships/header" Target="header1.xml"/><Relationship Id="rId24" Type="http://schemas.openxmlformats.org/officeDocument/2006/relationships/hyperlink" Target="https://www.foodstandards.gov.au/industry/labelling/fhr/Pages/default.aspx" TargetMode="External"/><Relationship Id="rId32" Type="http://schemas.openxmlformats.org/officeDocument/2006/relationships/hyperlink" Target="https://www.fda.gov/media/123342/download" TargetMode="External"/><Relationship Id="rId37" Type="http://schemas.openxmlformats.org/officeDocument/2006/relationships/hyperlink" Target="https://nt.gov.au/industry/hospitality/accommodation-and-food-businesses/food-business-registration-fees" TargetMode="External"/><Relationship Id="rId40" Type="http://schemas.openxmlformats.org/officeDocument/2006/relationships/hyperlink" Target="https://www.sahealth.sa.gov.au/wps/wcm/connect/public+content/sa+health+internet/public+health/food+safety+for+businesses/starting+a+food+business" TargetMode="External"/><Relationship Id="rId45" Type="http://schemas.openxmlformats.org/officeDocument/2006/relationships/hyperlink" Target="https://www.mpi.govt.nz/food-business/starting-a-food-business/register-food-business/" TargetMode="External"/><Relationship Id="rId53" Type="http://schemas.openxmlformats.org/officeDocument/2006/relationships/hyperlink" Target="https://www.foodstandards.gov.au/code/proposals/Pages/P1053.aspx" TargetMode="External"/><Relationship Id="rId58" Type="http://schemas.openxmlformats.org/officeDocument/2006/relationships/hyperlink" Target="https://www.health.act.gov.au/sites/default/files/2018-09/Food%20Business%20Inspection%20Manual.pdf" TargetMode="External"/><Relationship Id="rId66" Type="http://schemas.openxmlformats.org/officeDocument/2006/relationships/hyperlink" Target="https://www.brisbane.qld.gov.au/community-and-safety/community-safety/eat-safe-brisbane" TargetMode="External"/><Relationship Id="rId74" Type="http://schemas.openxmlformats.org/officeDocument/2006/relationships/hyperlink" Target="https://heas.health.vic.gov.au/schools/planning-your-menu" TargetMode="External"/><Relationship Id="rId79" Type="http://schemas.openxmlformats.org/officeDocument/2006/relationships/hyperlink" Target="https://www.legislation.gov.au/Details/F2018C00937" TargetMode="External"/><Relationship Id="rId87" Type="http://schemas.openxmlformats.org/officeDocument/2006/relationships/hyperlink" Target="https://agriculture.vic.gov.au/" TargetMode="External"/><Relationship Id="rId102" Type="http://schemas.openxmlformats.org/officeDocument/2006/relationships/hyperlink" Target="https://www.coag.gov.au/sites/default/files/agreements/food_regulation_IGA_annex_b_0.pdf" TargetMode="External"/><Relationship Id="rId5" Type="http://schemas.openxmlformats.org/officeDocument/2006/relationships/numbering" Target="numbering.xml"/><Relationship Id="rId61" Type="http://schemas.openxmlformats.org/officeDocument/2006/relationships/hyperlink" Target="https://www2.health.vic.gov.au/public-health/food-safety/food-businesses/food-safety-audits-assessment/food-safety-audits" TargetMode="External"/><Relationship Id="rId82" Type="http://schemas.openxmlformats.org/officeDocument/2006/relationships/hyperlink" Target="https://www.legislation.wa.gov.au/legislation/prod/filestore.nsf/FileURL/mrdoc_42416.pdf/$FILE/Liquor%20Control%20Act%201988%20-%20%5B08-l0-01%5D.pdf?OpenElement" TargetMode="External"/><Relationship Id="rId90" Type="http://schemas.openxmlformats.org/officeDocument/2006/relationships/hyperlink" Target="https://www.pir.sa.gov.au/food_and_wine/toolkit" TargetMode="External"/><Relationship Id="rId95" Type="http://schemas.openxmlformats.org/officeDocument/2006/relationships/hyperlink" Target="https://www.agriculture.gov.au/import/goods/food/inspection-compliance/inspection-scheme" TargetMode="External"/><Relationship Id="rId19" Type="http://schemas.openxmlformats.org/officeDocument/2006/relationships/hyperlink" Target="https://www.legislation.gov.au/Details/F2020C00727" TargetMode="External"/><Relationship Id="rId14" Type="http://schemas.openxmlformats.org/officeDocument/2006/relationships/hyperlink" Target="https://consultations.health.gov.au/preventive-health-policy-branch/consistency_of_food_reg_approaches/" TargetMode="External"/><Relationship Id="rId22" Type="http://schemas.openxmlformats.org/officeDocument/2006/relationships/hyperlink" Target="https://www.legislation.gov.au/Details/F2019C00581" TargetMode="External"/><Relationship Id="rId27" Type="http://schemas.openxmlformats.org/officeDocument/2006/relationships/hyperlink" Target="https://www.legislation.gov.au/Details/F2017C00721" TargetMode="External"/><Relationship Id="rId30" Type="http://schemas.openxmlformats.org/officeDocument/2006/relationships/hyperlink" Target="https://www.legislation.gov.au/Details/F2014C01204" TargetMode="External"/><Relationship Id="rId35" Type="http://schemas.openxmlformats.org/officeDocument/2006/relationships/hyperlink" Target="https://www.legislation.gov.au/Details/F2020C00732" TargetMode="External"/><Relationship Id="rId43" Type="http://schemas.openxmlformats.org/officeDocument/2006/relationships/hyperlink" Target="https://www.accesscanberra.act.gov.au/app/answers/detail/a_id/2156/~/register-a-food-business" TargetMode="External"/><Relationship Id="rId48" Type="http://schemas.openxmlformats.org/officeDocument/2006/relationships/hyperlink" Target="https://www.legislation.gov.au/Details/F2012C00777" TargetMode="External"/><Relationship Id="rId56" Type="http://schemas.openxmlformats.org/officeDocument/2006/relationships/hyperlink" Target="https://www.foodauthority.nsw.gov.au/industry/audits-and-compliance/3rd-party-audits" TargetMode="External"/><Relationship Id="rId64" Type="http://schemas.openxmlformats.org/officeDocument/2006/relationships/hyperlink" Target="https://www.foodauthority.nsw.gov.au/retail/scoresondoors" TargetMode="External"/><Relationship Id="rId69" Type="http://schemas.openxmlformats.org/officeDocument/2006/relationships/hyperlink" Target="https://ww2.health.wa.gov.au/Articles/F_I/Food-offenders" TargetMode="External"/><Relationship Id="rId77" Type="http://schemas.openxmlformats.org/officeDocument/2006/relationships/hyperlink" Target="https://education.nt.gov.au/policies/health-of-students/school-nutrition-and-healthy-eating" TargetMode="External"/><Relationship Id="rId100" Type="http://schemas.openxmlformats.org/officeDocument/2006/relationships/image" Target="media/image3.tiff"/><Relationship Id="rId105" Type="http://schemas.openxmlformats.org/officeDocument/2006/relationships/hyperlink" Target="https://foodregulation.gov.au/internet/fr/publishing.nsf/Content/publication-Principles-for-Inspection-of-Food-Business" TargetMode="External"/><Relationship Id="rId8" Type="http://schemas.openxmlformats.org/officeDocument/2006/relationships/webSettings" Target="webSettings.xml"/><Relationship Id="rId51" Type="http://schemas.openxmlformats.org/officeDocument/2006/relationships/hyperlink" Target="https://www.health.act.gov.au/businesses/food-safety-regulation/starting-food-business/food-safety-supervisors" TargetMode="External"/><Relationship Id="rId72" Type="http://schemas.openxmlformats.org/officeDocument/2006/relationships/hyperlink" Target="https://www.health.nsw.gov.au/heal/Publications/food-drink-criteria.pdf" TargetMode="External"/><Relationship Id="rId80" Type="http://schemas.openxmlformats.org/officeDocument/2006/relationships/hyperlink" Target="https://www.foodauthority.nsw.gov.au/industry/eggs" TargetMode="External"/><Relationship Id="rId85" Type="http://schemas.openxmlformats.org/officeDocument/2006/relationships/hyperlink" Target="https://www.primesafe.vic.gov.au/" TargetMode="External"/><Relationship Id="rId93" Type="http://schemas.openxmlformats.org/officeDocument/2006/relationships/hyperlink" Target="https://www.foodstandards.gov.au/industry/labelling/fhr/Pages/default.aspx" TargetMode="External"/><Relationship Id="rId98"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foodstandards.gov.au/code/proposals/Pages/P1030CompositionandlabellingofElectrolyteDrinks.aspx" TargetMode="External"/><Relationship Id="rId25" Type="http://schemas.openxmlformats.org/officeDocument/2006/relationships/hyperlink" Target="http://www.fao.org/fao-who-codexalimentarius/en/" TargetMode="External"/><Relationship Id="rId33" Type="http://schemas.openxmlformats.org/officeDocument/2006/relationships/hyperlink" Target="https://www.legislation.gov.au/Details/F2020C01121" TargetMode="External"/><Relationship Id="rId38" Type="http://schemas.openxmlformats.org/officeDocument/2006/relationships/hyperlink" Target="https://ww2.health.wa.gov.au/Articles/F_I/Fees-and-charges-under-the-Food-Act-2008-WA" TargetMode="External"/><Relationship Id="rId46" Type="http://schemas.openxmlformats.org/officeDocument/2006/relationships/hyperlink" Target="https://foodregulation.gov.au/internet/fr/publishing.nsf/Content/37F08208FAC6F504CA2582A40027AA90/$File/FRSC-RPF2007.pdf" TargetMode="External"/><Relationship Id="rId59" Type="http://schemas.openxmlformats.org/officeDocument/2006/relationships/hyperlink" Target="https://www.sahealth.sa.gov.au/wps/wcm/connect/public+content/sa+health+internet/public+health/food+safety+for+businesses/food+safety+audits/food+safety+audits" TargetMode="External"/><Relationship Id="rId67" Type="http://schemas.openxmlformats.org/officeDocument/2006/relationships/hyperlink" Target="https://www.health.act.gov.au/businesses/food-safety-regulation/food-offences-register" TargetMode="External"/><Relationship Id="rId103" Type="http://schemas.openxmlformats.org/officeDocument/2006/relationships/hyperlink" Target="https://foodregulation.gov.au/internet/fr/publishing.nsf/Content/publication-Australia-New-Zealand-Enforcement-Strategy" TargetMode="External"/><Relationship Id="rId108" Type="http://schemas.openxmlformats.org/officeDocument/2006/relationships/fontTable" Target="fontTable.xml"/><Relationship Id="rId20" Type="http://schemas.openxmlformats.org/officeDocument/2006/relationships/hyperlink" Target="https://www.foodstandards.gov.au/code/userguide/pages/legibilityrequiremen1401.aspx" TargetMode="External"/><Relationship Id="rId41" Type="http://schemas.openxmlformats.org/officeDocument/2006/relationships/hyperlink" Target="https://www.health.qld.gov.au/public-health/industry-environment/food-safety/licensing/fees" TargetMode="External"/><Relationship Id="rId54" Type="http://schemas.openxmlformats.org/officeDocument/2006/relationships/hyperlink" Target="https://www.foodauthority.nsw.gov.au/industry/audits-and-compliance" TargetMode="External"/><Relationship Id="rId62" Type="http://schemas.openxmlformats.org/officeDocument/2006/relationships/hyperlink" Target="https://www2.health.vic.gov.au/public-health/food-safety/food-safety-laws-local-government-and-auditors/food-safety-auditors" TargetMode="External"/><Relationship Id="rId70" Type="http://schemas.openxmlformats.org/officeDocument/2006/relationships/hyperlink" Target="https://www.legislation.gov.au/Details/F2011C00592" TargetMode="External"/><Relationship Id="rId75" Type="http://schemas.openxmlformats.org/officeDocument/2006/relationships/hyperlink" Target="http://tascanteenassn.org.au/" TargetMode="External"/><Relationship Id="rId83" Type="http://schemas.openxmlformats.org/officeDocument/2006/relationships/hyperlink" Target="https://www.legislation.qld.gov.au/view/pdf/inforce/current/act-1992-021" TargetMode="External"/><Relationship Id="rId88" Type="http://schemas.openxmlformats.org/officeDocument/2006/relationships/hyperlink" Target="https://www2.health.vic.gov.au/" TargetMode="External"/><Relationship Id="rId91" Type="http://schemas.openxmlformats.org/officeDocument/2006/relationships/hyperlink" Target="https://www.tga.gov.au/" TargetMode="External"/><Relationship Id="rId96" Type="http://schemas.openxmlformats.org/officeDocument/2006/relationships/hyperlink" Target="https://www.legislation.gov.au/Details/C2020C0012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hyperlink" Target="https://www.legislation.gov.au/Details/F2018C00942" TargetMode="External"/><Relationship Id="rId28" Type="http://schemas.openxmlformats.org/officeDocument/2006/relationships/hyperlink" Target="https://www.legislation.gov.au/Details/F2016C00184" TargetMode="External"/><Relationship Id="rId36" Type="http://schemas.openxmlformats.org/officeDocument/2006/relationships/hyperlink" Target="https://www.legislation.gov.au/Details/F2017C00314" TargetMode="External"/><Relationship Id="rId49" Type="http://schemas.openxmlformats.org/officeDocument/2006/relationships/hyperlink" Target="https://www.foodauthority.nsw.gov.au/retail/fss-food-safety-supervisors/training-organisations" TargetMode="External"/><Relationship Id="rId57" Type="http://schemas.openxmlformats.org/officeDocument/2006/relationships/hyperlink" Target="https://www.health.act.gov.au/businesses/food-safety-regulation/food-safety-programs-high-risk-food-businesses/food-safety-audits" TargetMode="External"/><Relationship Id="rId106" Type="http://schemas.openxmlformats.org/officeDocument/2006/relationships/hyperlink" Target="https://consultations.health.gov.au/preventive-health-policy-branch/consistency_of_food_reg_approaches/user_uploads/consultation-paper---consistency-of-food-regulation-1.pdf" TargetMode="External"/><Relationship Id="rId10" Type="http://schemas.openxmlformats.org/officeDocument/2006/relationships/endnotes" Target="endnotes.xml"/><Relationship Id="rId31" Type="http://schemas.openxmlformats.org/officeDocument/2006/relationships/hyperlink" Target="https://www.legislation.gov.au/Details/F2012L00292" TargetMode="External"/><Relationship Id="rId44" Type="http://schemas.openxmlformats.org/officeDocument/2006/relationships/hyperlink" Target="https://www.foodauthority.nsw.gov.au/help/licensing" TargetMode="External"/><Relationship Id="rId52" Type="http://schemas.openxmlformats.org/officeDocument/2006/relationships/hyperlink" Target="https://www.health.qld.gov.au/__data/assets/pdf_file/0027/813618/food-safety-supervisors.pdf" TargetMode="External"/><Relationship Id="rId60" Type="http://schemas.openxmlformats.org/officeDocument/2006/relationships/hyperlink" Target="https://www2.health.vic.gov.au/public-health/food-safety/food-businesses/food-safety-audits-assessment" TargetMode="External"/><Relationship Id="rId65" Type="http://schemas.openxmlformats.org/officeDocument/2006/relationships/hyperlink" Target="https://www2.health.vic.gov.au/public-health/food-safety/food-safety-laws-local-government-and-auditors/food-safety-laws-and-regulations/food-safety-register-of-convictions" TargetMode="External"/><Relationship Id="rId73" Type="http://schemas.openxmlformats.org/officeDocument/2006/relationships/hyperlink" Target="https://www.health.act.gov.au/sites/default/files/2019-08/Go_for_Green.pdf" TargetMode="External"/><Relationship Id="rId78" Type="http://schemas.openxmlformats.org/officeDocument/2006/relationships/hyperlink" Target="http://det.wa.edu.au/policies/detcms/policy-planning-and-accountability/policies-framework/policies/healthy-food-and-drink-policy.en?cat-id=3457102" TargetMode="External"/><Relationship Id="rId81" Type="http://schemas.openxmlformats.org/officeDocument/2006/relationships/hyperlink" Target="https://www.legislation.nsw.gov.au/view/html/inforce/current/act-2007-090" TargetMode="External"/><Relationship Id="rId86" Type="http://schemas.openxmlformats.org/officeDocument/2006/relationships/hyperlink" Target="https://www.dairysafe.vic.gov.au/" TargetMode="External"/><Relationship Id="rId94" Type="http://schemas.openxmlformats.org/officeDocument/2006/relationships/hyperlink" Target="https://www.awe.gov.au/" TargetMode="External"/><Relationship Id="rId99" Type="http://schemas.openxmlformats.org/officeDocument/2006/relationships/header" Target="header3.xml"/><Relationship Id="rId101" Type="http://schemas.openxmlformats.org/officeDocument/2006/relationships/hyperlink" Target="https://www.coag.gov.au/sites/default/files/agreements/food_regulation_IGA_annex_a.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foodstandards.gov.au/code/proposals/Pages/P1024.aspx" TargetMode="External"/><Relationship Id="rId39" Type="http://schemas.openxmlformats.org/officeDocument/2006/relationships/hyperlink" Target="https://www2.health.vic.gov.au/public-health/food-safety/food-businesses/starting-a-food-business/starting-a-food-business-what-to-know" TargetMode="External"/><Relationship Id="rId109" Type="http://schemas.openxmlformats.org/officeDocument/2006/relationships/theme" Target="theme/theme1.xml"/><Relationship Id="rId34" Type="http://schemas.openxmlformats.org/officeDocument/2006/relationships/hyperlink" Target="https://www.mpi.govt.nz/dmsdocument/19550-Maximum-Residue-Levels-for-Agricultural-Compounds" TargetMode="External"/><Relationship Id="rId50" Type="http://schemas.openxmlformats.org/officeDocument/2006/relationships/hyperlink" Target="https://www2.health.vic.gov.au/public-health/food-safety/food-businesses/food-safety-training-skills-knowledge/food-safety-supervisors" TargetMode="External"/><Relationship Id="rId55" Type="http://schemas.openxmlformats.org/officeDocument/2006/relationships/hyperlink" Target="https://www.foodauthority.nsw.gov.au/sites/default/files/_Documents/scoresondoors/FPAR.pdf" TargetMode="External"/><Relationship Id="rId76" Type="http://schemas.openxmlformats.org/officeDocument/2006/relationships/hyperlink" Target="https://education.qld.gov.au/student/Documents/smart-choices-strategy.pdf" TargetMode="External"/><Relationship Id="rId97" Type="http://schemas.openxmlformats.org/officeDocument/2006/relationships/header" Target="header2.xml"/><Relationship Id="rId104" Type="http://schemas.openxmlformats.org/officeDocument/2006/relationships/hyperlink" Target="https://foodregulation.gov.au/internet/fr/publishing.nsf/Content/publication-National-Regulatory-Food-Safety-Auditor-Guideline-and-Policy" TargetMode="External"/><Relationship Id="rId7" Type="http://schemas.openxmlformats.org/officeDocument/2006/relationships/settings" Target="settings.xml"/><Relationship Id="rId71" Type="http://schemas.openxmlformats.org/officeDocument/2006/relationships/hyperlink" Target="https://www1.health.gov.au/internet/main/publishing.nsf/Content/nhsc-pocket-guide" TargetMode="External"/><Relationship Id="rId92" Type="http://schemas.openxmlformats.org/officeDocument/2006/relationships/hyperlink" Target="https://www.tga.gov.au/food-medicine-interface-guidance-tool-fmig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earch.informit.com.au/documentSummary;dn=160068614114659;res=IELIND" TargetMode="External"/><Relationship Id="rId7" Type="http://schemas.openxmlformats.org/officeDocument/2006/relationships/hyperlink" Target="https://www.mpi.govt.nz/food-business/starting-a-food-business/register-food-business/" TargetMode="External"/><Relationship Id="rId2" Type="http://schemas.openxmlformats.org/officeDocument/2006/relationships/hyperlink" Target="https://pubmed.ncbi.nlm.nih.gov/30829196/" TargetMode="External"/><Relationship Id="rId1" Type="http://schemas.openxmlformats.org/officeDocument/2006/relationships/hyperlink" Target="https://pubmed.ncbi.nlm.nih.gov/30829196/" TargetMode="External"/><Relationship Id="rId6" Type="http://schemas.openxmlformats.org/officeDocument/2006/relationships/hyperlink" Target="https://www.abs.gov.au/statistics/economy/business-indicators/counts-australian-businesses-including-entries-and-exits/latest-release" TargetMode="External"/><Relationship Id="rId5" Type="http://schemas.openxmlformats.org/officeDocument/2006/relationships/hyperlink" Target="https://foodregulation.gov.au/internet/fr/publishing.nsf/Content/forum-communique-2019-August" TargetMode="External"/><Relationship Id="rId4" Type="http://schemas.openxmlformats.org/officeDocument/2006/relationships/hyperlink" Target="https://pubmed.ncbi.nlm.nih.gov/307476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Users\ashleighkennedy\Dropbox%20(mpconsulting)\Department%20of%20Health%20(Team%20Folder)\Current%20matters\Food%20regulatory%20system%20review\mpc%20documents\Consistency%20Report\Diagrams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shleighkennedy\Dropbox%20(mpconsulting)\Department%20of%20Health%20(Team%20Folder)\Current%20matters\Food%20regulatory%20system%20review\mpc%20documents\Consistency%20Report\Diagram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Inconsistency in food regulation</a:t>
            </a:r>
            <a:r>
              <a:rPr lang="en-US" sz="1200" baseline="0"/>
              <a:t> is...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Sheet1!$C$1</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6B-6149-BFCB-1FF92E95BC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6B-6149-BFCB-1FF92E95BC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6B-6149-BFCB-1FF92E95BC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6B-6149-BFCB-1FF92E95BC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Sheet1!$B$2:$B$5</c:f>
              <c:strCache>
                <c:ptCount val="4"/>
                <c:pt idx="0">
                  <c:v>Not an issue</c:v>
                </c:pt>
                <c:pt idx="1">
                  <c:v>A minor issue</c:v>
                </c:pt>
                <c:pt idx="2">
                  <c:v>A somewhat major issue</c:v>
                </c:pt>
                <c:pt idx="3">
                  <c:v>A significant issue</c:v>
                </c:pt>
              </c:strCache>
            </c:strRef>
          </c:cat>
          <c:val>
            <c:numRef>
              <c:f>Sheet1!$C$2:$C$5</c:f>
              <c:numCache>
                <c:formatCode>0%</c:formatCode>
                <c:ptCount val="4"/>
                <c:pt idx="0">
                  <c:v>7.0000000000000007E-2</c:v>
                </c:pt>
                <c:pt idx="1">
                  <c:v>0.19</c:v>
                </c:pt>
                <c:pt idx="2">
                  <c:v>0.25</c:v>
                </c:pt>
                <c:pt idx="3">
                  <c:v>0.49</c:v>
                </c:pt>
              </c:numCache>
            </c:numRef>
          </c:val>
          <c:extLst>
            <c:ext xmlns:c16="http://schemas.microsoft.com/office/drawing/2014/chart" uri="{C3380CC4-5D6E-409C-BE32-E72D297353CC}">
              <c16:uniqueId val="{00000008-776B-6149-BFCB-1FF92E95BC85}"/>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9740813648294"/>
          <c:y val="0.31333114610673668"/>
          <c:w val="0.39359251968503933"/>
          <c:h val="0.4133610382035579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Areas of concern and number of stakeholders</a:t>
            </a:r>
            <a:r>
              <a:rPr lang="en-GB" sz="1200" baseline="0"/>
              <a:t> impacted</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Sheet1!$B$19:$B$29</c:f>
              <c:strCache>
                <c:ptCount val="11"/>
                <c:pt idx="0">
                  <c:v>Food labelling (identification, warning statements, statements of ingredients, date markings, directions for use)</c:v>
                </c:pt>
                <c:pt idx="1">
                  <c:v>Nutrition health and related claims (labelling)</c:v>
                </c:pt>
                <c:pt idx="2">
                  <c:v>Substances added to or present in foods (processing aids, vitamins and minerals, food additives)</c:v>
                </c:pt>
                <c:pt idx="3">
                  <c:v>Foods requiring pre-market clearance (novel foods, food produced using gene technology and irradiation)</c:v>
                </c:pt>
                <c:pt idx="4">
                  <c:v>Food safety standards (Australia only)</c:v>
                </c:pt>
                <c:pt idx="5">
                  <c:v>Food premises and equipment (Australia only)</c:v>
                </c:pt>
                <c:pt idx="6">
                  <c:v>Other</c:v>
                </c:pt>
                <c:pt idx="7">
                  <c:v>Microbiological limits, processing requirements, contaminants and residues</c:v>
                </c:pt>
                <c:pt idx="8">
                  <c:v>Food safety programs (Australia only)</c:v>
                </c:pt>
                <c:pt idx="9">
                  <c:v>Food safety practices (Australia only)</c:v>
                </c:pt>
                <c:pt idx="10">
                  <c:v>Primary production and processing standards (Australia only)</c:v>
                </c:pt>
              </c:strCache>
            </c:strRef>
          </c:cat>
          <c:val>
            <c:numRef>
              <c:f>Sheet1!$C$19:$C$29</c:f>
              <c:numCache>
                <c:formatCode>General</c:formatCode>
                <c:ptCount val="11"/>
                <c:pt idx="0">
                  <c:v>14</c:v>
                </c:pt>
                <c:pt idx="1">
                  <c:v>12</c:v>
                </c:pt>
                <c:pt idx="2">
                  <c:v>6</c:v>
                </c:pt>
                <c:pt idx="3">
                  <c:v>5</c:v>
                </c:pt>
                <c:pt idx="4">
                  <c:v>3</c:v>
                </c:pt>
                <c:pt idx="5">
                  <c:v>3</c:v>
                </c:pt>
                <c:pt idx="6">
                  <c:v>3</c:v>
                </c:pt>
                <c:pt idx="7">
                  <c:v>2</c:v>
                </c:pt>
                <c:pt idx="8">
                  <c:v>2</c:v>
                </c:pt>
                <c:pt idx="9">
                  <c:v>2</c:v>
                </c:pt>
                <c:pt idx="10">
                  <c:v>2</c:v>
                </c:pt>
              </c:numCache>
            </c:numRef>
          </c:val>
          <c:extLst>
            <c:ext xmlns:c16="http://schemas.microsoft.com/office/drawing/2014/chart" uri="{C3380CC4-5D6E-409C-BE32-E72D297353CC}">
              <c16:uniqueId val="{00000000-3803-F548-AEFE-281C5F34EFFA}"/>
            </c:ext>
          </c:extLst>
        </c:ser>
        <c:dLbls>
          <c:showLegendKey val="0"/>
          <c:showVal val="0"/>
          <c:showCatName val="0"/>
          <c:showSerName val="0"/>
          <c:showPercent val="0"/>
          <c:showBubbleSize val="0"/>
        </c:dLbls>
        <c:gapWidth val="182"/>
        <c:axId val="1312622863"/>
        <c:axId val="1312663823"/>
      </c:barChart>
      <c:catAx>
        <c:axId val="13126228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2663823"/>
        <c:crosses val="autoZero"/>
        <c:auto val="1"/>
        <c:lblAlgn val="ctr"/>
        <c:lblOffset val="100"/>
        <c:noMultiLvlLbl val="0"/>
      </c:catAx>
      <c:valAx>
        <c:axId val="13126638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26228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f0ad07-0ce2-4345-92b0-b87809ef53a8" xsi:nil="true"/>
    <lcf76f155ced4ddcb4097134ff3c332f xmlns="839094c7-44eb-41ba-bf13-17cd8e527726">
      <Terms xmlns="http://schemas.microsoft.com/office/infopath/2007/PartnerControls"/>
    </lcf76f155ced4ddcb4097134ff3c332f>
    <Projectidentifier xmlns="839094c7-44eb-41ba-bf13-17cd8e527726" xsi:nil="true"/>
    <Website xmlns="839094c7-44eb-41ba-bf13-17cd8e527726" xsi:nil="true"/>
    <sjwf xmlns="839094c7-44eb-41ba-bf13-17cd8e527726" xsi:nil="true"/>
    <Documentstatus xmlns="839094c7-44eb-41ba-bf13-17cd8e527726" xsi:nil="true"/>
    <MediaLengthInSeconds xmlns="839094c7-44eb-41ba-bf13-17cd8e527726" xsi:nil="true"/>
    <SharedWithUsers xmlns="2af0ad07-0ce2-4345-92b0-b87809ef53a8">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2A638D3F7EAA74CAF515206BB54674E" ma:contentTypeVersion="22" ma:contentTypeDescription="Create a new document." ma:contentTypeScope="" ma:versionID="e757f8389803b7a2635a78da6f44a282">
  <xsd:schema xmlns:xsd="http://www.w3.org/2001/XMLSchema" xmlns:xs="http://www.w3.org/2001/XMLSchema" xmlns:p="http://schemas.microsoft.com/office/2006/metadata/properties" xmlns:ns2="839094c7-44eb-41ba-bf13-17cd8e527726" xmlns:ns3="2af0ad07-0ce2-4345-92b0-b87809ef53a8" targetNamespace="http://schemas.microsoft.com/office/2006/metadata/properties" ma:root="true" ma:fieldsID="425e735e90bb3b15ca2cfc7d55d74a9d" ns2:_="" ns3:_="">
    <xsd:import namespace="839094c7-44eb-41ba-bf13-17cd8e527726"/>
    <xsd:import namespace="2af0ad07-0ce2-4345-92b0-b87809ef53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sjwf" minOccurs="0"/>
                <xsd:element ref="ns2:Documentstatus" minOccurs="0"/>
                <xsd:element ref="ns2:Website" minOccurs="0"/>
                <xsd:element ref="ns2:MediaLengthInSeconds" minOccurs="0"/>
                <xsd:element ref="ns2:lcf76f155ced4ddcb4097134ff3c332f" minOccurs="0"/>
                <xsd:element ref="ns3:TaxCatchAll" minOccurs="0"/>
                <xsd:element ref="ns2:MediaServiceObjectDetectorVersions" minOccurs="0"/>
                <xsd:element ref="ns2:Project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094c7-44eb-41ba-bf13-17cd8e5277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sjwf" ma:index="20" nillable="true" ma:displayName="Description" ma:internalName="sjwf">
      <xsd:simpleType>
        <xsd:restriction base="dms:Text"/>
      </xsd:simpleType>
    </xsd:element>
    <xsd:element name="Documentstatus" ma:index="21" nillable="true" ma:displayName="Document status" ma:format="Dropdown" ma:internalName="Documentstatus">
      <xsd:simpleType>
        <xsd:restriction base="dms:Choice">
          <xsd:enumeration value="Not started"/>
          <xsd:enumeration value="In progress"/>
          <xsd:enumeration value="Peer review"/>
          <xsd:enumeration value="In clearance"/>
          <xsd:enumeration value="Final"/>
        </xsd:restriction>
      </xsd:simpleType>
    </xsd:element>
    <xsd:element name="Website" ma:index="22" nillable="true" ma:displayName="Website" ma:format="Dropdown" ma:internalName="Website">
      <xsd:simpleType>
        <xsd:restriction base="dms:Choice">
          <xsd:enumeration value="health.gov.au"/>
          <xsd:enumeration value="ACPC"/>
          <xsd:enumeration value="AMR (Antimicrobial Resistance)"/>
          <xsd:enumeration value="NGTS (Gene technology)"/>
          <xsd:enumeration value="NST (Sports tribunal)"/>
          <xsd:enumeration value="OGTR (Office of Gene Technology Regulator)"/>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Projectidentifier" ma:index="28" nillable="true" ma:displayName="Project identifier" ma:format="Dropdown" ma:internalName="Projectidentifi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0ad07-0ce2-4345-92b0-b87809ef53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e043222-2f0b-4155-99ed-6c139f6a2a22}" ma:internalName="TaxCatchAll" ma:showField="CatchAllData" ma:web="2af0ad07-0ce2-4345-92b0-b87809ef5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E5BDE8-B3FE-40E3-8B26-F1EC44BFBD4D}">
  <ds:schemaRefs>
    <ds:schemaRef ds:uri="http://schemas.microsoft.com/office/2006/metadata/properties"/>
    <ds:schemaRef ds:uri="http://schemas.microsoft.com/office/infopath/2007/PartnerControls"/>
    <ds:schemaRef ds:uri="236487dd-ec90-4f99-8970-1318e5f29791"/>
    <ds:schemaRef ds:uri="dcf7b372-aaaa-46d8-9da6-ade9aab953df"/>
    <ds:schemaRef ds:uri="http://schemas.microsoft.com/sharepoint/v3/fields"/>
  </ds:schemaRefs>
</ds:datastoreItem>
</file>

<file path=customXml/itemProps2.xml><?xml version="1.0" encoding="utf-8"?>
<ds:datastoreItem xmlns:ds="http://schemas.openxmlformats.org/officeDocument/2006/customXml" ds:itemID="{BE57961B-5651-4F8C-8C94-0D7AB1095E1A}">
  <ds:schemaRefs>
    <ds:schemaRef ds:uri="http://schemas.openxmlformats.org/officeDocument/2006/bibliography"/>
  </ds:schemaRefs>
</ds:datastoreItem>
</file>

<file path=customXml/itemProps3.xml><?xml version="1.0" encoding="utf-8"?>
<ds:datastoreItem xmlns:ds="http://schemas.openxmlformats.org/officeDocument/2006/customXml" ds:itemID="{D54F3164-566A-48DB-A107-F7D0EC7567D0}"/>
</file>

<file path=customXml/itemProps4.xml><?xml version="1.0" encoding="utf-8"?>
<ds:datastoreItem xmlns:ds="http://schemas.openxmlformats.org/officeDocument/2006/customXml" ds:itemID="{C2E9B8E6-60CA-40F9-AAF1-77B6374F6B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43</Pages>
  <Words>15640</Words>
  <Characters>94467</Characters>
  <Application>Microsoft Office Word</Application>
  <DocSecurity>0</DocSecurity>
  <Lines>1628</Lines>
  <Paragraphs>663</Paragraphs>
  <ScaleCrop>false</ScaleCrop>
  <HeadingPairs>
    <vt:vector size="2" baseType="variant">
      <vt:variant>
        <vt:lpstr>Title</vt:lpstr>
      </vt:variant>
      <vt:variant>
        <vt:i4>1</vt:i4>
      </vt:variant>
    </vt:vector>
  </HeadingPairs>
  <TitlesOfParts>
    <vt:vector size="1" baseType="lpstr">
      <vt:lpstr>Key areas of inconsistency in food regulation</vt:lpstr>
    </vt:vector>
  </TitlesOfParts>
  <Company/>
  <LinksUpToDate>false</LinksUpToDate>
  <CharactersWithSpaces>109444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areas of inconsistency in food regulation</dc:title>
  <dc:subject>Food and nutrition</dc:subject>
  <dc:creator>mpconsulting</dc:creator>
  <cp:lastModifiedBy>ARNOLD, Max</cp:lastModifiedBy>
  <cp:revision>5</cp:revision>
  <cp:lastPrinted>2021-03-30T05:47:00Z</cp:lastPrinted>
  <dcterms:created xsi:type="dcterms:W3CDTF">2022-07-27T07:31:00Z</dcterms:created>
  <dcterms:modified xsi:type="dcterms:W3CDTF">2023-11-16T22:07:00Z</dcterms:modified>
  <cp:contentStatus>Reviewed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0x010100D2A638D3F7EAA74CAF515206BB54674E</vt:lpwstr>
  </property>
  <property fmtid="{D5CDD505-2E9C-101B-9397-08002B2CF9AE}" pid="3" name="MediaServiceImageTags">
    <vt:lpwstr/>
  </property>
  <property fmtid="{D5CDD505-2E9C-101B-9397-08002B2CF9AE}" pid="4" name="Peerreviewed?">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