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4634" w14:textId="77777777" w:rsidR="00B449AB" w:rsidRPr="00166D40" w:rsidRDefault="00B449AB" w:rsidP="0092312C">
      <w:pPr>
        <w:spacing w:before="600"/>
        <w:ind w:left="-567"/>
        <w:jc w:val="both"/>
      </w:pPr>
      <w:r>
        <w:rPr>
          <w:noProof/>
        </w:rPr>
        <w:drawing>
          <wp:inline distT="0" distB="0" distL="0" distR="0" wp14:anchorId="479AC2D7" wp14:editId="3C89B996">
            <wp:extent cx="6357956" cy="1409640"/>
            <wp:effectExtent l="0" t="0" r="5080" b="635"/>
            <wp:docPr id="3" name="Picture 3" descr="Joint Food Regulation System" title="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416068" cy="1422524"/>
                    </a:xfrm>
                    <a:prstGeom prst="rect">
                      <a:avLst/>
                    </a:prstGeom>
                  </pic:spPr>
                </pic:pic>
              </a:graphicData>
            </a:graphic>
          </wp:inline>
        </w:drawing>
      </w:r>
    </w:p>
    <w:p w14:paraId="1468F31D" w14:textId="77777777" w:rsidR="00B449AB" w:rsidRPr="00A8387E" w:rsidRDefault="00B449AB" w:rsidP="00C71F51">
      <w:pPr>
        <w:pStyle w:val="Title"/>
      </w:pPr>
      <w:r w:rsidRPr="00A8387E">
        <w:t>Policy Paper: Labelling of sugars on packaged foods and drinks</w:t>
      </w:r>
    </w:p>
    <w:p w14:paraId="1943582F" w14:textId="77777777" w:rsidR="00B449AB" w:rsidRPr="00A8387E" w:rsidRDefault="00B449AB" w:rsidP="00BC587F">
      <w:pPr>
        <w:pStyle w:val="Subtitle"/>
      </w:pPr>
      <w:r w:rsidRPr="00A8387E">
        <w:t>June 2019</w:t>
      </w:r>
    </w:p>
    <w:bookmarkStart w:id="0" w:name="_Toc3905529" w:displacedByCustomXml="next"/>
    <w:bookmarkStart w:id="1" w:name="_Toc1483585" w:displacedByCustomXml="next"/>
    <w:bookmarkStart w:id="2" w:name="_Toc513546874" w:displacedByCustomXml="next"/>
    <w:bookmarkStart w:id="3" w:name="_Toc512605021" w:displacedByCustomXml="next"/>
    <w:bookmarkStart w:id="4" w:name="_Toc6323578" w:displacedByCustomXml="next"/>
    <w:bookmarkStart w:id="5" w:name="_Toc505871606" w:displacedByCustomXml="next"/>
    <w:sdt>
      <w:sdtPr>
        <w:rPr>
          <w:rFonts w:asciiTheme="minorHAnsi" w:eastAsiaTheme="minorEastAsia" w:hAnsiTheme="minorHAnsi" w:cstheme="minorBidi"/>
          <w:b w:val="0"/>
          <w:bCs w:val="0"/>
          <w:color w:val="auto"/>
          <w:sz w:val="22"/>
          <w:szCs w:val="22"/>
        </w:rPr>
        <w:id w:val="133917297"/>
        <w:docPartObj>
          <w:docPartGallery w:val="Table of Contents"/>
          <w:docPartUnique/>
        </w:docPartObj>
      </w:sdtPr>
      <w:sdtContent>
        <w:p w14:paraId="7EB6206C" w14:textId="375FF305" w:rsidR="0066291E" w:rsidRPr="00314A5D" w:rsidRDefault="0066291E" w:rsidP="00A8387E">
          <w:pPr>
            <w:pStyle w:val="Heading1"/>
            <w:rPr>
              <w:color w:val="255421"/>
            </w:rPr>
          </w:pPr>
          <w:r w:rsidRPr="00314A5D">
            <w:rPr>
              <w:color w:val="255421"/>
            </w:rPr>
            <w:t>Contents</w:t>
          </w:r>
          <w:bookmarkEnd w:id="4"/>
          <w:bookmarkEnd w:id="3"/>
          <w:bookmarkEnd w:id="2"/>
          <w:bookmarkEnd w:id="1"/>
          <w:bookmarkEnd w:id="0"/>
        </w:p>
        <w:p w14:paraId="65857D94" w14:textId="5C9FC3D9" w:rsidR="002B7189" w:rsidRDefault="002B7189" w:rsidP="002B7189">
          <w:pPr>
            <w:pStyle w:val="TOC1"/>
            <w:rPr>
              <w:rFonts w:asciiTheme="minorHAnsi" w:hAnsiTheme="minorHAnsi" w:cstheme="minorBidi"/>
              <w:sz w:val="22"/>
            </w:rPr>
          </w:pPr>
          <w:r>
            <w:fldChar w:fldCharType="begin"/>
          </w:r>
          <w:r>
            <w:instrText xml:space="preserve"> TOC \o "1-2" \h \z \u </w:instrText>
          </w:r>
          <w:r>
            <w:fldChar w:fldCharType="separate"/>
          </w:r>
          <w:hyperlink w:anchor="_Toc6323579" w:history="1">
            <w:r w:rsidRPr="00FF0571">
              <w:rPr>
                <w:rStyle w:val="Hyperlink"/>
              </w:rPr>
              <w:t>Glossary</w:t>
            </w:r>
            <w:r>
              <w:rPr>
                <w:webHidden/>
              </w:rPr>
              <w:tab/>
            </w:r>
            <w:r>
              <w:rPr>
                <w:webHidden/>
              </w:rPr>
              <w:fldChar w:fldCharType="begin"/>
            </w:r>
            <w:r>
              <w:rPr>
                <w:webHidden/>
              </w:rPr>
              <w:instrText xml:space="preserve"> PAGEREF _Toc6323579 \h </w:instrText>
            </w:r>
            <w:r>
              <w:rPr>
                <w:webHidden/>
              </w:rPr>
            </w:r>
            <w:r>
              <w:rPr>
                <w:webHidden/>
              </w:rPr>
              <w:fldChar w:fldCharType="separate"/>
            </w:r>
            <w:r w:rsidR="008C718B">
              <w:rPr>
                <w:webHidden/>
              </w:rPr>
              <w:t>1</w:t>
            </w:r>
            <w:r>
              <w:rPr>
                <w:webHidden/>
              </w:rPr>
              <w:fldChar w:fldCharType="end"/>
            </w:r>
          </w:hyperlink>
        </w:p>
        <w:p w14:paraId="4D2F7B8B" w14:textId="60A95165" w:rsidR="002B7189" w:rsidRDefault="00000000" w:rsidP="002B7189">
          <w:pPr>
            <w:pStyle w:val="TOC1"/>
            <w:rPr>
              <w:rFonts w:asciiTheme="minorHAnsi" w:hAnsiTheme="minorHAnsi" w:cstheme="minorBidi"/>
              <w:sz w:val="22"/>
            </w:rPr>
          </w:pPr>
          <w:hyperlink w:anchor="_Toc6323580" w:history="1">
            <w:r w:rsidR="002B7189" w:rsidRPr="00FF0571">
              <w:rPr>
                <w:rStyle w:val="Hyperlink"/>
              </w:rPr>
              <w:t>Executive summary</w:t>
            </w:r>
            <w:r w:rsidR="002B7189">
              <w:rPr>
                <w:webHidden/>
              </w:rPr>
              <w:tab/>
            </w:r>
            <w:r w:rsidR="002B7189">
              <w:rPr>
                <w:webHidden/>
              </w:rPr>
              <w:fldChar w:fldCharType="begin"/>
            </w:r>
            <w:r w:rsidR="002B7189">
              <w:rPr>
                <w:webHidden/>
              </w:rPr>
              <w:instrText xml:space="preserve"> PAGEREF _Toc6323580 \h </w:instrText>
            </w:r>
            <w:r w:rsidR="002B7189">
              <w:rPr>
                <w:webHidden/>
              </w:rPr>
            </w:r>
            <w:r w:rsidR="002B7189">
              <w:rPr>
                <w:webHidden/>
              </w:rPr>
              <w:fldChar w:fldCharType="separate"/>
            </w:r>
            <w:r w:rsidR="008C718B">
              <w:rPr>
                <w:webHidden/>
              </w:rPr>
              <w:t>3</w:t>
            </w:r>
            <w:r w:rsidR="002B7189">
              <w:rPr>
                <w:webHidden/>
              </w:rPr>
              <w:fldChar w:fldCharType="end"/>
            </w:r>
          </w:hyperlink>
        </w:p>
        <w:p w14:paraId="62281DC4" w14:textId="739633DD" w:rsidR="002B7189" w:rsidRDefault="00000000" w:rsidP="002B7189">
          <w:pPr>
            <w:pStyle w:val="TOC1"/>
            <w:rPr>
              <w:rFonts w:asciiTheme="minorHAnsi" w:hAnsiTheme="minorHAnsi" w:cstheme="minorBidi"/>
              <w:sz w:val="22"/>
            </w:rPr>
          </w:pPr>
          <w:hyperlink w:anchor="_Toc6323593" w:history="1">
            <w:r w:rsidR="002B7189" w:rsidRPr="00FF0571">
              <w:rPr>
                <w:rStyle w:val="Hyperlink"/>
              </w:rPr>
              <w:t>Introduction</w:t>
            </w:r>
            <w:r w:rsidR="002B7189">
              <w:rPr>
                <w:webHidden/>
              </w:rPr>
              <w:tab/>
            </w:r>
            <w:r w:rsidR="002B7189">
              <w:rPr>
                <w:webHidden/>
              </w:rPr>
              <w:fldChar w:fldCharType="begin"/>
            </w:r>
            <w:r w:rsidR="002B7189">
              <w:rPr>
                <w:webHidden/>
              </w:rPr>
              <w:instrText xml:space="preserve"> PAGEREF _Toc6323593 \h </w:instrText>
            </w:r>
            <w:r w:rsidR="002B7189">
              <w:rPr>
                <w:webHidden/>
              </w:rPr>
            </w:r>
            <w:r w:rsidR="002B7189">
              <w:rPr>
                <w:webHidden/>
              </w:rPr>
              <w:fldChar w:fldCharType="separate"/>
            </w:r>
            <w:r w:rsidR="008C718B">
              <w:rPr>
                <w:webHidden/>
              </w:rPr>
              <w:t>18</w:t>
            </w:r>
            <w:r w:rsidR="002B7189">
              <w:rPr>
                <w:webHidden/>
              </w:rPr>
              <w:fldChar w:fldCharType="end"/>
            </w:r>
          </w:hyperlink>
        </w:p>
        <w:p w14:paraId="1B19B9AD" w14:textId="0465441C" w:rsidR="002B7189" w:rsidRDefault="00000000" w:rsidP="002B7189">
          <w:pPr>
            <w:pStyle w:val="TOC1"/>
            <w:rPr>
              <w:rFonts w:asciiTheme="minorHAnsi" w:hAnsiTheme="minorHAnsi" w:cstheme="minorBidi"/>
              <w:sz w:val="22"/>
            </w:rPr>
          </w:pPr>
          <w:hyperlink w:anchor="_Toc6323596" w:history="1">
            <w:r w:rsidR="002B7189" w:rsidRPr="00FF0571">
              <w:rPr>
                <w:rStyle w:val="Hyperlink"/>
                <w:lang w:eastAsia="zh-CN" w:bidi="th-TH"/>
              </w:rPr>
              <w:t>Background</w:t>
            </w:r>
            <w:r w:rsidR="002B7189">
              <w:rPr>
                <w:webHidden/>
              </w:rPr>
              <w:tab/>
            </w:r>
            <w:r w:rsidR="002B7189">
              <w:rPr>
                <w:webHidden/>
              </w:rPr>
              <w:fldChar w:fldCharType="begin"/>
            </w:r>
            <w:r w:rsidR="002B7189">
              <w:rPr>
                <w:webHidden/>
              </w:rPr>
              <w:instrText xml:space="preserve"> PAGEREF _Toc6323596 \h </w:instrText>
            </w:r>
            <w:r w:rsidR="002B7189">
              <w:rPr>
                <w:webHidden/>
              </w:rPr>
            </w:r>
            <w:r w:rsidR="002B7189">
              <w:rPr>
                <w:webHidden/>
              </w:rPr>
              <w:fldChar w:fldCharType="separate"/>
            </w:r>
            <w:r w:rsidR="008C718B">
              <w:rPr>
                <w:webHidden/>
              </w:rPr>
              <w:t>19</w:t>
            </w:r>
            <w:r w:rsidR="002B7189">
              <w:rPr>
                <w:webHidden/>
              </w:rPr>
              <w:fldChar w:fldCharType="end"/>
            </w:r>
          </w:hyperlink>
        </w:p>
        <w:p w14:paraId="44F4DD0B" w14:textId="65A11F9A" w:rsidR="002B7189" w:rsidRDefault="00000000" w:rsidP="002B7189">
          <w:pPr>
            <w:pStyle w:val="TOC1"/>
            <w:rPr>
              <w:rFonts w:asciiTheme="minorHAnsi" w:hAnsiTheme="minorHAnsi" w:cstheme="minorBidi"/>
              <w:sz w:val="22"/>
            </w:rPr>
          </w:pPr>
          <w:hyperlink w:anchor="_Toc6323597" w:history="1">
            <w:r w:rsidR="002B7189" w:rsidRPr="00FF0571">
              <w:rPr>
                <w:rStyle w:val="Hyperlink"/>
              </w:rPr>
              <w:t>1</w:t>
            </w:r>
            <w:r w:rsidR="002B7189">
              <w:rPr>
                <w:rFonts w:asciiTheme="minorHAnsi" w:hAnsiTheme="minorHAnsi" w:cstheme="minorBidi"/>
                <w:sz w:val="22"/>
              </w:rPr>
              <w:tab/>
            </w:r>
            <w:r w:rsidR="002B7189" w:rsidRPr="00FF0571">
              <w:rPr>
                <w:rStyle w:val="Hyperlink"/>
              </w:rPr>
              <w:t>Statement of the problem</w:t>
            </w:r>
            <w:r w:rsidR="002B7189">
              <w:rPr>
                <w:webHidden/>
              </w:rPr>
              <w:tab/>
            </w:r>
            <w:r w:rsidR="002B7189">
              <w:rPr>
                <w:webHidden/>
              </w:rPr>
              <w:fldChar w:fldCharType="begin"/>
            </w:r>
            <w:r w:rsidR="002B7189">
              <w:rPr>
                <w:webHidden/>
              </w:rPr>
              <w:instrText xml:space="preserve"> PAGEREF _Toc6323597 \h </w:instrText>
            </w:r>
            <w:r w:rsidR="002B7189">
              <w:rPr>
                <w:webHidden/>
              </w:rPr>
            </w:r>
            <w:r w:rsidR="002B7189">
              <w:rPr>
                <w:webHidden/>
              </w:rPr>
              <w:fldChar w:fldCharType="separate"/>
            </w:r>
            <w:r w:rsidR="008C718B">
              <w:rPr>
                <w:webHidden/>
              </w:rPr>
              <w:t>21</w:t>
            </w:r>
            <w:r w:rsidR="002B7189">
              <w:rPr>
                <w:webHidden/>
              </w:rPr>
              <w:fldChar w:fldCharType="end"/>
            </w:r>
          </w:hyperlink>
        </w:p>
        <w:p w14:paraId="00D0B582" w14:textId="31C3C767" w:rsidR="002B7189" w:rsidRDefault="00000000" w:rsidP="002B7189">
          <w:pPr>
            <w:pStyle w:val="TOC2"/>
            <w:rPr>
              <w:rFonts w:cstheme="minorBidi"/>
            </w:rPr>
          </w:pPr>
          <w:hyperlink w:anchor="_Toc6323598" w:history="1">
            <w:r w:rsidR="002B7189" w:rsidRPr="00FF0571">
              <w:rPr>
                <w:rStyle w:val="Hyperlink"/>
              </w:rPr>
              <w:t>1.1</w:t>
            </w:r>
            <w:r w:rsidR="002B7189">
              <w:rPr>
                <w:rFonts w:cstheme="minorBidi"/>
              </w:rPr>
              <w:t xml:space="preserve"> </w:t>
            </w:r>
            <w:r w:rsidR="002B7189" w:rsidRPr="00FF0571">
              <w:rPr>
                <w:rStyle w:val="Hyperlink"/>
              </w:rPr>
              <w:t>About sugars</w:t>
            </w:r>
            <w:r w:rsidR="002B7189">
              <w:rPr>
                <w:webHidden/>
              </w:rPr>
              <w:tab/>
            </w:r>
            <w:r w:rsidR="002B7189">
              <w:rPr>
                <w:webHidden/>
              </w:rPr>
              <w:fldChar w:fldCharType="begin"/>
            </w:r>
            <w:r w:rsidR="002B7189">
              <w:rPr>
                <w:webHidden/>
              </w:rPr>
              <w:instrText xml:space="preserve"> PAGEREF _Toc6323598 \h </w:instrText>
            </w:r>
            <w:r w:rsidR="002B7189">
              <w:rPr>
                <w:webHidden/>
              </w:rPr>
            </w:r>
            <w:r w:rsidR="002B7189">
              <w:rPr>
                <w:webHidden/>
              </w:rPr>
              <w:fldChar w:fldCharType="separate"/>
            </w:r>
            <w:r w:rsidR="008C718B">
              <w:rPr>
                <w:webHidden/>
              </w:rPr>
              <w:t>22</w:t>
            </w:r>
            <w:r w:rsidR="002B7189">
              <w:rPr>
                <w:webHidden/>
              </w:rPr>
              <w:fldChar w:fldCharType="end"/>
            </w:r>
          </w:hyperlink>
        </w:p>
        <w:p w14:paraId="61CFECC7" w14:textId="3965E139" w:rsidR="002B7189" w:rsidRDefault="00000000" w:rsidP="002B7189">
          <w:pPr>
            <w:pStyle w:val="TOC2"/>
            <w:rPr>
              <w:rFonts w:cstheme="minorBidi"/>
            </w:rPr>
          </w:pPr>
          <w:hyperlink w:anchor="_Toc6323599" w:history="1">
            <w:r w:rsidR="002B7189" w:rsidRPr="00FF0571">
              <w:rPr>
                <w:rStyle w:val="Hyperlink"/>
              </w:rPr>
              <w:t>1.2</w:t>
            </w:r>
            <w:r w:rsidR="002B7189">
              <w:rPr>
                <w:rFonts w:cstheme="minorBidi"/>
              </w:rPr>
              <w:t xml:space="preserve"> </w:t>
            </w:r>
            <w:r w:rsidR="002B7189" w:rsidRPr="00FF0571">
              <w:rPr>
                <w:rStyle w:val="Hyperlink"/>
              </w:rPr>
              <w:t>Health impacts of excessive added sugars consumption</w:t>
            </w:r>
            <w:r w:rsidR="002B7189">
              <w:rPr>
                <w:webHidden/>
              </w:rPr>
              <w:tab/>
            </w:r>
            <w:r w:rsidR="002B7189">
              <w:rPr>
                <w:webHidden/>
              </w:rPr>
              <w:fldChar w:fldCharType="begin"/>
            </w:r>
            <w:r w:rsidR="002B7189">
              <w:rPr>
                <w:webHidden/>
              </w:rPr>
              <w:instrText xml:space="preserve"> PAGEREF _Toc6323599 \h </w:instrText>
            </w:r>
            <w:r w:rsidR="002B7189">
              <w:rPr>
                <w:webHidden/>
              </w:rPr>
            </w:r>
            <w:r w:rsidR="002B7189">
              <w:rPr>
                <w:webHidden/>
              </w:rPr>
              <w:fldChar w:fldCharType="separate"/>
            </w:r>
            <w:r w:rsidR="008C718B">
              <w:rPr>
                <w:webHidden/>
              </w:rPr>
              <w:t>22</w:t>
            </w:r>
            <w:r w:rsidR="002B7189">
              <w:rPr>
                <w:webHidden/>
              </w:rPr>
              <w:fldChar w:fldCharType="end"/>
            </w:r>
          </w:hyperlink>
        </w:p>
        <w:p w14:paraId="00BB831D" w14:textId="450AD2D8" w:rsidR="002B7189" w:rsidRDefault="00000000" w:rsidP="002B7189">
          <w:pPr>
            <w:pStyle w:val="TOC2"/>
            <w:rPr>
              <w:rFonts w:cstheme="minorBidi"/>
            </w:rPr>
          </w:pPr>
          <w:hyperlink w:anchor="_Toc6323600" w:history="1">
            <w:r w:rsidR="002B7189" w:rsidRPr="00FF0571">
              <w:rPr>
                <w:rStyle w:val="Hyperlink"/>
              </w:rPr>
              <w:t>1.3</w:t>
            </w:r>
            <w:r w:rsidR="002B7189">
              <w:rPr>
                <w:rFonts w:cstheme="minorBidi"/>
              </w:rPr>
              <w:t xml:space="preserve"> </w:t>
            </w:r>
            <w:r w:rsidR="002B7189" w:rsidRPr="00FF0571">
              <w:rPr>
                <w:rStyle w:val="Hyperlink"/>
              </w:rPr>
              <w:t>Recommendations about intake of sugars in Australia, New Zealand and internationally</w:t>
            </w:r>
            <w:r w:rsidR="002B7189">
              <w:rPr>
                <w:webHidden/>
              </w:rPr>
              <w:tab/>
            </w:r>
            <w:r w:rsidR="002B7189">
              <w:rPr>
                <w:webHidden/>
              </w:rPr>
              <w:fldChar w:fldCharType="begin"/>
            </w:r>
            <w:r w:rsidR="002B7189">
              <w:rPr>
                <w:webHidden/>
              </w:rPr>
              <w:instrText xml:space="preserve"> PAGEREF _Toc6323600 \h </w:instrText>
            </w:r>
            <w:r w:rsidR="002B7189">
              <w:rPr>
                <w:webHidden/>
              </w:rPr>
            </w:r>
            <w:r w:rsidR="002B7189">
              <w:rPr>
                <w:webHidden/>
              </w:rPr>
              <w:fldChar w:fldCharType="separate"/>
            </w:r>
            <w:r w:rsidR="008C718B">
              <w:rPr>
                <w:webHidden/>
              </w:rPr>
              <w:t>24</w:t>
            </w:r>
            <w:r w:rsidR="002B7189">
              <w:rPr>
                <w:webHidden/>
              </w:rPr>
              <w:fldChar w:fldCharType="end"/>
            </w:r>
          </w:hyperlink>
        </w:p>
        <w:p w14:paraId="34A18EEE" w14:textId="0FC6B4BD" w:rsidR="002B7189" w:rsidRDefault="00000000" w:rsidP="002B7189">
          <w:pPr>
            <w:pStyle w:val="TOC2"/>
            <w:rPr>
              <w:rFonts w:cstheme="minorBidi"/>
            </w:rPr>
          </w:pPr>
          <w:hyperlink w:anchor="_Toc6323601" w:history="1">
            <w:r w:rsidR="002B7189" w:rsidRPr="00FF0571">
              <w:rPr>
                <w:rStyle w:val="Hyperlink"/>
              </w:rPr>
              <w:t>1.4</w:t>
            </w:r>
            <w:r w:rsidR="002B7189">
              <w:rPr>
                <w:rFonts w:cstheme="minorBidi"/>
              </w:rPr>
              <w:t xml:space="preserve"> </w:t>
            </w:r>
            <w:r w:rsidR="002B7189" w:rsidRPr="00FF0571">
              <w:rPr>
                <w:rStyle w:val="Hyperlink"/>
              </w:rPr>
              <w:t>Intakes of added sugars in Australia and New Zealand and associated health outcomes</w:t>
            </w:r>
            <w:r w:rsidR="002B7189">
              <w:rPr>
                <w:webHidden/>
              </w:rPr>
              <w:tab/>
            </w:r>
            <w:r w:rsidR="002B7189">
              <w:rPr>
                <w:webHidden/>
              </w:rPr>
              <w:fldChar w:fldCharType="begin"/>
            </w:r>
            <w:r w:rsidR="002B7189">
              <w:rPr>
                <w:webHidden/>
              </w:rPr>
              <w:instrText xml:space="preserve"> PAGEREF _Toc6323601 \h </w:instrText>
            </w:r>
            <w:r w:rsidR="002B7189">
              <w:rPr>
                <w:webHidden/>
              </w:rPr>
            </w:r>
            <w:r w:rsidR="002B7189">
              <w:rPr>
                <w:webHidden/>
              </w:rPr>
              <w:fldChar w:fldCharType="separate"/>
            </w:r>
            <w:r w:rsidR="008C718B">
              <w:rPr>
                <w:webHidden/>
              </w:rPr>
              <w:t>25</w:t>
            </w:r>
            <w:r w:rsidR="002B7189">
              <w:rPr>
                <w:webHidden/>
              </w:rPr>
              <w:fldChar w:fldCharType="end"/>
            </w:r>
          </w:hyperlink>
        </w:p>
        <w:p w14:paraId="34F51E6C" w14:textId="73290259" w:rsidR="002B7189" w:rsidRDefault="00000000" w:rsidP="002B7189">
          <w:pPr>
            <w:pStyle w:val="TOC2"/>
            <w:rPr>
              <w:rFonts w:cstheme="minorBidi"/>
            </w:rPr>
          </w:pPr>
          <w:hyperlink w:anchor="_Toc6323602" w:history="1">
            <w:r w:rsidR="002B7189" w:rsidRPr="00FF0571">
              <w:rPr>
                <w:rStyle w:val="Hyperlink"/>
              </w:rPr>
              <w:t>1.5</w:t>
            </w:r>
            <w:r w:rsidR="002B7189">
              <w:rPr>
                <w:rFonts w:cstheme="minorBidi"/>
              </w:rPr>
              <w:t xml:space="preserve"> </w:t>
            </w:r>
            <w:r w:rsidR="002B7189" w:rsidRPr="00FF0571">
              <w:rPr>
                <w:rStyle w:val="Hyperlink"/>
              </w:rPr>
              <w:t>Labelling for informed choice</w:t>
            </w:r>
            <w:r w:rsidR="002B7189">
              <w:rPr>
                <w:webHidden/>
              </w:rPr>
              <w:tab/>
            </w:r>
            <w:r w:rsidR="002B7189">
              <w:rPr>
                <w:webHidden/>
              </w:rPr>
              <w:fldChar w:fldCharType="begin"/>
            </w:r>
            <w:r w:rsidR="002B7189">
              <w:rPr>
                <w:webHidden/>
              </w:rPr>
              <w:instrText xml:space="preserve"> PAGEREF _Toc6323602 \h </w:instrText>
            </w:r>
            <w:r w:rsidR="002B7189">
              <w:rPr>
                <w:webHidden/>
              </w:rPr>
            </w:r>
            <w:r w:rsidR="002B7189">
              <w:rPr>
                <w:webHidden/>
              </w:rPr>
              <w:fldChar w:fldCharType="separate"/>
            </w:r>
            <w:r w:rsidR="008C718B">
              <w:rPr>
                <w:webHidden/>
              </w:rPr>
              <w:t>26</w:t>
            </w:r>
            <w:r w:rsidR="002B7189">
              <w:rPr>
                <w:webHidden/>
              </w:rPr>
              <w:fldChar w:fldCharType="end"/>
            </w:r>
          </w:hyperlink>
        </w:p>
        <w:p w14:paraId="3A9CF209" w14:textId="0A3A7F81" w:rsidR="002B7189" w:rsidRDefault="00000000" w:rsidP="002B7189">
          <w:pPr>
            <w:pStyle w:val="TOC2"/>
            <w:rPr>
              <w:rFonts w:cstheme="minorBidi"/>
            </w:rPr>
          </w:pPr>
          <w:hyperlink w:anchor="_Toc6323603" w:history="1">
            <w:r w:rsidR="002B7189" w:rsidRPr="00FF0571">
              <w:rPr>
                <w:rStyle w:val="Hyperlink"/>
              </w:rPr>
              <w:t>1.6</w:t>
            </w:r>
            <w:r w:rsidR="002B7189">
              <w:rPr>
                <w:rFonts w:cstheme="minorBidi"/>
              </w:rPr>
              <w:t xml:space="preserve"> </w:t>
            </w:r>
            <w:r w:rsidR="002B7189" w:rsidRPr="00FF0571">
              <w:rPr>
                <w:rStyle w:val="Hyperlink"/>
              </w:rPr>
              <w:t>Current labelling requirements in relation to sugars</w:t>
            </w:r>
            <w:r w:rsidR="002B7189">
              <w:rPr>
                <w:webHidden/>
              </w:rPr>
              <w:tab/>
            </w:r>
            <w:r w:rsidR="002B7189">
              <w:rPr>
                <w:webHidden/>
              </w:rPr>
              <w:fldChar w:fldCharType="begin"/>
            </w:r>
            <w:r w:rsidR="002B7189">
              <w:rPr>
                <w:webHidden/>
              </w:rPr>
              <w:instrText xml:space="preserve"> PAGEREF _Toc6323603 \h </w:instrText>
            </w:r>
            <w:r w:rsidR="002B7189">
              <w:rPr>
                <w:webHidden/>
              </w:rPr>
            </w:r>
            <w:r w:rsidR="002B7189">
              <w:rPr>
                <w:webHidden/>
              </w:rPr>
              <w:fldChar w:fldCharType="separate"/>
            </w:r>
            <w:r w:rsidR="008C718B">
              <w:rPr>
                <w:webHidden/>
              </w:rPr>
              <w:t>26</w:t>
            </w:r>
            <w:r w:rsidR="002B7189">
              <w:rPr>
                <w:webHidden/>
              </w:rPr>
              <w:fldChar w:fldCharType="end"/>
            </w:r>
          </w:hyperlink>
        </w:p>
        <w:p w14:paraId="31FE0878" w14:textId="3218BDB3" w:rsidR="002B7189" w:rsidRDefault="00000000" w:rsidP="002B7189">
          <w:pPr>
            <w:pStyle w:val="TOC2"/>
            <w:rPr>
              <w:rFonts w:cstheme="minorBidi"/>
            </w:rPr>
          </w:pPr>
          <w:hyperlink w:anchor="_Toc6323604" w:history="1">
            <w:r w:rsidR="002B7189" w:rsidRPr="00FF0571">
              <w:rPr>
                <w:rStyle w:val="Hyperlink"/>
              </w:rPr>
              <w:t>1.7</w:t>
            </w:r>
            <w:r w:rsidR="002B7189">
              <w:rPr>
                <w:rFonts w:cstheme="minorBidi"/>
              </w:rPr>
              <w:t xml:space="preserve"> </w:t>
            </w:r>
            <w:r w:rsidR="002B7189" w:rsidRPr="00FF0571">
              <w:rPr>
                <w:rStyle w:val="Hyperlink"/>
              </w:rPr>
              <w:t>Consumer knowledge, attitudes and behaviours relating to sugars</w:t>
            </w:r>
            <w:r w:rsidR="002B7189">
              <w:rPr>
                <w:webHidden/>
              </w:rPr>
              <w:tab/>
            </w:r>
            <w:r w:rsidR="002B7189">
              <w:rPr>
                <w:webHidden/>
              </w:rPr>
              <w:fldChar w:fldCharType="begin"/>
            </w:r>
            <w:r w:rsidR="002B7189">
              <w:rPr>
                <w:webHidden/>
              </w:rPr>
              <w:instrText xml:space="preserve"> PAGEREF _Toc6323604 \h </w:instrText>
            </w:r>
            <w:r w:rsidR="002B7189">
              <w:rPr>
                <w:webHidden/>
              </w:rPr>
            </w:r>
            <w:r w:rsidR="002B7189">
              <w:rPr>
                <w:webHidden/>
              </w:rPr>
              <w:fldChar w:fldCharType="separate"/>
            </w:r>
            <w:r w:rsidR="008C718B">
              <w:rPr>
                <w:webHidden/>
              </w:rPr>
              <w:t>29</w:t>
            </w:r>
            <w:r w:rsidR="002B7189">
              <w:rPr>
                <w:webHidden/>
              </w:rPr>
              <w:fldChar w:fldCharType="end"/>
            </w:r>
          </w:hyperlink>
        </w:p>
        <w:p w14:paraId="7997A06F" w14:textId="73C2549C" w:rsidR="002B7189" w:rsidRDefault="00000000" w:rsidP="002B7189">
          <w:pPr>
            <w:pStyle w:val="TOC2"/>
            <w:rPr>
              <w:rFonts w:cstheme="minorBidi"/>
            </w:rPr>
          </w:pPr>
          <w:hyperlink w:anchor="_Toc6323605" w:history="1">
            <w:r w:rsidR="002B7189" w:rsidRPr="00FF0571">
              <w:rPr>
                <w:rStyle w:val="Hyperlink"/>
              </w:rPr>
              <w:t>1.8</w:t>
            </w:r>
            <w:r w:rsidR="002B7189">
              <w:rPr>
                <w:rFonts w:cstheme="minorBidi"/>
              </w:rPr>
              <w:t xml:space="preserve"> </w:t>
            </w:r>
            <w:r w:rsidR="002B7189" w:rsidRPr="00FF0571">
              <w:rPr>
                <w:rStyle w:val="Hyperlink"/>
              </w:rPr>
              <w:t>Other sources of information about added sugar content of foods in Australia and New Zealand</w:t>
            </w:r>
            <w:r w:rsidR="002B7189">
              <w:rPr>
                <w:webHidden/>
              </w:rPr>
              <w:tab/>
            </w:r>
            <w:r w:rsidR="002B7189">
              <w:rPr>
                <w:webHidden/>
              </w:rPr>
              <w:fldChar w:fldCharType="begin"/>
            </w:r>
            <w:r w:rsidR="002B7189">
              <w:rPr>
                <w:webHidden/>
              </w:rPr>
              <w:instrText xml:space="preserve"> PAGEREF _Toc6323605 \h </w:instrText>
            </w:r>
            <w:r w:rsidR="002B7189">
              <w:rPr>
                <w:webHidden/>
              </w:rPr>
            </w:r>
            <w:r w:rsidR="002B7189">
              <w:rPr>
                <w:webHidden/>
              </w:rPr>
              <w:fldChar w:fldCharType="separate"/>
            </w:r>
            <w:r w:rsidR="008C718B">
              <w:rPr>
                <w:webHidden/>
              </w:rPr>
              <w:t>30</w:t>
            </w:r>
            <w:r w:rsidR="002B7189">
              <w:rPr>
                <w:webHidden/>
              </w:rPr>
              <w:fldChar w:fldCharType="end"/>
            </w:r>
          </w:hyperlink>
        </w:p>
        <w:p w14:paraId="48F2AF0C" w14:textId="63B088F8" w:rsidR="002B7189" w:rsidRDefault="00000000" w:rsidP="002B7189">
          <w:pPr>
            <w:pStyle w:val="TOC2"/>
            <w:rPr>
              <w:rFonts w:cstheme="minorBidi"/>
            </w:rPr>
          </w:pPr>
          <w:hyperlink w:anchor="_Toc6323606" w:history="1">
            <w:r w:rsidR="002B7189" w:rsidRPr="00FF0571">
              <w:rPr>
                <w:rStyle w:val="Hyperlink"/>
              </w:rPr>
              <w:t>1.9</w:t>
            </w:r>
            <w:r w:rsidR="002B7189">
              <w:rPr>
                <w:rFonts w:cstheme="minorBidi"/>
              </w:rPr>
              <w:t xml:space="preserve"> </w:t>
            </w:r>
            <w:r w:rsidR="002B7189" w:rsidRPr="00FF0571">
              <w:rPr>
                <w:rStyle w:val="Hyperlink"/>
              </w:rPr>
              <w:t>Current actions that are underway to support reducing intakes of sugars</w:t>
            </w:r>
            <w:r w:rsidR="002B7189">
              <w:rPr>
                <w:webHidden/>
              </w:rPr>
              <w:tab/>
            </w:r>
            <w:r w:rsidR="002B7189">
              <w:rPr>
                <w:webHidden/>
              </w:rPr>
              <w:fldChar w:fldCharType="begin"/>
            </w:r>
            <w:r w:rsidR="002B7189">
              <w:rPr>
                <w:webHidden/>
              </w:rPr>
              <w:instrText xml:space="preserve"> PAGEREF _Toc6323606 \h </w:instrText>
            </w:r>
            <w:r w:rsidR="002B7189">
              <w:rPr>
                <w:webHidden/>
              </w:rPr>
            </w:r>
            <w:r w:rsidR="002B7189">
              <w:rPr>
                <w:webHidden/>
              </w:rPr>
              <w:fldChar w:fldCharType="separate"/>
            </w:r>
            <w:r w:rsidR="008C718B">
              <w:rPr>
                <w:webHidden/>
              </w:rPr>
              <w:t>31</w:t>
            </w:r>
            <w:r w:rsidR="002B7189">
              <w:rPr>
                <w:webHidden/>
              </w:rPr>
              <w:fldChar w:fldCharType="end"/>
            </w:r>
          </w:hyperlink>
        </w:p>
        <w:p w14:paraId="2132286B" w14:textId="7AC7ED58" w:rsidR="002B7189" w:rsidRDefault="00000000" w:rsidP="002B7189">
          <w:pPr>
            <w:pStyle w:val="TOC1"/>
            <w:rPr>
              <w:rFonts w:asciiTheme="minorHAnsi" w:hAnsiTheme="minorHAnsi" w:cstheme="minorBidi"/>
              <w:sz w:val="22"/>
            </w:rPr>
          </w:pPr>
          <w:hyperlink w:anchor="_Toc6323607" w:history="1">
            <w:r w:rsidR="002B7189" w:rsidRPr="00FF0571">
              <w:rPr>
                <w:rStyle w:val="Hyperlink"/>
              </w:rPr>
              <w:t>2</w:t>
            </w:r>
            <w:r w:rsidR="002B7189">
              <w:rPr>
                <w:rFonts w:asciiTheme="minorHAnsi" w:hAnsiTheme="minorHAnsi" w:cstheme="minorBidi"/>
                <w:sz w:val="22"/>
              </w:rPr>
              <w:tab/>
            </w:r>
            <w:r w:rsidR="002B7189" w:rsidRPr="00FF0571">
              <w:rPr>
                <w:rStyle w:val="Hyperlink"/>
              </w:rPr>
              <w:t>Objectives</w:t>
            </w:r>
            <w:r w:rsidR="002B7189">
              <w:rPr>
                <w:webHidden/>
              </w:rPr>
              <w:tab/>
            </w:r>
            <w:r w:rsidR="002B7189">
              <w:rPr>
                <w:webHidden/>
              </w:rPr>
              <w:fldChar w:fldCharType="begin"/>
            </w:r>
            <w:r w:rsidR="002B7189">
              <w:rPr>
                <w:webHidden/>
              </w:rPr>
              <w:instrText xml:space="preserve"> PAGEREF _Toc6323607 \h </w:instrText>
            </w:r>
            <w:r w:rsidR="002B7189">
              <w:rPr>
                <w:webHidden/>
              </w:rPr>
            </w:r>
            <w:r w:rsidR="002B7189">
              <w:rPr>
                <w:webHidden/>
              </w:rPr>
              <w:fldChar w:fldCharType="separate"/>
            </w:r>
            <w:r w:rsidR="008C718B">
              <w:rPr>
                <w:webHidden/>
              </w:rPr>
              <w:t>33</w:t>
            </w:r>
            <w:r w:rsidR="002B7189">
              <w:rPr>
                <w:webHidden/>
              </w:rPr>
              <w:fldChar w:fldCharType="end"/>
            </w:r>
          </w:hyperlink>
        </w:p>
        <w:p w14:paraId="1C45482C" w14:textId="2B3E6802" w:rsidR="002B7189" w:rsidRDefault="00000000" w:rsidP="002B7189">
          <w:pPr>
            <w:pStyle w:val="TOC1"/>
            <w:rPr>
              <w:rFonts w:asciiTheme="minorHAnsi" w:hAnsiTheme="minorHAnsi" w:cstheme="minorBidi"/>
              <w:sz w:val="22"/>
            </w:rPr>
          </w:pPr>
          <w:hyperlink w:anchor="_Toc6323608" w:history="1">
            <w:r w:rsidR="002B7189" w:rsidRPr="00FF0571">
              <w:rPr>
                <w:rStyle w:val="Hyperlink"/>
              </w:rPr>
              <w:t>3</w:t>
            </w:r>
            <w:r w:rsidR="002B7189">
              <w:rPr>
                <w:rFonts w:asciiTheme="minorHAnsi" w:hAnsiTheme="minorHAnsi" w:cstheme="minorBidi"/>
                <w:sz w:val="22"/>
              </w:rPr>
              <w:tab/>
            </w:r>
            <w:r w:rsidR="002B7189" w:rsidRPr="00FF0571">
              <w:rPr>
                <w:rStyle w:val="Hyperlink"/>
              </w:rPr>
              <w:t>Statement of options</w:t>
            </w:r>
            <w:r w:rsidR="002B7189">
              <w:rPr>
                <w:webHidden/>
              </w:rPr>
              <w:tab/>
            </w:r>
            <w:r w:rsidR="002B7189">
              <w:rPr>
                <w:webHidden/>
              </w:rPr>
              <w:fldChar w:fldCharType="begin"/>
            </w:r>
            <w:r w:rsidR="002B7189">
              <w:rPr>
                <w:webHidden/>
              </w:rPr>
              <w:instrText xml:space="preserve"> PAGEREF _Toc6323608 \h </w:instrText>
            </w:r>
            <w:r w:rsidR="002B7189">
              <w:rPr>
                <w:webHidden/>
              </w:rPr>
            </w:r>
            <w:r w:rsidR="002B7189">
              <w:rPr>
                <w:webHidden/>
              </w:rPr>
              <w:fldChar w:fldCharType="separate"/>
            </w:r>
            <w:r w:rsidR="008C718B">
              <w:rPr>
                <w:webHidden/>
              </w:rPr>
              <w:t>34</w:t>
            </w:r>
            <w:r w:rsidR="002B7189">
              <w:rPr>
                <w:webHidden/>
              </w:rPr>
              <w:fldChar w:fldCharType="end"/>
            </w:r>
          </w:hyperlink>
        </w:p>
        <w:p w14:paraId="28EE7569" w14:textId="7EF0BDE4" w:rsidR="002B7189" w:rsidRDefault="00000000" w:rsidP="002B7189">
          <w:pPr>
            <w:pStyle w:val="TOC2"/>
            <w:rPr>
              <w:rFonts w:cstheme="minorBidi"/>
            </w:rPr>
          </w:pPr>
          <w:hyperlink w:anchor="_Toc6323609" w:history="1">
            <w:r w:rsidR="002B7189" w:rsidRPr="00FF0571">
              <w:rPr>
                <w:rStyle w:val="Hyperlink"/>
              </w:rPr>
              <w:t>Option 1: Status quo</w:t>
            </w:r>
            <w:r w:rsidR="002B7189">
              <w:rPr>
                <w:webHidden/>
              </w:rPr>
              <w:tab/>
            </w:r>
            <w:r w:rsidR="002B7189">
              <w:rPr>
                <w:webHidden/>
              </w:rPr>
              <w:fldChar w:fldCharType="begin"/>
            </w:r>
            <w:r w:rsidR="002B7189">
              <w:rPr>
                <w:webHidden/>
              </w:rPr>
              <w:instrText xml:space="preserve"> PAGEREF _Toc6323609 \h </w:instrText>
            </w:r>
            <w:r w:rsidR="002B7189">
              <w:rPr>
                <w:webHidden/>
              </w:rPr>
            </w:r>
            <w:r w:rsidR="002B7189">
              <w:rPr>
                <w:webHidden/>
              </w:rPr>
              <w:fldChar w:fldCharType="separate"/>
            </w:r>
            <w:r w:rsidR="008C718B">
              <w:rPr>
                <w:webHidden/>
              </w:rPr>
              <w:t>34</w:t>
            </w:r>
            <w:r w:rsidR="002B7189">
              <w:rPr>
                <w:webHidden/>
              </w:rPr>
              <w:fldChar w:fldCharType="end"/>
            </w:r>
          </w:hyperlink>
        </w:p>
        <w:p w14:paraId="5F1B042D" w14:textId="645F713E" w:rsidR="002B7189" w:rsidRDefault="00000000" w:rsidP="002B7189">
          <w:pPr>
            <w:pStyle w:val="TOC2"/>
            <w:rPr>
              <w:rFonts w:cstheme="minorBidi"/>
            </w:rPr>
          </w:pPr>
          <w:hyperlink w:anchor="_Toc6323610" w:history="1">
            <w:r w:rsidR="002B7189" w:rsidRPr="00FF0571">
              <w:rPr>
                <w:rStyle w:val="Hyperlink"/>
              </w:rPr>
              <w:t>Option 2: Education on how to read and interpret labelling information about sugars</w:t>
            </w:r>
            <w:r w:rsidR="002B7189">
              <w:rPr>
                <w:webHidden/>
              </w:rPr>
              <w:tab/>
            </w:r>
            <w:r w:rsidR="002B7189">
              <w:rPr>
                <w:webHidden/>
              </w:rPr>
              <w:fldChar w:fldCharType="begin"/>
            </w:r>
            <w:r w:rsidR="002B7189">
              <w:rPr>
                <w:webHidden/>
              </w:rPr>
              <w:instrText xml:space="preserve"> PAGEREF _Toc6323610 \h </w:instrText>
            </w:r>
            <w:r w:rsidR="002B7189">
              <w:rPr>
                <w:webHidden/>
              </w:rPr>
            </w:r>
            <w:r w:rsidR="002B7189">
              <w:rPr>
                <w:webHidden/>
              </w:rPr>
              <w:fldChar w:fldCharType="separate"/>
            </w:r>
            <w:r w:rsidR="008C718B">
              <w:rPr>
                <w:webHidden/>
              </w:rPr>
              <w:t>34</w:t>
            </w:r>
            <w:r w:rsidR="002B7189">
              <w:rPr>
                <w:webHidden/>
              </w:rPr>
              <w:fldChar w:fldCharType="end"/>
            </w:r>
          </w:hyperlink>
        </w:p>
        <w:p w14:paraId="2A7C13AE" w14:textId="50EE820A" w:rsidR="002B7189" w:rsidRDefault="00000000" w:rsidP="002B7189">
          <w:pPr>
            <w:pStyle w:val="TOC2"/>
            <w:rPr>
              <w:rFonts w:cstheme="minorBidi"/>
            </w:rPr>
          </w:pPr>
          <w:hyperlink w:anchor="_Toc6323611" w:history="1">
            <w:r w:rsidR="002B7189" w:rsidRPr="00FF0571">
              <w:rPr>
                <w:rStyle w:val="Hyperlink"/>
              </w:rPr>
              <w:t>Option 3: Change to statement of ingredients</w:t>
            </w:r>
            <w:r w:rsidR="002B7189">
              <w:rPr>
                <w:webHidden/>
              </w:rPr>
              <w:tab/>
            </w:r>
            <w:r w:rsidR="002B7189">
              <w:rPr>
                <w:webHidden/>
              </w:rPr>
              <w:fldChar w:fldCharType="begin"/>
            </w:r>
            <w:r w:rsidR="002B7189">
              <w:rPr>
                <w:webHidden/>
              </w:rPr>
              <w:instrText xml:space="preserve"> PAGEREF _Toc6323611 \h </w:instrText>
            </w:r>
            <w:r w:rsidR="002B7189">
              <w:rPr>
                <w:webHidden/>
              </w:rPr>
            </w:r>
            <w:r w:rsidR="002B7189">
              <w:rPr>
                <w:webHidden/>
              </w:rPr>
              <w:fldChar w:fldCharType="separate"/>
            </w:r>
            <w:r w:rsidR="008C718B">
              <w:rPr>
                <w:webHidden/>
              </w:rPr>
              <w:t>36</w:t>
            </w:r>
            <w:r w:rsidR="002B7189">
              <w:rPr>
                <w:webHidden/>
              </w:rPr>
              <w:fldChar w:fldCharType="end"/>
            </w:r>
          </w:hyperlink>
        </w:p>
        <w:p w14:paraId="750BD22D" w14:textId="33ABEDE2" w:rsidR="002B7189" w:rsidRDefault="00000000" w:rsidP="002B7189">
          <w:pPr>
            <w:pStyle w:val="TOC2"/>
            <w:rPr>
              <w:rFonts w:cstheme="minorBidi"/>
            </w:rPr>
          </w:pPr>
          <w:hyperlink w:anchor="_Toc6323612" w:history="1">
            <w:r w:rsidR="002B7189" w:rsidRPr="00FF0571">
              <w:rPr>
                <w:rStyle w:val="Hyperlink"/>
              </w:rPr>
              <w:t>Option 4: Added sugars quantified in the NIP</w:t>
            </w:r>
            <w:r w:rsidR="002B7189">
              <w:rPr>
                <w:webHidden/>
              </w:rPr>
              <w:tab/>
            </w:r>
            <w:r w:rsidR="002B7189">
              <w:rPr>
                <w:webHidden/>
              </w:rPr>
              <w:fldChar w:fldCharType="begin"/>
            </w:r>
            <w:r w:rsidR="002B7189">
              <w:rPr>
                <w:webHidden/>
              </w:rPr>
              <w:instrText xml:space="preserve"> PAGEREF _Toc6323612 \h </w:instrText>
            </w:r>
            <w:r w:rsidR="002B7189">
              <w:rPr>
                <w:webHidden/>
              </w:rPr>
            </w:r>
            <w:r w:rsidR="002B7189">
              <w:rPr>
                <w:webHidden/>
              </w:rPr>
              <w:fldChar w:fldCharType="separate"/>
            </w:r>
            <w:r w:rsidR="008C718B">
              <w:rPr>
                <w:webHidden/>
              </w:rPr>
              <w:t>38</w:t>
            </w:r>
            <w:r w:rsidR="002B7189">
              <w:rPr>
                <w:webHidden/>
              </w:rPr>
              <w:fldChar w:fldCharType="end"/>
            </w:r>
          </w:hyperlink>
        </w:p>
        <w:p w14:paraId="618AEBA0" w14:textId="3C410B1F" w:rsidR="002B7189" w:rsidRDefault="00000000" w:rsidP="002B7189">
          <w:pPr>
            <w:pStyle w:val="TOC2"/>
            <w:rPr>
              <w:rFonts w:cstheme="minorBidi"/>
            </w:rPr>
          </w:pPr>
          <w:hyperlink w:anchor="_Toc6323613" w:history="1">
            <w:r w:rsidR="002B7189" w:rsidRPr="00FF0571">
              <w:rPr>
                <w:rStyle w:val="Hyperlink"/>
              </w:rPr>
              <w:t>Option 5: Advisory labels for foods high in added sugars</w:t>
            </w:r>
            <w:r w:rsidR="002B7189">
              <w:rPr>
                <w:webHidden/>
              </w:rPr>
              <w:tab/>
            </w:r>
            <w:r w:rsidR="002B7189">
              <w:rPr>
                <w:webHidden/>
              </w:rPr>
              <w:fldChar w:fldCharType="begin"/>
            </w:r>
            <w:r w:rsidR="002B7189">
              <w:rPr>
                <w:webHidden/>
              </w:rPr>
              <w:instrText xml:space="preserve"> PAGEREF _Toc6323613 \h </w:instrText>
            </w:r>
            <w:r w:rsidR="002B7189">
              <w:rPr>
                <w:webHidden/>
              </w:rPr>
            </w:r>
            <w:r w:rsidR="002B7189">
              <w:rPr>
                <w:webHidden/>
              </w:rPr>
              <w:fldChar w:fldCharType="separate"/>
            </w:r>
            <w:r w:rsidR="008C718B">
              <w:rPr>
                <w:webHidden/>
              </w:rPr>
              <w:t>40</w:t>
            </w:r>
            <w:r w:rsidR="002B7189">
              <w:rPr>
                <w:webHidden/>
              </w:rPr>
              <w:fldChar w:fldCharType="end"/>
            </w:r>
          </w:hyperlink>
        </w:p>
        <w:p w14:paraId="297E4CE4" w14:textId="11B8C5A8" w:rsidR="002B7189" w:rsidRDefault="00000000" w:rsidP="002B7189">
          <w:pPr>
            <w:pStyle w:val="TOC2"/>
            <w:rPr>
              <w:rFonts w:cstheme="minorBidi"/>
            </w:rPr>
          </w:pPr>
          <w:hyperlink w:anchor="_Toc6323614" w:history="1">
            <w:r w:rsidR="002B7189" w:rsidRPr="00FF0571">
              <w:rPr>
                <w:rStyle w:val="Hyperlink"/>
              </w:rPr>
              <w:t>Option 6: Pictorial approaches to convey the amount of sugars in a serving of food</w:t>
            </w:r>
            <w:r w:rsidR="002B7189">
              <w:rPr>
                <w:webHidden/>
              </w:rPr>
              <w:tab/>
            </w:r>
            <w:r w:rsidR="002B7189">
              <w:rPr>
                <w:webHidden/>
              </w:rPr>
              <w:fldChar w:fldCharType="begin"/>
            </w:r>
            <w:r w:rsidR="002B7189">
              <w:rPr>
                <w:webHidden/>
              </w:rPr>
              <w:instrText xml:space="preserve"> PAGEREF _Toc6323614 \h </w:instrText>
            </w:r>
            <w:r w:rsidR="002B7189">
              <w:rPr>
                <w:webHidden/>
              </w:rPr>
            </w:r>
            <w:r w:rsidR="002B7189">
              <w:rPr>
                <w:webHidden/>
              </w:rPr>
              <w:fldChar w:fldCharType="separate"/>
            </w:r>
            <w:r w:rsidR="008C718B">
              <w:rPr>
                <w:webHidden/>
              </w:rPr>
              <w:t>43</w:t>
            </w:r>
            <w:r w:rsidR="002B7189">
              <w:rPr>
                <w:webHidden/>
              </w:rPr>
              <w:fldChar w:fldCharType="end"/>
            </w:r>
          </w:hyperlink>
        </w:p>
        <w:p w14:paraId="6D5892A7" w14:textId="661954B9" w:rsidR="002B7189" w:rsidRDefault="00000000" w:rsidP="002B7189">
          <w:pPr>
            <w:pStyle w:val="TOC2"/>
            <w:rPr>
              <w:rFonts w:cstheme="minorBidi"/>
            </w:rPr>
          </w:pPr>
          <w:hyperlink w:anchor="_Toc6323615" w:history="1">
            <w:r w:rsidR="002B7189" w:rsidRPr="00FF0571">
              <w:rPr>
                <w:rStyle w:val="Hyperlink"/>
              </w:rPr>
              <w:t>Option 7: Digital linking to off label web-based information about added sugars content</w:t>
            </w:r>
            <w:r w:rsidR="002B7189">
              <w:rPr>
                <w:webHidden/>
              </w:rPr>
              <w:tab/>
            </w:r>
            <w:r w:rsidR="002B7189">
              <w:rPr>
                <w:webHidden/>
              </w:rPr>
              <w:fldChar w:fldCharType="begin"/>
            </w:r>
            <w:r w:rsidR="002B7189">
              <w:rPr>
                <w:webHidden/>
              </w:rPr>
              <w:instrText xml:space="preserve"> PAGEREF _Toc6323615 \h </w:instrText>
            </w:r>
            <w:r w:rsidR="002B7189">
              <w:rPr>
                <w:webHidden/>
              </w:rPr>
            </w:r>
            <w:r w:rsidR="002B7189">
              <w:rPr>
                <w:webHidden/>
              </w:rPr>
              <w:fldChar w:fldCharType="separate"/>
            </w:r>
            <w:r w:rsidR="008C718B">
              <w:rPr>
                <w:webHidden/>
              </w:rPr>
              <w:t>45</w:t>
            </w:r>
            <w:r w:rsidR="002B7189">
              <w:rPr>
                <w:webHidden/>
              </w:rPr>
              <w:fldChar w:fldCharType="end"/>
            </w:r>
          </w:hyperlink>
        </w:p>
        <w:p w14:paraId="79FF09F9" w14:textId="0B844AFF" w:rsidR="002B7189" w:rsidRDefault="00000000" w:rsidP="002B7189">
          <w:pPr>
            <w:pStyle w:val="TOC1"/>
            <w:rPr>
              <w:rFonts w:asciiTheme="minorHAnsi" w:hAnsiTheme="minorHAnsi" w:cstheme="minorBidi"/>
              <w:sz w:val="22"/>
            </w:rPr>
          </w:pPr>
          <w:hyperlink w:anchor="_Toc6323616" w:history="1">
            <w:r w:rsidR="002B7189" w:rsidRPr="00FF0571">
              <w:rPr>
                <w:rStyle w:val="Hyperlink"/>
              </w:rPr>
              <w:t>4</w:t>
            </w:r>
            <w:r w:rsidR="002B7189">
              <w:rPr>
                <w:rFonts w:asciiTheme="minorHAnsi" w:hAnsiTheme="minorHAnsi" w:cstheme="minorBidi"/>
                <w:sz w:val="22"/>
              </w:rPr>
              <w:tab/>
            </w:r>
            <w:r w:rsidR="002B7189" w:rsidRPr="00FF0571">
              <w:rPr>
                <w:rStyle w:val="Hyperlink"/>
              </w:rPr>
              <w:t>Consultation on the proposed options</w:t>
            </w:r>
            <w:r w:rsidR="002B7189">
              <w:rPr>
                <w:webHidden/>
              </w:rPr>
              <w:tab/>
            </w:r>
            <w:r w:rsidR="002B7189">
              <w:rPr>
                <w:webHidden/>
              </w:rPr>
              <w:fldChar w:fldCharType="begin"/>
            </w:r>
            <w:r w:rsidR="002B7189">
              <w:rPr>
                <w:webHidden/>
              </w:rPr>
              <w:instrText xml:space="preserve"> PAGEREF _Toc6323616 \h </w:instrText>
            </w:r>
            <w:r w:rsidR="002B7189">
              <w:rPr>
                <w:webHidden/>
              </w:rPr>
            </w:r>
            <w:r w:rsidR="002B7189">
              <w:rPr>
                <w:webHidden/>
              </w:rPr>
              <w:fldChar w:fldCharType="separate"/>
            </w:r>
            <w:r w:rsidR="008C718B">
              <w:rPr>
                <w:webHidden/>
              </w:rPr>
              <w:t>48</w:t>
            </w:r>
            <w:r w:rsidR="002B7189">
              <w:rPr>
                <w:webHidden/>
              </w:rPr>
              <w:fldChar w:fldCharType="end"/>
            </w:r>
          </w:hyperlink>
        </w:p>
        <w:p w14:paraId="482E98A8" w14:textId="755C56C2" w:rsidR="002B7189" w:rsidRDefault="00000000" w:rsidP="002B7189">
          <w:pPr>
            <w:pStyle w:val="TOC2"/>
            <w:rPr>
              <w:rFonts w:cstheme="minorBidi"/>
            </w:rPr>
          </w:pPr>
          <w:hyperlink w:anchor="_Toc6323617" w:history="1">
            <w:r w:rsidR="002B7189" w:rsidRPr="00FF0571">
              <w:rPr>
                <w:rStyle w:val="Hyperlink"/>
              </w:rPr>
              <w:t>4.1</w:t>
            </w:r>
            <w:r w:rsidR="002B7189">
              <w:rPr>
                <w:rStyle w:val="Hyperlink"/>
              </w:rPr>
              <w:t xml:space="preserve"> </w:t>
            </w:r>
            <w:r w:rsidR="002B7189" w:rsidRPr="00FF0571">
              <w:rPr>
                <w:rStyle w:val="Hyperlink"/>
              </w:rPr>
              <w:t>Consultation process</w:t>
            </w:r>
            <w:r w:rsidR="002B7189">
              <w:rPr>
                <w:webHidden/>
              </w:rPr>
              <w:tab/>
            </w:r>
            <w:r w:rsidR="002B7189">
              <w:rPr>
                <w:webHidden/>
              </w:rPr>
              <w:fldChar w:fldCharType="begin"/>
            </w:r>
            <w:r w:rsidR="002B7189">
              <w:rPr>
                <w:webHidden/>
              </w:rPr>
              <w:instrText xml:space="preserve"> PAGEREF _Toc6323617 \h </w:instrText>
            </w:r>
            <w:r w:rsidR="002B7189">
              <w:rPr>
                <w:webHidden/>
              </w:rPr>
            </w:r>
            <w:r w:rsidR="002B7189">
              <w:rPr>
                <w:webHidden/>
              </w:rPr>
              <w:fldChar w:fldCharType="separate"/>
            </w:r>
            <w:r w:rsidR="008C718B">
              <w:rPr>
                <w:webHidden/>
              </w:rPr>
              <w:t>48</w:t>
            </w:r>
            <w:r w:rsidR="002B7189">
              <w:rPr>
                <w:webHidden/>
              </w:rPr>
              <w:fldChar w:fldCharType="end"/>
            </w:r>
          </w:hyperlink>
        </w:p>
        <w:p w14:paraId="3EA340F8" w14:textId="319D8608" w:rsidR="002B7189" w:rsidRDefault="00000000" w:rsidP="002B7189">
          <w:pPr>
            <w:pStyle w:val="TOC2"/>
            <w:rPr>
              <w:rFonts w:cstheme="minorBidi"/>
            </w:rPr>
          </w:pPr>
          <w:hyperlink w:anchor="_Toc6323618" w:history="1">
            <w:r w:rsidR="002B7189" w:rsidRPr="00FF0571">
              <w:rPr>
                <w:rStyle w:val="Hyperlink"/>
              </w:rPr>
              <w:t>4.2</w:t>
            </w:r>
            <w:r w:rsidR="002B7189">
              <w:rPr>
                <w:rFonts w:cstheme="minorBidi"/>
              </w:rPr>
              <w:t xml:space="preserve"> </w:t>
            </w:r>
            <w:r w:rsidR="002B7189" w:rsidRPr="00FF0571">
              <w:rPr>
                <w:rStyle w:val="Hyperlink"/>
              </w:rPr>
              <w:t>Overall consultation themes</w:t>
            </w:r>
            <w:r w:rsidR="002B7189">
              <w:rPr>
                <w:webHidden/>
              </w:rPr>
              <w:tab/>
            </w:r>
            <w:r w:rsidR="002B7189">
              <w:rPr>
                <w:webHidden/>
              </w:rPr>
              <w:fldChar w:fldCharType="begin"/>
            </w:r>
            <w:r w:rsidR="002B7189">
              <w:rPr>
                <w:webHidden/>
              </w:rPr>
              <w:instrText xml:space="preserve"> PAGEREF _Toc6323618 \h </w:instrText>
            </w:r>
            <w:r w:rsidR="002B7189">
              <w:rPr>
                <w:webHidden/>
              </w:rPr>
            </w:r>
            <w:r w:rsidR="002B7189">
              <w:rPr>
                <w:webHidden/>
              </w:rPr>
              <w:fldChar w:fldCharType="separate"/>
            </w:r>
            <w:r w:rsidR="008C718B">
              <w:rPr>
                <w:webHidden/>
              </w:rPr>
              <w:t>48</w:t>
            </w:r>
            <w:r w:rsidR="002B7189">
              <w:rPr>
                <w:webHidden/>
              </w:rPr>
              <w:fldChar w:fldCharType="end"/>
            </w:r>
          </w:hyperlink>
        </w:p>
        <w:p w14:paraId="18003F11" w14:textId="3BEDADFF" w:rsidR="002B7189" w:rsidRDefault="00000000" w:rsidP="002B7189">
          <w:pPr>
            <w:pStyle w:val="TOC2"/>
            <w:rPr>
              <w:rFonts w:cstheme="minorBidi"/>
            </w:rPr>
          </w:pPr>
          <w:hyperlink w:anchor="_Toc6323619" w:history="1">
            <w:r w:rsidR="002B7189" w:rsidRPr="00FF0571">
              <w:rPr>
                <w:rStyle w:val="Hyperlink"/>
              </w:rPr>
              <w:t>4.3</w:t>
            </w:r>
            <w:r w:rsidR="002B7189">
              <w:rPr>
                <w:rFonts w:cstheme="minorBidi"/>
              </w:rPr>
              <w:t xml:space="preserve"> </w:t>
            </w:r>
            <w:r w:rsidR="002B7189" w:rsidRPr="00FF0571">
              <w:rPr>
                <w:rStyle w:val="Hyperlink"/>
              </w:rPr>
              <w:t>Other options</w:t>
            </w:r>
            <w:r w:rsidR="002B7189">
              <w:rPr>
                <w:webHidden/>
              </w:rPr>
              <w:tab/>
            </w:r>
            <w:r w:rsidR="002B7189">
              <w:rPr>
                <w:webHidden/>
              </w:rPr>
              <w:fldChar w:fldCharType="begin"/>
            </w:r>
            <w:r w:rsidR="002B7189">
              <w:rPr>
                <w:webHidden/>
              </w:rPr>
              <w:instrText xml:space="preserve"> PAGEREF _Toc6323619 \h </w:instrText>
            </w:r>
            <w:r w:rsidR="002B7189">
              <w:rPr>
                <w:webHidden/>
              </w:rPr>
            </w:r>
            <w:r w:rsidR="002B7189">
              <w:rPr>
                <w:webHidden/>
              </w:rPr>
              <w:fldChar w:fldCharType="separate"/>
            </w:r>
            <w:r w:rsidR="008C718B">
              <w:rPr>
                <w:webHidden/>
              </w:rPr>
              <w:t>51</w:t>
            </w:r>
            <w:r w:rsidR="002B7189">
              <w:rPr>
                <w:webHidden/>
              </w:rPr>
              <w:fldChar w:fldCharType="end"/>
            </w:r>
          </w:hyperlink>
        </w:p>
        <w:p w14:paraId="5C8021E7" w14:textId="28622D04" w:rsidR="002B7189" w:rsidRDefault="00000000" w:rsidP="002B7189">
          <w:pPr>
            <w:pStyle w:val="TOC1"/>
            <w:rPr>
              <w:rFonts w:asciiTheme="minorHAnsi" w:hAnsiTheme="minorHAnsi" w:cstheme="minorBidi"/>
              <w:sz w:val="22"/>
            </w:rPr>
          </w:pPr>
          <w:hyperlink w:anchor="_Toc6323620" w:history="1">
            <w:r w:rsidR="002B7189" w:rsidRPr="00FF0571">
              <w:rPr>
                <w:rStyle w:val="Hyperlink"/>
              </w:rPr>
              <w:t>5</w:t>
            </w:r>
            <w:r w:rsidR="002B7189">
              <w:rPr>
                <w:rFonts w:asciiTheme="minorHAnsi" w:hAnsiTheme="minorHAnsi" w:cstheme="minorBidi"/>
                <w:sz w:val="22"/>
              </w:rPr>
              <w:tab/>
            </w:r>
            <w:r w:rsidR="002B7189" w:rsidRPr="00FF0571">
              <w:rPr>
                <w:rStyle w:val="Hyperlink"/>
              </w:rPr>
              <w:t>Assessment of the options</w:t>
            </w:r>
            <w:r w:rsidR="002B7189">
              <w:rPr>
                <w:webHidden/>
              </w:rPr>
              <w:tab/>
            </w:r>
            <w:r w:rsidR="002B7189">
              <w:rPr>
                <w:webHidden/>
              </w:rPr>
              <w:fldChar w:fldCharType="begin"/>
            </w:r>
            <w:r w:rsidR="002B7189">
              <w:rPr>
                <w:webHidden/>
              </w:rPr>
              <w:instrText xml:space="preserve"> PAGEREF _Toc6323620 \h </w:instrText>
            </w:r>
            <w:r w:rsidR="002B7189">
              <w:rPr>
                <w:webHidden/>
              </w:rPr>
            </w:r>
            <w:r w:rsidR="002B7189">
              <w:rPr>
                <w:webHidden/>
              </w:rPr>
              <w:fldChar w:fldCharType="separate"/>
            </w:r>
            <w:r w:rsidR="008C718B">
              <w:rPr>
                <w:webHidden/>
              </w:rPr>
              <w:t>52</w:t>
            </w:r>
            <w:r w:rsidR="002B7189">
              <w:rPr>
                <w:webHidden/>
              </w:rPr>
              <w:fldChar w:fldCharType="end"/>
            </w:r>
          </w:hyperlink>
        </w:p>
        <w:p w14:paraId="3AA173A2" w14:textId="30A05353" w:rsidR="002B7189" w:rsidRDefault="00000000" w:rsidP="002B7189">
          <w:pPr>
            <w:pStyle w:val="TOC2"/>
            <w:rPr>
              <w:rFonts w:cstheme="minorBidi"/>
            </w:rPr>
          </w:pPr>
          <w:hyperlink w:anchor="_Toc6323621" w:history="1">
            <w:r w:rsidR="002B7189" w:rsidRPr="00FF0571">
              <w:rPr>
                <w:rStyle w:val="Hyperlink"/>
              </w:rPr>
              <w:t>5.1</w:t>
            </w:r>
            <w:r w:rsidR="002B7189">
              <w:rPr>
                <w:rFonts w:cstheme="minorBidi"/>
              </w:rPr>
              <w:t xml:space="preserve"> </w:t>
            </w:r>
            <w:r w:rsidR="002B7189" w:rsidRPr="00FF0571">
              <w:rPr>
                <w:rStyle w:val="Hyperlink"/>
              </w:rPr>
              <w:t>Assessment of the options against the desired outcome</w:t>
            </w:r>
            <w:r w:rsidR="002B7189">
              <w:rPr>
                <w:webHidden/>
              </w:rPr>
              <w:tab/>
            </w:r>
            <w:r w:rsidR="002B7189">
              <w:rPr>
                <w:webHidden/>
              </w:rPr>
              <w:fldChar w:fldCharType="begin"/>
            </w:r>
            <w:r w:rsidR="002B7189">
              <w:rPr>
                <w:webHidden/>
              </w:rPr>
              <w:instrText xml:space="preserve"> PAGEREF _Toc6323621 \h </w:instrText>
            </w:r>
            <w:r w:rsidR="002B7189">
              <w:rPr>
                <w:webHidden/>
              </w:rPr>
            </w:r>
            <w:r w:rsidR="002B7189">
              <w:rPr>
                <w:webHidden/>
              </w:rPr>
              <w:fldChar w:fldCharType="separate"/>
            </w:r>
            <w:r w:rsidR="008C718B">
              <w:rPr>
                <w:webHidden/>
              </w:rPr>
              <w:t>52</w:t>
            </w:r>
            <w:r w:rsidR="002B7189">
              <w:rPr>
                <w:webHidden/>
              </w:rPr>
              <w:fldChar w:fldCharType="end"/>
            </w:r>
          </w:hyperlink>
        </w:p>
        <w:p w14:paraId="5EDDEA16" w14:textId="2C3573E3" w:rsidR="002B7189" w:rsidRDefault="00000000" w:rsidP="002B7189">
          <w:pPr>
            <w:pStyle w:val="TOC1"/>
            <w:rPr>
              <w:rFonts w:asciiTheme="minorHAnsi" w:hAnsiTheme="minorHAnsi" w:cstheme="minorBidi"/>
              <w:sz w:val="22"/>
            </w:rPr>
          </w:pPr>
          <w:hyperlink w:anchor="_Toc6323622" w:history="1">
            <w:r w:rsidR="002B7189" w:rsidRPr="00FF0571">
              <w:rPr>
                <w:rStyle w:val="Hyperlink"/>
              </w:rPr>
              <w:t>6</w:t>
            </w:r>
            <w:r w:rsidR="002B7189">
              <w:rPr>
                <w:rFonts w:asciiTheme="minorHAnsi" w:hAnsiTheme="minorHAnsi" w:cstheme="minorBidi"/>
                <w:sz w:val="22"/>
              </w:rPr>
              <w:tab/>
            </w:r>
            <w:r w:rsidR="002B7189" w:rsidRPr="00FF0571">
              <w:rPr>
                <w:rStyle w:val="Hyperlink"/>
              </w:rPr>
              <w:t>Benefits and impact analysis</w:t>
            </w:r>
            <w:r w:rsidR="002B7189">
              <w:rPr>
                <w:webHidden/>
              </w:rPr>
              <w:tab/>
            </w:r>
            <w:r w:rsidR="002B7189">
              <w:rPr>
                <w:webHidden/>
              </w:rPr>
              <w:fldChar w:fldCharType="begin"/>
            </w:r>
            <w:r w:rsidR="002B7189">
              <w:rPr>
                <w:webHidden/>
              </w:rPr>
              <w:instrText xml:space="preserve"> PAGEREF _Toc6323622 \h </w:instrText>
            </w:r>
            <w:r w:rsidR="002B7189">
              <w:rPr>
                <w:webHidden/>
              </w:rPr>
            </w:r>
            <w:r w:rsidR="002B7189">
              <w:rPr>
                <w:webHidden/>
              </w:rPr>
              <w:fldChar w:fldCharType="separate"/>
            </w:r>
            <w:r w:rsidR="008C718B">
              <w:rPr>
                <w:webHidden/>
              </w:rPr>
              <w:t>58</w:t>
            </w:r>
            <w:r w:rsidR="002B7189">
              <w:rPr>
                <w:webHidden/>
              </w:rPr>
              <w:fldChar w:fldCharType="end"/>
            </w:r>
          </w:hyperlink>
        </w:p>
        <w:p w14:paraId="026A3ED7" w14:textId="66A42D84" w:rsidR="002B7189" w:rsidRDefault="00000000" w:rsidP="002B7189">
          <w:pPr>
            <w:pStyle w:val="TOC2"/>
            <w:rPr>
              <w:rFonts w:cstheme="minorBidi"/>
            </w:rPr>
          </w:pPr>
          <w:hyperlink w:anchor="_Toc6323623" w:history="1">
            <w:r w:rsidR="002B7189" w:rsidRPr="00FF0571">
              <w:rPr>
                <w:rStyle w:val="Hyperlink"/>
              </w:rPr>
              <w:t>6.1</w:t>
            </w:r>
            <w:r w:rsidR="002B7189">
              <w:rPr>
                <w:rFonts w:cstheme="minorBidi"/>
              </w:rPr>
              <w:t xml:space="preserve"> </w:t>
            </w:r>
            <w:r w:rsidR="002B7189" w:rsidRPr="00FF0571">
              <w:rPr>
                <w:rStyle w:val="Hyperlink"/>
              </w:rPr>
              <w:t>Benefits</w:t>
            </w:r>
            <w:r w:rsidR="002B7189">
              <w:rPr>
                <w:webHidden/>
              </w:rPr>
              <w:tab/>
            </w:r>
            <w:r w:rsidR="002B7189">
              <w:rPr>
                <w:webHidden/>
              </w:rPr>
              <w:fldChar w:fldCharType="begin"/>
            </w:r>
            <w:r w:rsidR="002B7189">
              <w:rPr>
                <w:webHidden/>
              </w:rPr>
              <w:instrText xml:space="preserve"> PAGEREF _Toc6323623 \h </w:instrText>
            </w:r>
            <w:r w:rsidR="002B7189">
              <w:rPr>
                <w:webHidden/>
              </w:rPr>
            </w:r>
            <w:r w:rsidR="002B7189">
              <w:rPr>
                <w:webHidden/>
              </w:rPr>
              <w:fldChar w:fldCharType="separate"/>
            </w:r>
            <w:r w:rsidR="008C718B">
              <w:rPr>
                <w:webHidden/>
              </w:rPr>
              <w:t>58</w:t>
            </w:r>
            <w:r w:rsidR="002B7189">
              <w:rPr>
                <w:webHidden/>
              </w:rPr>
              <w:fldChar w:fldCharType="end"/>
            </w:r>
          </w:hyperlink>
        </w:p>
        <w:p w14:paraId="40F96059" w14:textId="32DA2C8F" w:rsidR="002B7189" w:rsidRDefault="00000000" w:rsidP="002B7189">
          <w:pPr>
            <w:pStyle w:val="TOC2"/>
            <w:rPr>
              <w:rFonts w:cstheme="minorBidi"/>
            </w:rPr>
          </w:pPr>
          <w:hyperlink w:anchor="_Toc6323624" w:history="1">
            <w:r w:rsidR="002B7189" w:rsidRPr="00FF0571">
              <w:rPr>
                <w:rStyle w:val="Hyperlink"/>
              </w:rPr>
              <w:t>6.2</w:t>
            </w:r>
            <w:r w:rsidR="002B7189">
              <w:rPr>
                <w:rFonts w:cstheme="minorBidi"/>
              </w:rPr>
              <w:t xml:space="preserve"> </w:t>
            </w:r>
            <w:r w:rsidR="002B7189" w:rsidRPr="00FF0571">
              <w:rPr>
                <w:rStyle w:val="Hyperlink"/>
              </w:rPr>
              <w:t>Impacts</w:t>
            </w:r>
            <w:r w:rsidR="002B7189">
              <w:rPr>
                <w:webHidden/>
              </w:rPr>
              <w:tab/>
            </w:r>
            <w:r w:rsidR="002B7189">
              <w:rPr>
                <w:webHidden/>
              </w:rPr>
              <w:fldChar w:fldCharType="begin"/>
            </w:r>
            <w:r w:rsidR="002B7189">
              <w:rPr>
                <w:webHidden/>
              </w:rPr>
              <w:instrText xml:space="preserve"> PAGEREF _Toc6323624 \h </w:instrText>
            </w:r>
            <w:r w:rsidR="002B7189">
              <w:rPr>
                <w:webHidden/>
              </w:rPr>
            </w:r>
            <w:r w:rsidR="002B7189">
              <w:rPr>
                <w:webHidden/>
              </w:rPr>
              <w:fldChar w:fldCharType="separate"/>
            </w:r>
            <w:r w:rsidR="008C718B">
              <w:rPr>
                <w:webHidden/>
              </w:rPr>
              <w:t>61</w:t>
            </w:r>
            <w:r w:rsidR="002B7189">
              <w:rPr>
                <w:webHidden/>
              </w:rPr>
              <w:fldChar w:fldCharType="end"/>
            </w:r>
          </w:hyperlink>
        </w:p>
        <w:p w14:paraId="39F2108C" w14:textId="5DC9B265" w:rsidR="002B7189" w:rsidRDefault="00000000" w:rsidP="002B7189">
          <w:pPr>
            <w:pStyle w:val="TOC2"/>
            <w:rPr>
              <w:rFonts w:cstheme="minorBidi"/>
            </w:rPr>
          </w:pPr>
          <w:hyperlink w:anchor="_Toc6323625" w:history="1">
            <w:r w:rsidR="002B7189" w:rsidRPr="00FF0571">
              <w:rPr>
                <w:rStyle w:val="Hyperlink"/>
                <w:rFonts w:eastAsia="Calibri" w:cstheme="minorHAnsi"/>
                <w:lang w:eastAsia="en-GB"/>
              </w:rPr>
              <w:t>6.3</w:t>
            </w:r>
            <w:r w:rsidR="002B7189">
              <w:rPr>
                <w:rFonts w:cstheme="minorBidi"/>
              </w:rPr>
              <w:t xml:space="preserve"> </w:t>
            </w:r>
            <w:r w:rsidR="002B7189" w:rsidRPr="00FF0571">
              <w:rPr>
                <w:rStyle w:val="Hyperlink"/>
                <w:rFonts w:eastAsia="Calibri"/>
                <w:lang w:eastAsia="en-GB"/>
              </w:rPr>
              <w:t>Food products for which the feasible options would apply</w:t>
            </w:r>
            <w:r w:rsidR="002B7189">
              <w:rPr>
                <w:webHidden/>
              </w:rPr>
              <w:tab/>
            </w:r>
            <w:r w:rsidR="002B7189">
              <w:rPr>
                <w:webHidden/>
              </w:rPr>
              <w:fldChar w:fldCharType="begin"/>
            </w:r>
            <w:r w:rsidR="002B7189">
              <w:rPr>
                <w:webHidden/>
              </w:rPr>
              <w:instrText xml:space="preserve"> PAGEREF _Toc6323625 \h </w:instrText>
            </w:r>
            <w:r w:rsidR="002B7189">
              <w:rPr>
                <w:webHidden/>
              </w:rPr>
            </w:r>
            <w:r w:rsidR="002B7189">
              <w:rPr>
                <w:webHidden/>
              </w:rPr>
              <w:fldChar w:fldCharType="separate"/>
            </w:r>
            <w:r w:rsidR="008C718B">
              <w:rPr>
                <w:webHidden/>
              </w:rPr>
              <w:t>64</w:t>
            </w:r>
            <w:r w:rsidR="002B7189">
              <w:rPr>
                <w:webHidden/>
              </w:rPr>
              <w:fldChar w:fldCharType="end"/>
            </w:r>
          </w:hyperlink>
        </w:p>
        <w:p w14:paraId="1671B004" w14:textId="767D3570" w:rsidR="002B7189" w:rsidRDefault="00000000" w:rsidP="002B7189">
          <w:pPr>
            <w:pStyle w:val="TOC2"/>
            <w:rPr>
              <w:rFonts w:cstheme="minorBidi"/>
            </w:rPr>
          </w:pPr>
          <w:hyperlink w:anchor="_Toc6323626" w:history="1">
            <w:r w:rsidR="002B7189" w:rsidRPr="00FF0571">
              <w:rPr>
                <w:rStyle w:val="Hyperlink"/>
                <w:rFonts w:eastAsia="Calibri"/>
                <w:lang w:eastAsia="en-GB"/>
              </w:rPr>
              <w:t>6.4</w:t>
            </w:r>
            <w:r w:rsidR="002B7189">
              <w:rPr>
                <w:rFonts w:cstheme="minorBidi"/>
              </w:rPr>
              <w:t xml:space="preserve"> </w:t>
            </w:r>
            <w:r w:rsidR="002B7189" w:rsidRPr="00FF0571">
              <w:rPr>
                <w:rStyle w:val="Hyperlink"/>
                <w:rFonts w:eastAsia="Calibri"/>
                <w:lang w:eastAsia="en-GB"/>
              </w:rPr>
              <w:t>Combinations of the feasible options</w:t>
            </w:r>
            <w:r w:rsidR="002B7189">
              <w:rPr>
                <w:webHidden/>
              </w:rPr>
              <w:tab/>
            </w:r>
            <w:r w:rsidR="002B7189">
              <w:rPr>
                <w:webHidden/>
              </w:rPr>
              <w:fldChar w:fldCharType="begin"/>
            </w:r>
            <w:r w:rsidR="002B7189">
              <w:rPr>
                <w:webHidden/>
              </w:rPr>
              <w:instrText xml:space="preserve"> PAGEREF _Toc6323626 \h </w:instrText>
            </w:r>
            <w:r w:rsidR="002B7189">
              <w:rPr>
                <w:webHidden/>
              </w:rPr>
            </w:r>
            <w:r w:rsidR="002B7189">
              <w:rPr>
                <w:webHidden/>
              </w:rPr>
              <w:fldChar w:fldCharType="separate"/>
            </w:r>
            <w:r w:rsidR="008C718B">
              <w:rPr>
                <w:webHidden/>
              </w:rPr>
              <w:t>66</w:t>
            </w:r>
            <w:r w:rsidR="002B7189">
              <w:rPr>
                <w:webHidden/>
              </w:rPr>
              <w:fldChar w:fldCharType="end"/>
            </w:r>
          </w:hyperlink>
        </w:p>
        <w:p w14:paraId="227A452C" w14:textId="6037EE94" w:rsidR="002B7189" w:rsidRDefault="00000000" w:rsidP="002B7189">
          <w:pPr>
            <w:pStyle w:val="TOC1"/>
            <w:rPr>
              <w:rFonts w:asciiTheme="minorHAnsi" w:hAnsiTheme="minorHAnsi" w:cstheme="minorBidi"/>
              <w:sz w:val="22"/>
            </w:rPr>
          </w:pPr>
          <w:hyperlink w:anchor="_Toc6323627" w:history="1">
            <w:r w:rsidR="002B7189" w:rsidRPr="00FF0571">
              <w:rPr>
                <w:rStyle w:val="Hyperlink"/>
              </w:rPr>
              <w:t>7</w:t>
            </w:r>
            <w:r w:rsidR="002B7189">
              <w:rPr>
                <w:rFonts w:asciiTheme="minorHAnsi" w:hAnsiTheme="minorHAnsi" w:cstheme="minorBidi"/>
                <w:sz w:val="22"/>
              </w:rPr>
              <w:tab/>
            </w:r>
            <w:r w:rsidR="002B7189" w:rsidRPr="00FF0571">
              <w:rPr>
                <w:rStyle w:val="Hyperlink"/>
              </w:rPr>
              <w:t>Evaluation and conclusion</w:t>
            </w:r>
            <w:r w:rsidR="002B7189">
              <w:rPr>
                <w:webHidden/>
              </w:rPr>
              <w:tab/>
            </w:r>
            <w:r w:rsidR="002B7189">
              <w:rPr>
                <w:webHidden/>
              </w:rPr>
              <w:fldChar w:fldCharType="begin"/>
            </w:r>
            <w:r w:rsidR="002B7189">
              <w:rPr>
                <w:webHidden/>
              </w:rPr>
              <w:instrText xml:space="preserve"> PAGEREF _Toc6323627 \h </w:instrText>
            </w:r>
            <w:r w:rsidR="002B7189">
              <w:rPr>
                <w:webHidden/>
              </w:rPr>
            </w:r>
            <w:r w:rsidR="002B7189">
              <w:rPr>
                <w:webHidden/>
              </w:rPr>
              <w:fldChar w:fldCharType="separate"/>
            </w:r>
            <w:r w:rsidR="008C718B">
              <w:rPr>
                <w:webHidden/>
              </w:rPr>
              <w:t>67</w:t>
            </w:r>
            <w:r w:rsidR="002B7189">
              <w:rPr>
                <w:webHidden/>
              </w:rPr>
              <w:fldChar w:fldCharType="end"/>
            </w:r>
          </w:hyperlink>
        </w:p>
        <w:p w14:paraId="47BC79E8" w14:textId="15B4F062" w:rsidR="002B7189" w:rsidRDefault="00000000" w:rsidP="002B7189">
          <w:pPr>
            <w:pStyle w:val="TOC2"/>
            <w:rPr>
              <w:rFonts w:cstheme="minorBidi"/>
            </w:rPr>
          </w:pPr>
          <w:hyperlink w:anchor="_Toc6323628" w:history="1">
            <w:r w:rsidR="002B7189" w:rsidRPr="00FF0571">
              <w:rPr>
                <w:rStyle w:val="Hyperlink"/>
              </w:rPr>
              <w:t>7.1</w:t>
            </w:r>
            <w:r w:rsidR="002B7189">
              <w:rPr>
                <w:rFonts w:cstheme="minorBidi"/>
              </w:rPr>
              <w:t xml:space="preserve"> </w:t>
            </w:r>
            <w:r w:rsidR="002B7189" w:rsidRPr="00FF0571">
              <w:rPr>
                <w:rStyle w:val="Hyperlink"/>
              </w:rPr>
              <w:t>Net benefit</w:t>
            </w:r>
            <w:r w:rsidR="002B7189">
              <w:rPr>
                <w:webHidden/>
              </w:rPr>
              <w:tab/>
            </w:r>
            <w:r w:rsidR="002B7189">
              <w:rPr>
                <w:webHidden/>
              </w:rPr>
              <w:fldChar w:fldCharType="begin"/>
            </w:r>
            <w:r w:rsidR="002B7189">
              <w:rPr>
                <w:webHidden/>
              </w:rPr>
              <w:instrText xml:space="preserve"> PAGEREF _Toc6323628 \h </w:instrText>
            </w:r>
            <w:r w:rsidR="002B7189">
              <w:rPr>
                <w:webHidden/>
              </w:rPr>
            </w:r>
            <w:r w:rsidR="002B7189">
              <w:rPr>
                <w:webHidden/>
              </w:rPr>
              <w:fldChar w:fldCharType="separate"/>
            </w:r>
            <w:r w:rsidR="008C718B">
              <w:rPr>
                <w:webHidden/>
              </w:rPr>
              <w:t>67</w:t>
            </w:r>
            <w:r w:rsidR="002B7189">
              <w:rPr>
                <w:webHidden/>
              </w:rPr>
              <w:fldChar w:fldCharType="end"/>
            </w:r>
          </w:hyperlink>
        </w:p>
        <w:p w14:paraId="249D99B7" w14:textId="38567103" w:rsidR="002B7189" w:rsidRDefault="00000000" w:rsidP="002B7189">
          <w:pPr>
            <w:pStyle w:val="TOC2"/>
            <w:rPr>
              <w:rFonts w:cstheme="minorBidi"/>
            </w:rPr>
          </w:pPr>
          <w:hyperlink w:anchor="_Toc6323629" w:history="1">
            <w:r w:rsidR="002B7189" w:rsidRPr="00FF0571">
              <w:rPr>
                <w:rStyle w:val="Hyperlink"/>
              </w:rPr>
              <w:t>7.2</w:t>
            </w:r>
            <w:r w:rsidR="002B7189">
              <w:rPr>
                <w:rFonts w:cstheme="minorBidi"/>
              </w:rPr>
              <w:t xml:space="preserve"> </w:t>
            </w:r>
            <w:r w:rsidR="002B7189" w:rsidRPr="00FF0571">
              <w:rPr>
                <w:rStyle w:val="Hyperlink"/>
              </w:rPr>
              <w:t>Option with greatest potential</w:t>
            </w:r>
            <w:r w:rsidR="002B7189">
              <w:rPr>
                <w:webHidden/>
              </w:rPr>
              <w:tab/>
            </w:r>
            <w:r w:rsidR="002B7189">
              <w:rPr>
                <w:webHidden/>
              </w:rPr>
              <w:fldChar w:fldCharType="begin"/>
            </w:r>
            <w:r w:rsidR="002B7189">
              <w:rPr>
                <w:webHidden/>
              </w:rPr>
              <w:instrText xml:space="preserve"> PAGEREF _Toc6323629 \h </w:instrText>
            </w:r>
            <w:r w:rsidR="002B7189">
              <w:rPr>
                <w:webHidden/>
              </w:rPr>
            </w:r>
            <w:r w:rsidR="002B7189">
              <w:rPr>
                <w:webHidden/>
              </w:rPr>
              <w:fldChar w:fldCharType="separate"/>
            </w:r>
            <w:r w:rsidR="008C718B">
              <w:rPr>
                <w:webHidden/>
              </w:rPr>
              <w:t>68</w:t>
            </w:r>
            <w:r w:rsidR="002B7189">
              <w:rPr>
                <w:webHidden/>
              </w:rPr>
              <w:fldChar w:fldCharType="end"/>
            </w:r>
          </w:hyperlink>
        </w:p>
        <w:p w14:paraId="4D1ED28D" w14:textId="429C0806" w:rsidR="002B7189" w:rsidRDefault="00000000" w:rsidP="002B7189">
          <w:pPr>
            <w:pStyle w:val="TOC1"/>
            <w:rPr>
              <w:rFonts w:asciiTheme="minorHAnsi" w:hAnsiTheme="minorHAnsi" w:cstheme="minorBidi"/>
              <w:sz w:val="22"/>
            </w:rPr>
          </w:pPr>
          <w:hyperlink w:anchor="_Toc6323630" w:history="1">
            <w:r w:rsidR="002B7189" w:rsidRPr="00FF0571">
              <w:rPr>
                <w:rStyle w:val="Hyperlink"/>
              </w:rPr>
              <w:t>8</w:t>
            </w:r>
            <w:r w:rsidR="002B7189">
              <w:rPr>
                <w:rFonts w:asciiTheme="minorHAnsi" w:hAnsiTheme="minorHAnsi" w:cstheme="minorBidi"/>
                <w:sz w:val="22"/>
              </w:rPr>
              <w:tab/>
            </w:r>
            <w:r w:rsidR="002B7189" w:rsidRPr="00FF0571">
              <w:rPr>
                <w:rStyle w:val="Hyperlink"/>
              </w:rPr>
              <w:t>Implementation and next steps</w:t>
            </w:r>
            <w:r w:rsidR="002B7189">
              <w:rPr>
                <w:webHidden/>
              </w:rPr>
              <w:tab/>
            </w:r>
            <w:r w:rsidR="002B7189">
              <w:rPr>
                <w:webHidden/>
              </w:rPr>
              <w:fldChar w:fldCharType="begin"/>
            </w:r>
            <w:r w:rsidR="002B7189">
              <w:rPr>
                <w:webHidden/>
              </w:rPr>
              <w:instrText xml:space="preserve"> PAGEREF _Toc6323630 \h </w:instrText>
            </w:r>
            <w:r w:rsidR="002B7189">
              <w:rPr>
                <w:webHidden/>
              </w:rPr>
            </w:r>
            <w:r w:rsidR="002B7189">
              <w:rPr>
                <w:webHidden/>
              </w:rPr>
              <w:fldChar w:fldCharType="separate"/>
            </w:r>
            <w:r w:rsidR="008C718B">
              <w:rPr>
                <w:webHidden/>
              </w:rPr>
              <w:t>69</w:t>
            </w:r>
            <w:r w:rsidR="002B7189">
              <w:rPr>
                <w:webHidden/>
              </w:rPr>
              <w:fldChar w:fldCharType="end"/>
            </w:r>
          </w:hyperlink>
        </w:p>
        <w:p w14:paraId="32805998" w14:textId="6FF9795B" w:rsidR="002B7189" w:rsidRDefault="00000000" w:rsidP="002B7189">
          <w:pPr>
            <w:pStyle w:val="TOC2"/>
            <w:rPr>
              <w:rFonts w:cstheme="minorBidi"/>
            </w:rPr>
          </w:pPr>
          <w:hyperlink w:anchor="_Toc6323631" w:history="1">
            <w:r w:rsidR="002B7189" w:rsidRPr="00FF0571">
              <w:rPr>
                <w:rStyle w:val="Hyperlink"/>
              </w:rPr>
              <w:t>8.1</w:t>
            </w:r>
            <w:r w:rsidR="006C1D19">
              <w:rPr>
                <w:rStyle w:val="Hyperlink"/>
              </w:rPr>
              <w:t xml:space="preserve"> </w:t>
            </w:r>
            <w:r w:rsidR="002B7189" w:rsidRPr="00FF0571">
              <w:rPr>
                <w:rStyle w:val="Hyperlink"/>
              </w:rPr>
              <w:t>Implementation</w:t>
            </w:r>
            <w:r w:rsidR="002B7189">
              <w:rPr>
                <w:webHidden/>
              </w:rPr>
              <w:tab/>
            </w:r>
            <w:r w:rsidR="002B7189">
              <w:rPr>
                <w:webHidden/>
              </w:rPr>
              <w:fldChar w:fldCharType="begin"/>
            </w:r>
            <w:r w:rsidR="002B7189">
              <w:rPr>
                <w:webHidden/>
              </w:rPr>
              <w:instrText xml:space="preserve"> PAGEREF _Toc6323631 \h </w:instrText>
            </w:r>
            <w:r w:rsidR="002B7189">
              <w:rPr>
                <w:webHidden/>
              </w:rPr>
            </w:r>
            <w:r w:rsidR="002B7189">
              <w:rPr>
                <w:webHidden/>
              </w:rPr>
              <w:fldChar w:fldCharType="separate"/>
            </w:r>
            <w:r w:rsidR="008C718B">
              <w:rPr>
                <w:webHidden/>
              </w:rPr>
              <w:t>69</w:t>
            </w:r>
            <w:r w:rsidR="002B7189">
              <w:rPr>
                <w:webHidden/>
              </w:rPr>
              <w:fldChar w:fldCharType="end"/>
            </w:r>
          </w:hyperlink>
        </w:p>
        <w:p w14:paraId="00F9E50E" w14:textId="477E9BD9" w:rsidR="002B7189" w:rsidRDefault="00000000" w:rsidP="002B7189">
          <w:pPr>
            <w:pStyle w:val="TOC1"/>
            <w:rPr>
              <w:rFonts w:asciiTheme="minorHAnsi" w:hAnsiTheme="minorHAnsi" w:cstheme="minorBidi"/>
              <w:sz w:val="22"/>
            </w:rPr>
          </w:pPr>
          <w:hyperlink w:anchor="_Toc6323632" w:history="1">
            <w:r w:rsidR="002B7189" w:rsidRPr="00FF0571">
              <w:rPr>
                <w:rStyle w:val="Hyperlink"/>
              </w:rPr>
              <w:t>Attachment A – Added sugars intakes in Australia and New Zealand</w:t>
            </w:r>
            <w:r w:rsidR="002B7189">
              <w:rPr>
                <w:webHidden/>
              </w:rPr>
              <w:tab/>
            </w:r>
            <w:r w:rsidR="002B7189">
              <w:rPr>
                <w:webHidden/>
              </w:rPr>
              <w:fldChar w:fldCharType="begin"/>
            </w:r>
            <w:r w:rsidR="002B7189">
              <w:rPr>
                <w:webHidden/>
              </w:rPr>
              <w:instrText xml:space="preserve"> PAGEREF _Toc6323632 \h </w:instrText>
            </w:r>
            <w:r w:rsidR="002B7189">
              <w:rPr>
                <w:webHidden/>
              </w:rPr>
            </w:r>
            <w:r w:rsidR="002B7189">
              <w:rPr>
                <w:webHidden/>
              </w:rPr>
              <w:fldChar w:fldCharType="separate"/>
            </w:r>
            <w:r w:rsidR="008C718B">
              <w:rPr>
                <w:webHidden/>
              </w:rPr>
              <w:t>71</w:t>
            </w:r>
            <w:r w:rsidR="002B7189">
              <w:rPr>
                <w:webHidden/>
              </w:rPr>
              <w:fldChar w:fldCharType="end"/>
            </w:r>
          </w:hyperlink>
        </w:p>
        <w:p w14:paraId="4F365F48" w14:textId="74362AA1" w:rsidR="002B7189" w:rsidRDefault="00000000" w:rsidP="002B7189">
          <w:pPr>
            <w:pStyle w:val="TOC1"/>
            <w:rPr>
              <w:rFonts w:asciiTheme="minorHAnsi" w:hAnsiTheme="minorHAnsi" w:cstheme="minorBidi"/>
              <w:sz w:val="22"/>
            </w:rPr>
          </w:pPr>
          <w:hyperlink w:anchor="_Toc6323637" w:history="1">
            <w:r w:rsidR="002B7189" w:rsidRPr="00FF0571">
              <w:rPr>
                <w:rStyle w:val="Hyperlink"/>
              </w:rPr>
              <w:t>Attachment B – Australia and New Zealand preventive health</w:t>
            </w:r>
            <w:r w:rsidR="006C1D19">
              <w:rPr>
                <w:rStyle w:val="Hyperlink"/>
              </w:rPr>
              <w:t xml:space="preserve"> initiatives relating to sugars</w:t>
            </w:r>
            <w:r w:rsidR="002B7189">
              <w:rPr>
                <w:webHidden/>
              </w:rPr>
              <w:tab/>
            </w:r>
            <w:r w:rsidR="002B7189">
              <w:rPr>
                <w:webHidden/>
              </w:rPr>
              <w:fldChar w:fldCharType="begin"/>
            </w:r>
            <w:r w:rsidR="002B7189">
              <w:rPr>
                <w:webHidden/>
              </w:rPr>
              <w:instrText xml:space="preserve"> PAGEREF _Toc6323637 \h </w:instrText>
            </w:r>
            <w:r w:rsidR="002B7189">
              <w:rPr>
                <w:webHidden/>
              </w:rPr>
            </w:r>
            <w:r w:rsidR="002B7189">
              <w:rPr>
                <w:webHidden/>
              </w:rPr>
              <w:fldChar w:fldCharType="separate"/>
            </w:r>
            <w:r w:rsidR="008C718B">
              <w:rPr>
                <w:webHidden/>
              </w:rPr>
              <w:t>77</w:t>
            </w:r>
            <w:r w:rsidR="002B7189">
              <w:rPr>
                <w:webHidden/>
              </w:rPr>
              <w:fldChar w:fldCharType="end"/>
            </w:r>
          </w:hyperlink>
        </w:p>
        <w:p w14:paraId="04D08143" w14:textId="0CCA4805" w:rsidR="002B7189" w:rsidRDefault="00000000" w:rsidP="002B7189">
          <w:pPr>
            <w:pStyle w:val="TOC1"/>
            <w:rPr>
              <w:rFonts w:asciiTheme="minorHAnsi" w:hAnsiTheme="minorHAnsi" w:cstheme="minorBidi"/>
              <w:sz w:val="22"/>
            </w:rPr>
          </w:pPr>
          <w:hyperlink w:anchor="_Toc6323642" w:history="1">
            <w:r w:rsidR="002B7189" w:rsidRPr="00FF0571">
              <w:rPr>
                <w:rStyle w:val="Hyperlink"/>
              </w:rPr>
              <w:t>Attachment C – Stakeholder feedback from consultation</w:t>
            </w:r>
            <w:r w:rsidR="002B7189">
              <w:rPr>
                <w:webHidden/>
              </w:rPr>
              <w:tab/>
            </w:r>
            <w:r w:rsidR="002B7189">
              <w:rPr>
                <w:webHidden/>
              </w:rPr>
              <w:fldChar w:fldCharType="begin"/>
            </w:r>
            <w:r w:rsidR="002B7189">
              <w:rPr>
                <w:webHidden/>
              </w:rPr>
              <w:instrText xml:space="preserve"> PAGEREF _Toc6323642 \h </w:instrText>
            </w:r>
            <w:r w:rsidR="002B7189">
              <w:rPr>
                <w:webHidden/>
              </w:rPr>
            </w:r>
            <w:r w:rsidR="002B7189">
              <w:rPr>
                <w:webHidden/>
              </w:rPr>
              <w:fldChar w:fldCharType="separate"/>
            </w:r>
            <w:r w:rsidR="008C718B">
              <w:rPr>
                <w:webHidden/>
              </w:rPr>
              <w:t>82</w:t>
            </w:r>
            <w:r w:rsidR="002B7189">
              <w:rPr>
                <w:webHidden/>
              </w:rPr>
              <w:fldChar w:fldCharType="end"/>
            </w:r>
          </w:hyperlink>
        </w:p>
        <w:p w14:paraId="3CF232FF" w14:textId="5A5EDE82" w:rsidR="0099521C" w:rsidRPr="00241C0B" w:rsidRDefault="002B7189" w:rsidP="00396B69">
          <w:pPr>
            <w:sectPr w:rsidR="0099521C" w:rsidRPr="00241C0B" w:rsidSect="00E16D2B">
              <w:headerReference w:type="even" r:id="rId13"/>
              <w:footerReference w:type="even" r:id="rId14"/>
              <w:headerReference w:type="first" r:id="rId15"/>
              <w:footerReference w:type="first" r:id="rId16"/>
              <w:pgSz w:w="11906" w:h="16838" w:code="9"/>
              <w:pgMar w:top="1418" w:right="1418" w:bottom="1418" w:left="1418" w:header="709" w:footer="709" w:gutter="0"/>
              <w:pgNumType w:start="1"/>
              <w:cols w:space="708"/>
              <w:docGrid w:linePitch="360"/>
            </w:sectPr>
          </w:pPr>
          <w:r>
            <w:fldChar w:fldCharType="end"/>
          </w:r>
        </w:p>
      </w:sdtContent>
    </w:sdt>
    <w:p w14:paraId="707B2400" w14:textId="77777777" w:rsidR="00B8103C" w:rsidRPr="00314A5D" w:rsidRDefault="00B8103C" w:rsidP="00314A5D">
      <w:pPr>
        <w:pStyle w:val="Heading1nonumbers"/>
      </w:pPr>
      <w:bookmarkStart w:id="6" w:name="_Toc6323579"/>
      <w:r w:rsidRPr="00314A5D">
        <w:t>Glossary</w:t>
      </w:r>
      <w:bookmarkEnd w:id="6"/>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Description w:val="List of glossary terms"/>
      </w:tblPr>
      <w:tblGrid>
        <w:gridCol w:w="2208"/>
        <w:gridCol w:w="7001"/>
      </w:tblGrid>
      <w:tr w:rsidR="00F44825" w:rsidRPr="004F13AA" w14:paraId="7A56DAF7" w14:textId="77777777" w:rsidTr="0054504F">
        <w:trPr>
          <w:tblHeader/>
        </w:trPr>
        <w:tc>
          <w:tcPr>
            <w:tcW w:w="1199" w:type="pct"/>
            <w:shd w:val="clear" w:color="auto" w:fill="D9D9D9" w:themeFill="background1" w:themeFillShade="D9"/>
            <w:vAlign w:val="center"/>
          </w:tcPr>
          <w:p w14:paraId="6E3F8661" w14:textId="436A0A9A" w:rsidR="00F44825" w:rsidRPr="004F13AA" w:rsidRDefault="00F44825" w:rsidP="004F13AA">
            <w:pPr>
              <w:pStyle w:val="Tableheader"/>
            </w:pPr>
            <w:r w:rsidRPr="004F13AA">
              <w:t>Terms</w:t>
            </w:r>
          </w:p>
        </w:tc>
        <w:tc>
          <w:tcPr>
            <w:tcW w:w="3801" w:type="pct"/>
            <w:shd w:val="clear" w:color="auto" w:fill="D9D9D9" w:themeFill="background1" w:themeFillShade="D9"/>
            <w:vAlign w:val="center"/>
          </w:tcPr>
          <w:p w14:paraId="161337F8" w14:textId="665D6EF3" w:rsidR="00F44825" w:rsidRPr="004F13AA" w:rsidRDefault="00F44825" w:rsidP="004F13AA">
            <w:pPr>
              <w:pStyle w:val="Tableheader"/>
            </w:pPr>
            <w:r w:rsidRPr="004F13AA">
              <w:t>Descriptions</w:t>
            </w:r>
          </w:p>
        </w:tc>
      </w:tr>
      <w:tr w:rsidR="00B8103C" w:rsidRPr="00E86DFB" w14:paraId="1E7C83EB" w14:textId="77777777" w:rsidTr="0054504F">
        <w:tc>
          <w:tcPr>
            <w:tcW w:w="1199" w:type="pct"/>
          </w:tcPr>
          <w:p w14:paraId="6ECF7193" w14:textId="77777777" w:rsidR="00B8103C" w:rsidRPr="00381011" w:rsidRDefault="00B8103C" w:rsidP="0054504F">
            <w:pPr>
              <w:spacing w:before="60" w:after="60"/>
              <w:rPr>
                <w:rStyle w:val="Strong"/>
              </w:rPr>
            </w:pPr>
            <w:r w:rsidRPr="00381011">
              <w:rPr>
                <w:rStyle w:val="Strong"/>
              </w:rPr>
              <w:t>Added sugars</w:t>
            </w:r>
          </w:p>
        </w:tc>
        <w:tc>
          <w:tcPr>
            <w:tcW w:w="3801" w:type="pct"/>
          </w:tcPr>
          <w:p w14:paraId="27450924" w14:textId="57CBFCD6" w:rsidR="0086699D" w:rsidRPr="00A56F43" w:rsidRDefault="0086699D" w:rsidP="0054504F">
            <w:pPr>
              <w:spacing w:before="60" w:after="60"/>
            </w:pPr>
            <w:proofErr w:type="gramStart"/>
            <w:r w:rsidRPr="00A56F43">
              <w:rPr>
                <w:lang w:val="en-US"/>
              </w:rPr>
              <w:t>For the purpose of</w:t>
            </w:r>
            <w:proofErr w:type="gramEnd"/>
            <w:r w:rsidRPr="00A56F43">
              <w:rPr>
                <w:lang w:val="en-US"/>
              </w:rPr>
              <w:t xml:space="preserve"> this paper this refers to a</w:t>
            </w:r>
            <w:r w:rsidR="003D3034" w:rsidRPr="00A56F43">
              <w:rPr>
                <w:lang w:val="en-US"/>
              </w:rPr>
              <w:t xml:space="preserve">ny sugars-based ingredients added to foods by manufacturers during processing or manufacturing, or by consumers and cooks during food preparation or at the time of consumption. In this paper, the term ‘added </w:t>
            </w:r>
            <w:proofErr w:type="gramStart"/>
            <w:r w:rsidR="003D3034" w:rsidRPr="00A56F43">
              <w:rPr>
                <w:lang w:val="en-US"/>
              </w:rPr>
              <w:t>sugars’</w:t>
            </w:r>
            <w:proofErr w:type="gramEnd"/>
            <w:r w:rsidR="003D3034" w:rsidRPr="00A56F43">
              <w:rPr>
                <w:lang w:val="en-US"/>
              </w:rPr>
              <w:t xml:space="preserve"> may include what are referred to as ‘free sugars’ such as honey.</w:t>
            </w:r>
          </w:p>
        </w:tc>
      </w:tr>
      <w:tr w:rsidR="00B8103C" w:rsidRPr="00E86DFB" w14:paraId="745C6730" w14:textId="77777777" w:rsidTr="0054504F">
        <w:tc>
          <w:tcPr>
            <w:tcW w:w="1199" w:type="pct"/>
          </w:tcPr>
          <w:p w14:paraId="29DDA00B" w14:textId="77777777" w:rsidR="00B8103C" w:rsidRPr="00381011" w:rsidRDefault="00B8103C" w:rsidP="0054504F">
            <w:pPr>
              <w:spacing w:before="60" w:after="60"/>
              <w:rPr>
                <w:rStyle w:val="Strong"/>
              </w:rPr>
            </w:pPr>
            <w:r w:rsidRPr="00381011">
              <w:rPr>
                <w:rStyle w:val="Strong"/>
              </w:rPr>
              <w:t>Advisory label</w:t>
            </w:r>
          </w:p>
        </w:tc>
        <w:tc>
          <w:tcPr>
            <w:tcW w:w="3801" w:type="pct"/>
          </w:tcPr>
          <w:p w14:paraId="36519F63" w14:textId="650EBE7C" w:rsidR="00B8103C" w:rsidRPr="00BC587F" w:rsidRDefault="00150C8F" w:rsidP="0054504F">
            <w:pPr>
              <w:spacing w:before="60" w:after="60"/>
            </w:pPr>
            <w:r w:rsidRPr="00BC587F">
              <w:t>A label that must be provided for certain foods or ingredients which may cause health risks for some consumers.</w:t>
            </w:r>
          </w:p>
        </w:tc>
      </w:tr>
      <w:tr w:rsidR="00B8103C" w:rsidRPr="00E86DFB" w14:paraId="1E44BA11" w14:textId="77777777" w:rsidTr="0054504F">
        <w:tc>
          <w:tcPr>
            <w:tcW w:w="1199" w:type="pct"/>
          </w:tcPr>
          <w:p w14:paraId="17EF8E8E" w14:textId="77777777" w:rsidR="00B8103C" w:rsidRPr="00381011" w:rsidRDefault="00B8103C" w:rsidP="0054504F">
            <w:pPr>
              <w:spacing w:before="60" w:after="60"/>
              <w:rPr>
                <w:rStyle w:val="Strong"/>
              </w:rPr>
            </w:pPr>
            <w:r w:rsidRPr="00381011">
              <w:rPr>
                <w:rStyle w:val="Strong"/>
              </w:rPr>
              <w:t>Ministerial Forum on Food Regulation (Forum)</w:t>
            </w:r>
          </w:p>
        </w:tc>
        <w:tc>
          <w:tcPr>
            <w:tcW w:w="3801" w:type="pct"/>
          </w:tcPr>
          <w:p w14:paraId="5C3CA9A3" w14:textId="4B0C7C04" w:rsidR="00B8103C" w:rsidRPr="00BC587F" w:rsidRDefault="00B8103C" w:rsidP="0054504F">
            <w:pPr>
              <w:spacing w:before="60" w:after="60"/>
            </w:pPr>
            <w:r w:rsidRPr="00BC587F">
              <w:t>The Ministerial body responsible for developing domestic food regulation policy in the form of policy guidelines.</w:t>
            </w:r>
            <w:r w:rsidR="00331D93" w:rsidRPr="00BC587F">
              <w:t xml:space="preserve"> Forum Members are the decision makers in the system. The Forum signs off on all food standards and can also request that a draft standard be developed, reviewed, </w:t>
            </w:r>
            <w:proofErr w:type="gramStart"/>
            <w:r w:rsidR="00331D93" w:rsidRPr="00BC587F">
              <w:t>amended</w:t>
            </w:r>
            <w:proofErr w:type="gramEnd"/>
            <w:r w:rsidR="00331D93" w:rsidRPr="00BC587F">
              <w:t xml:space="preserve"> or rejected. </w:t>
            </w:r>
          </w:p>
        </w:tc>
      </w:tr>
      <w:tr w:rsidR="00B8103C" w:rsidRPr="00E86DFB" w14:paraId="74381DCA" w14:textId="77777777" w:rsidTr="0054504F">
        <w:tc>
          <w:tcPr>
            <w:tcW w:w="1199" w:type="pct"/>
          </w:tcPr>
          <w:p w14:paraId="4DA2EE93" w14:textId="77777777" w:rsidR="00B8103C" w:rsidRPr="00381011" w:rsidRDefault="00B8103C" w:rsidP="0054504F">
            <w:pPr>
              <w:spacing w:before="60" w:after="60"/>
              <w:rPr>
                <w:rStyle w:val="Strong"/>
              </w:rPr>
            </w:pPr>
            <w:r w:rsidRPr="00381011">
              <w:rPr>
                <w:rStyle w:val="Strong"/>
              </w:rPr>
              <w:t>Citizen Space</w:t>
            </w:r>
          </w:p>
        </w:tc>
        <w:tc>
          <w:tcPr>
            <w:tcW w:w="3801" w:type="pct"/>
          </w:tcPr>
          <w:p w14:paraId="7EA7536B" w14:textId="06CCFE13" w:rsidR="00B8103C" w:rsidRPr="00BC587F" w:rsidRDefault="00150C8F" w:rsidP="0054504F">
            <w:pPr>
              <w:spacing w:before="60" w:after="60"/>
            </w:pPr>
            <w:r w:rsidRPr="00BC587F">
              <w:t xml:space="preserve">An online consultation platform </w:t>
            </w:r>
            <w:r w:rsidR="00331D93" w:rsidRPr="00BC587F">
              <w:t xml:space="preserve">used to seek stakeholder feedback on labelling options for sugars. </w:t>
            </w:r>
            <w:r w:rsidR="006A4DE1" w:rsidRPr="00BC587F">
              <w:t xml:space="preserve">Consultation operated from July to September 2019. </w:t>
            </w:r>
          </w:p>
        </w:tc>
      </w:tr>
      <w:tr w:rsidR="00B8103C" w:rsidRPr="00E86DFB" w14:paraId="4E0ADC42" w14:textId="77777777" w:rsidTr="0054504F">
        <w:tc>
          <w:tcPr>
            <w:tcW w:w="1199" w:type="pct"/>
          </w:tcPr>
          <w:p w14:paraId="27DBBA35" w14:textId="77777777" w:rsidR="00B8103C" w:rsidRPr="00381011" w:rsidRDefault="00B8103C" w:rsidP="0054504F">
            <w:pPr>
              <w:spacing w:before="60" w:after="60"/>
              <w:rPr>
                <w:rStyle w:val="Strong"/>
              </w:rPr>
            </w:pPr>
            <w:r w:rsidRPr="00381011">
              <w:rPr>
                <w:rStyle w:val="Strong"/>
              </w:rPr>
              <w:t>Contextual information</w:t>
            </w:r>
          </w:p>
        </w:tc>
        <w:tc>
          <w:tcPr>
            <w:tcW w:w="3801" w:type="pct"/>
          </w:tcPr>
          <w:p w14:paraId="3383456B" w14:textId="536F3922" w:rsidR="00B8103C" w:rsidRPr="00BC587F" w:rsidRDefault="006A4DE1" w:rsidP="0054504F">
            <w:pPr>
              <w:spacing w:before="60" w:after="60"/>
            </w:pPr>
            <w:r w:rsidRPr="00BC587F">
              <w:t>Information that can support consumers to use and interpret a food label</w:t>
            </w:r>
            <w:r w:rsidR="00DC3857" w:rsidRPr="00BC587F">
              <w:t>.</w:t>
            </w:r>
          </w:p>
        </w:tc>
      </w:tr>
      <w:tr w:rsidR="00B8103C" w:rsidRPr="00E86DFB" w14:paraId="497E1EB0" w14:textId="77777777" w:rsidTr="0054504F">
        <w:tc>
          <w:tcPr>
            <w:tcW w:w="1199" w:type="pct"/>
          </w:tcPr>
          <w:p w14:paraId="11B0A745" w14:textId="77777777" w:rsidR="00B8103C" w:rsidRPr="00381011" w:rsidRDefault="00B8103C" w:rsidP="0054504F">
            <w:pPr>
              <w:spacing w:before="60" w:after="60"/>
              <w:rPr>
                <w:rStyle w:val="Strong"/>
              </w:rPr>
            </w:pPr>
            <w:r w:rsidRPr="00381011">
              <w:rPr>
                <w:rStyle w:val="Strong"/>
              </w:rPr>
              <w:t>Dental caries</w:t>
            </w:r>
          </w:p>
        </w:tc>
        <w:tc>
          <w:tcPr>
            <w:tcW w:w="3801" w:type="pct"/>
          </w:tcPr>
          <w:p w14:paraId="410DCCFF" w14:textId="77777777" w:rsidR="00B8103C" w:rsidRPr="00A56F43" w:rsidRDefault="00B8103C" w:rsidP="0054504F">
            <w:pPr>
              <w:spacing w:before="60" w:after="60"/>
              <w:rPr>
                <w:rFonts w:cstheme="minorHAnsi"/>
              </w:rPr>
            </w:pPr>
            <w:r w:rsidRPr="00A56F43">
              <w:t>The scientific term for tooth decay or cavities.</w:t>
            </w:r>
          </w:p>
        </w:tc>
      </w:tr>
      <w:tr w:rsidR="00B8103C" w:rsidRPr="00E86DFB" w14:paraId="5A17C4AC" w14:textId="77777777" w:rsidTr="0054504F">
        <w:tc>
          <w:tcPr>
            <w:tcW w:w="1199" w:type="pct"/>
          </w:tcPr>
          <w:p w14:paraId="066C2DCB" w14:textId="77777777" w:rsidR="00B8103C" w:rsidRPr="00381011" w:rsidRDefault="00B8103C" w:rsidP="0054504F">
            <w:pPr>
              <w:spacing w:before="60" w:after="60"/>
              <w:rPr>
                <w:rStyle w:val="Strong"/>
              </w:rPr>
            </w:pPr>
            <w:r w:rsidRPr="00381011">
              <w:rPr>
                <w:rStyle w:val="Strong"/>
              </w:rPr>
              <w:t>Dietary Guidelines</w:t>
            </w:r>
          </w:p>
        </w:tc>
        <w:tc>
          <w:tcPr>
            <w:tcW w:w="3801" w:type="pct"/>
          </w:tcPr>
          <w:p w14:paraId="7F256EC7" w14:textId="77777777" w:rsidR="00B8103C" w:rsidRPr="00BC587F" w:rsidRDefault="00B8103C" w:rsidP="0054504F">
            <w:pPr>
              <w:spacing w:before="60" w:after="60"/>
            </w:pPr>
            <w:r w:rsidRPr="00BC587F">
              <w:t>Refers to both the Australian Dietary Guidelines and New Zealand Eating and Activity Guidelines, unless otherwise specified.</w:t>
            </w:r>
          </w:p>
        </w:tc>
      </w:tr>
      <w:tr w:rsidR="00B8103C" w:rsidRPr="00E86DFB" w14:paraId="39C063BD" w14:textId="77777777" w:rsidTr="0054504F">
        <w:tc>
          <w:tcPr>
            <w:tcW w:w="1199" w:type="pct"/>
          </w:tcPr>
          <w:p w14:paraId="5CE0E867" w14:textId="77777777" w:rsidR="00B8103C" w:rsidRPr="00381011" w:rsidRDefault="00B8103C" w:rsidP="0054504F">
            <w:pPr>
              <w:spacing w:before="60" w:after="60"/>
              <w:rPr>
                <w:rStyle w:val="Strong"/>
              </w:rPr>
            </w:pPr>
            <w:r w:rsidRPr="00381011">
              <w:rPr>
                <w:rStyle w:val="Strong"/>
              </w:rPr>
              <w:t>Discretionary foods</w:t>
            </w:r>
          </w:p>
        </w:tc>
        <w:tc>
          <w:tcPr>
            <w:tcW w:w="3801" w:type="pct"/>
          </w:tcPr>
          <w:p w14:paraId="3B40A32A" w14:textId="4B0503AC" w:rsidR="00B8103C" w:rsidRPr="00BC587F" w:rsidRDefault="00B8103C" w:rsidP="0054504F">
            <w:pPr>
              <w:spacing w:before="60" w:after="60"/>
            </w:pPr>
            <w:r w:rsidRPr="00BC587F">
              <w:t xml:space="preserve">Foods not necessary for a healthy diet and are too high in saturated fat and/or added sugars, added salt </w:t>
            </w:r>
            <w:r w:rsidR="004802F2" w:rsidRPr="00BC587F">
              <w:t xml:space="preserve">(sodium) </w:t>
            </w:r>
            <w:r w:rsidR="00DD4EE1" w:rsidRPr="00BC587F">
              <w:t>or alcohol.</w:t>
            </w:r>
          </w:p>
        </w:tc>
      </w:tr>
      <w:tr w:rsidR="00B8103C" w:rsidRPr="00E86DFB" w14:paraId="23E584C6" w14:textId="77777777" w:rsidTr="0054504F">
        <w:tc>
          <w:tcPr>
            <w:tcW w:w="1199" w:type="pct"/>
          </w:tcPr>
          <w:p w14:paraId="24BF2F91" w14:textId="77777777" w:rsidR="00B8103C" w:rsidRPr="00381011" w:rsidRDefault="00B8103C" w:rsidP="0054504F">
            <w:pPr>
              <w:spacing w:before="60" w:after="60"/>
              <w:rPr>
                <w:rStyle w:val="Strong"/>
              </w:rPr>
            </w:pPr>
            <w:r w:rsidRPr="00381011">
              <w:rPr>
                <w:rStyle w:val="Strong"/>
              </w:rPr>
              <w:t>Feasible option</w:t>
            </w:r>
          </w:p>
        </w:tc>
        <w:tc>
          <w:tcPr>
            <w:tcW w:w="3801" w:type="pct"/>
          </w:tcPr>
          <w:p w14:paraId="55908259" w14:textId="4A859207" w:rsidR="00B8103C" w:rsidRPr="00BC587F" w:rsidRDefault="00331D93" w:rsidP="0054504F">
            <w:pPr>
              <w:spacing w:before="60" w:after="60"/>
            </w:pPr>
            <w:r w:rsidRPr="00BC587F">
              <w:t>Proposed options</w:t>
            </w:r>
            <w:r w:rsidR="0086699D" w:rsidRPr="00BC587F">
              <w:t xml:space="preserve"> </w:t>
            </w:r>
            <w:r w:rsidRPr="00BC587F">
              <w:t>with the strongest potential to</w:t>
            </w:r>
            <w:r w:rsidR="0086699D" w:rsidRPr="00BC587F">
              <w:t xml:space="preserve"> achieve the desired outcome of this work.</w:t>
            </w:r>
          </w:p>
        </w:tc>
      </w:tr>
      <w:tr w:rsidR="003D3034" w:rsidRPr="00E86DFB" w14:paraId="68E2589C" w14:textId="77777777" w:rsidTr="0054504F">
        <w:tc>
          <w:tcPr>
            <w:tcW w:w="1199" w:type="pct"/>
          </w:tcPr>
          <w:p w14:paraId="37235DBF" w14:textId="77777777" w:rsidR="003D3034" w:rsidRPr="00381011" w:rsidRDefault="003D3034" w:rsidP="0054504F">
            <w:pPr>
              <w:spacing w:before="60" w:after="60"/>
              <w:rPr>
                <w:rStyle w:val="Strong"/>
              </w:rPr>
            </w:pPr>
            <w:r w:rsidRPr="00381011">
              <w:rPr>
                <w:rStyle w:val="Strong"/>
              </w:rPr>
              <w:t>Food</w:t>
            </w:r>
          </w:p>
        </w:tc>
        <w:tc>
          <w:tcPr>
            <w:tcW w:w="3801" w:type="pct"/>
          </w:tcPr>
          <w:p w14:paraId="69B1E670" w14:textId="5AC208F2" w:rsidR="003D3034" w:rsidRPr="00BC587F" w:rsidRDefault="003D3034" w:rsidP="0054504F">
            <w:pPr>
              <w:spacing w:before="60" w:after="60"/>
            </w:pPr>
            <w:proofErr w:type="gramStart"/>
            <w:r w:rsidRPr="00BC587F">
              <w:t>For the purpose of</w:t>
            </w:r>
            <w:proofErr w:type="gramEnd"/>
            <w:r w:rsidRPr="00BC587F">
              <w:t xml:space="preserve"> this paper</w:t>
            </w:r>
            <w:r w:rsidR="006A4DE1" w:rsidRPr="00BC587F">
              <w:t>, ‘food’</w:t>
            </w:r>
            <w:r w:rsidRPr="00BC587F">
              <w:t xml:space="preserve"> refers to foods and drinks</w:t>
            </w:r>
          </w:p>
        </w:tc>
      </w:tr>
      <w:tr w:rsidR="00B8103C" w:rsidRPr="00E86DFB" w14:paraId="504242B7" w14:textId="77777777" w:rsidTr="0054504F">
        <w:tc>
          <w:tcPr>
            <w:tcW w:w="1199" w:type="pct"/>
          </w:tcPr>
          <w:p w14:paraId="4E6E5786" w14:textId="77777777" w:rsidR="00B8103C" w:rsidRPr="00381011" w:rsidRDefault="00B8103C" w:rsidP="0054504F">
            <w:pPr>
              <w:spacing w:before="60" w:after="60"/>
              <w:rPr>
                <w:rStyle w:val="Strong"/>
              </w:rPr>
            </w:pPr>
            <w:r w:rsidRPr="00381011">
              <w:rPr>
                <w:rStyle w:val="Strong"/>
              </w:rPr>
              <w:t>Food Regulation Standing Committee (FRSC)</w:t>
            </w:r>
          </w:p>
        </w:tc>
        <w:tc>
          <w:tcPr>
            <w:tcW w:w="3801" w:type="pct"/>
          </w:tcPr>
          <w:p w14:paraId="7A209D5F" w14:textId="77777777" w:rsidR="00B8103C" w:rsidRPr="00BC587F" w:rsidRDefault="00B8103C" w:rsidP="0054504F">
            <w:pPr>
              <w:spacing w:before="60" w:after="60"/>
            </w:pPr>
            <w:r w:rsidRPr="00BC587F">
              <w:t>Body responsible for coordinating policy advice to the Forum and ensuring a nationally consistent approach to the implementation and enforcement of food standards.</w:t>
            </w:r>
          </w:p>
        </w:tc>
      </w:tr>
      <w:tr w:rsidR="00B8103C" w:rsidRPr="00E86DFB" w14:paraId="221E71F5" w14:textId="77777777" w:rsidTr="0054504F">
        <w:tc>
          <w:tcPr>
            <w:tcW w:w="1199" w:type="pct"/>
          </w:tcPr>
          <w:p w14:paraId="19065467" w14:textId="77777777" w:rsidR="00B8103C" w:rsidRPr="00381011" w:rsidRDefault="00B8103C" w:rsidP="0054504F">
            <w:pPr>
              <w:spacing w:before="60" w:after="60"/>
              <w:rPr>
                <w:rStyle w:val="Strong"/>
              </w:rPr>
            </w:pPr>
            <w:r w:rsidRPr="00381011">
              <w:rPr>
                <w:rStyle w:val="Strong"/>
              </w:rPr>
              <w:t>Food Standards Australia New Zealand (FSANZ)</w:t>
            </w:r>
          </w:p>
        </w:tc>
        <w:tc>
          <w:tcPr>
            <w:tcW w:w="3801" w:type="pct"/>
          </w:tcPr>
          <w:p w14:paraId="22E0B8CE" w14:textId="296FC0FE" w:rsidR="00B8103C" w:rsidRPr="00BC587F" w:rsidRDefault="00150C8F" w:rsidP="0054504F">
            <w:pPr>
              <w:spacing w:before="60" w:after="60"/>
            </w:pPr>
            <w:r w:rsidRPr="00BC587F">
              <w:t>A statutory authority in the Australian Government Health portfolio that develops food standards for Australia and New Zealand.</w:t>
            </w:r>
          </w:p>
        </w:tc>
      </w:tr>
      <w:tr w:rsidR="00B8103C" w:rsidRPr="00E86DFB" w14:paraId="742BC3D8" w14:textId="77777777" w:rsidTr="0054504F">
        <w:tc>
          <w:tcPr>
            <w:tcW w:w="1199" w:type="pct"/>
          </w:tcPr>
          <w:p w14:paraId="0506838C" w14:textId="60883A7C" w:rsidR="00B8103C" w:rsidRPr="00381011" w:rsidRDefault="0047451A" w:rsidP="0054504F">
            <w:pPr>
              <w:spacing w:before="60" w:after="60"/>
              <w:rPr>
                <w:rStyle w:val="Strong"/>
              </w:rPr>
            </w:pPr>
            <w:r w:rsidRPr="00381011">
              <w:rPr>
                <w:rStyle w:val="Strong"/>
              </w:rPr>
              <w:br w:type="page"/>
            </w:r>
            <w:r w:rsidR="00B8103C" w:rsidRPr="00381011">
              <w:rPr>
                <w:rStyle w:val="Strong"/>
              </w:rPr>
              <w:t>Free sugars</w:t>
            </w:r>
          </w:p>
        </w:tc>
        <w:tc>
          <w:tcPr>
            <w:tcW w:w="3801" w:type="pct"/>
          </w:tcPr>
          <w:p w14:paraId="65F14688" w14:textId="77777777" w:rsidR="00B8103C" w:rsidRPr="00BC587F" w:rsidRDefault="00B8103C" w:rsidP="0054504F">
            <w:pPr>
              <w:spacing w:before="60" w:after="60"/>
            </w:pPr>
            <w:r w:rsidRPr="00BC587F">
              <w:t>A term used by the World Health Organization which refers to all monosaccharides and disaccharides added to foods by the manufacturer, cook, or consumer, plus sugars naturally present in honey, syrups, and fruit juices.</w:t>
            </w:r>
          </w:p>
        </w:tc>
      </w:tr>
      <w:tr w:rsidR="00B8103C" w:rsidRPr="00E86DFB" w14:paraId="3D03D9AF" w14:textId="77777777" w:rsidTr="0054504F">
        <w:tc>
          <w:tcPr>
            <w:tcW w:w="1199" w:type="pct"/>
          </w:tcPr>
          <w:p w14:paraId="4E0519A6" w14:textId="77777777" w:rsidR="00B8103C" w:rsidRPr="00381011" w:rsidRDefault="00B8103C" w:rsidP="0054504F">
            <w:pPr>
              <w:spacing w:before="60" w:after="60"/>
              <w:rPr>
                <w:rStyle w:val="Strong"/>
              </w:rPr>
            </w:pPr>
            <w:r w:rsidRPr="00381011">
              <w:rPr>
                <w:rStyle w:val="Strong"/>
              </w:rPr>
              <w:t>Health Star Rating (HSR) System</w:t>
            </w:r>
          </w:p>
        </w:tc>
        <w:tc>
          <w:tcPr>
            <w:tcW w:w="3801" w:type="pct"/>
          </w:tcPr>
          <w:p w14:paraId="34B5C99A" w14:textId="77777777" w:rsidR="00B8103C" w:rsidRPr="00BC587F" w:rsidRDefault="00B8103C" w:rsidP="0054504F">
            <w:pPr>
              <w:spacing w:before="60" w:after="60"/>
            </w:pPr>
            <w:r w:rsidRPr="00BC587F">
              <w:t>A front-of-pack labelling system that rates the overall nutritional profile of packaged food and assigns it a rating from ½ a star to 5 stars.</w:t>
            </w:r>
          </w:p>
        </w:tc>
      </w:tr>
      <w:tr w:rsidR="00B8103C" w:rsidRPr="00E86DFB" w14:paraId="53BC0D99" w14:textId="77777777" w:rsidTr="0054504F">
        <w:tc>
          <w:tcPr>
            <w:tcW w:w="1199" w:type="pct"/>
          </w:tcPr>
          <w:p w14:paraId="57C2E604" w14:textId="77777777" w:rsidR="00B8103C" w:rsidRPr="00381011" w:rsidRDefault="00B8103C" w:rsidP="0054504F">
            <w:pPr>
              <w:spacing w:before="60" w:after="60"/>
              <w:rPr>
                <w:rStyle w:val="Strong"/>
              </w:rPr>
            </w:pPr>
            <w:r w:rsidRPr="00381011">
              <w:rPr>
                <w:rStyle w:val="Strong"/>
              </w:rPr>
              <w:t>HSR algorithm</w:t>
            </w:r>
          </w:p>
        </w:tc>
        <w:tc>
          <w:tcPr>
            <w:tcW w:w="3801" w:type="pct"/>
          </w:tcPr>
          <w:p w14:paraId="6AFF0051" w14:textId="48CBE671" w:rsidR="00396B69" w:rsidRDefault="00B8103C" w:rsidP="0054504F">
            <w:pPr>
              <w:spacing w:before="60" w:after="60"/>
            </w:pPr>
            <w:r w:rsidRPr="00BC587F">
              <w:t>Developed by technical and nutrition experts to assess positive and risk nutrients in a food. This sits behind a calculator to determine the number of stars.</w:t>
            </w:r>
          </w:p>
          <w:p w14:paraId="515464E7" w14:textId="77777777" w:rsidR="00B8103C" w:rsidRPr="00396B69" w:rsidRDefault="00B8103C" w:rsidP="00396B69">
            <w:pPr>
              <w:jc w:val="right"/>
            </w:pPr>
          </w:p>
        </w:tc>
      </w:tr>
      <w:tr w:rsidR="00B8103C" w:rsidRPr="00E86DFB" w14:paraId="03050407" w14:textId="77777777" w:rsidTr="0054504F">
        <w:tc>
          <w:tcPr>
            <w:tcW w:w="1199" w:type="pct"/>
          </w:tcPr>
          <w:p w14:paraId="70628F41" w14:textId="41BCD83C" w:rsidR="00B8103C" w:rsidRPr="00381011" w:rsidRDefault="009A79FA" w:rsidP="0054504F">
            <w:pPr>
              <w:spacing w:before="60" w:after="60"/>
              <w:rPr>
                <w:rStyle w:val="Strong"/>
              </w:rPr>
            </w:pPr>
            <w:r w:rsidRPr="00381011">
              <w:rPr>
                <w:rStyle w:val="Strong"/>
              </w:rPr>
              <w:t xml:space="preserve">HSR </w:t>
            </w:r>
            <w:proofErr w:type="gramStart"/>
            <w:r w:rsidRPr="00381011">
              <w:rPr>
                <w:rStyle w:val="Strong"/>
              </w:rPr>
              <w:t>five</w:t>
            </w:r>
            <w:r w:rsidR="00B8103C" w:rsidRPr="00381011">
              <w:rPr>
                <w:rStyle w:val="Strong"/>
              </w:rPr>
              <w:t xml:space="preserve"> year</w:t>
            </w:r>
            <w:proofErr w:type="gramEnd"/>
            <w:r w:rsidR="00B8103C" w:rsidRPr="00381011">
              <w:rPr>
                <w:rStyle w:val="Strong"/>
              </w:rPr>
              <w:t xml:space="preserve"> review</w:t>
            </w:r>
          </w:p>
        </w:tc>
        <w:tc>
          <w:tcPr>
            <w:tcW w:w="3801" w:type="pct"/>
          </w:tcPr>
          <w:p w14:paraId="101EA74E" w14:textId="2F029A60" w:rsidR="00B8103C" w:rsidRPr="00BC587F" w:rsidRDefault="00B8103C" w:rsidP="0054504F">
            <w:pPr>
              <w:spacing w:before="60" w:after="60"/>
            </w:pPr>
            <w:r w:rsidRPr="00BC587F">
              <w:t xml:space="preserve">A formal review </w:t>
            </w:r>
            <w:r w:rsidR="006A4DE1" w:rsidRPr="00BC587F">
              <w:t>of the HSR system, for reporting 5-years after the introduction of the HSR system</w:t>
            </w:r>
            <w:r w:rsidRPr="00BC587F">
              <w:t>.</w:t>
            </w:r>
          </w:p>
        </w:tc>
      </w:tr>
      <w:tr w:rsidR="00B8103C" w:rsidRPr="00E86DFB" w14:paraId="735BFF77" w14:textId="77777777" w:rsidTr="0054504F">
        <w:tc>
          <w:tcPr>
            <w:tcW w:w="1199" w:type="pct"/>
          </w:tcPr>
          <w:p w14:paraId="727825DB" w14:textId="77777777" w:rsidR="00B8103C" w:rsidRPr="00381011" w:rsidRDefault="00B8103C" w:rsidP="0054504F">
            <w:pPr>
              <w:spacing w:before="60" w:after="60"/>
              <w:rPr>
                <w:rStyle w:val="Strong"/>
              </w:rPr>
            </w:pPr>
            <w:r w:rsidRPr="00381011">
              <w:rPr>
                <w:rStyle w:val="Strong"/>
              </w:rPr>
              <w:t>Intrinsic sugars</w:t>
            </w:r>
          </w:p>
        </w:tc>
        <w:tc>
          <w:tcPr>
            <w:tcW w:w="3801" w:type="pct"/>
          </w:tcPr>
          <w:p w14:paraId="06512DF0" w14:textId="01D7CFA0" w:rsidR="00B8103C" w:rsidRPr="00BC587F" w:rsidRDefault="00B8103C" w:rsidP="0054504F">
            <w:pPr>
              <w:spacing w:before="60" w:after="60"/>
            </w:pPr>
            <w:r w:rsidRPr="00BC587F">
              <w:t>Naturally occurring sugars, or sugars contained within unprocessed foods.</w:t>
            </w:r>
            <w:r w:rsidR="0086699D" w:rsidRPr="00BC587F">
              <w:t xml:space="preserve"> </w:t>
            </w:r>
            <w:r w:rsidR="006A4DE1" w:rsidRPr="00BC587F">
              <w:t>F</w:t>
            </w:r>
            <w:r w:rsidR="0086699D" w:rsidRPr="00BC587F">
              <w:t xml:space="preserve">ound in fruits, </w:t>
            </w:r>
            <w:proofErr w:type="gramStart"/>
            <w:r w:rsidR="0086699D" w:rsidRPr="00BC587F">
              <w:t>vegetables</w:t>
            </w:r>
            <w:proofErr w:type="gramEnd"/>
            <w:r w:rsidR="0086699D" w:rsidRPr="00BC587F">
              <w:t xml:space="preserve"> and dairy products.</w:t>
            </w:r>
          </w:p>
        </w:tc>
      </w:tr>
      <w:tr w:rsidR="00B8103C" w:rsidRPr="00E86DFB" w14:paraId="3E48524F" w14:textId="77777777" w:rsidTr="0054504F">
        <w:tc>
          <w:tcPr>
            <w:tcW w:w="1199" w:type="pct"/>
          </w:tcPr>
          <w:p w14:paraId="2B6469AC" w14:textId="77777777" w:rsidR="00B8103C" w:rsidRPr="00381011" w:rsidRDefault="00B8103C" w:rsidP="0054504F">
            <w:pPr>
              <w:spacing w:before="60" w:after="60"/>
              <w:rPr>
                <w:rStyle w:val="Strong"/>
              </w:rPr>
            </w:pPr>
            <w:r w:rsidRPr="00381011">
              <w:rPr>
                <w:rStyle w:val="Strong"/>
              </w:rPr>
              <w:t>Non-communicable disease</w:t>
            </w:r>
          </w:p>
        </w:tc>
        <w:tc>
          <w:tcPr>
            <w:tcW w:w="3801" w:type="pct"/>
          </w:tcPr>
          <w:p w14:paraId="4636C5A0" w14:textId="77777777" w:rsidR="00B8103C" w:rsidRPr="00BC587F" w:rsidRDefault="00B8103C" w:rsidP="0054504F">
            <w:pPr>
              <w:spacing w:before="60" w:after="60"/>
            </w:pPr>
            <w:r w:rsidRPr="00BC587F">
              <w:t xml:space="preserve">A medical condition or disease that is </w:t>
            </w:r>
            <w:proofErr w:type="gramStart"/>
            <w:r w:rsidRPr="00BC587F">
              <w:t>by definition non-infectious</w:t>
            </w:r>
            <w:proofErr w:type="gramEnd"/>
            <w:r w:rsidRPr="00BC587F">
              <w:t xml:space="preserve"> and non-transmissible among people.</w:t>
            </w:r>
          </w:p>
        </w:tc>
      </w:tr>
      <w:tr w:rsidR="00224E44" w:rsidRPr="00E86DFB" w14:paraId="4313A732" w14:textId="77777777" w:rsidTr="0054504F">
        <w:tc>
          <w:tcPr>
            <w:tcW w:w="1199" w:type="pct"/>
          </w:tcPr>
          <w:p w14:paraId="1BA3A967" w14:textId="7A4D80B7" w:rsidR="00224E44" w:rsidRPr="00381011" w:rsidRDefault="00224E44" w:rsidP="0054504F">
            <w:pPr>
              <w:spacing w:before="60" w:after="60"/>
              <w:rPr>
                <w:rStyle w:val="Strong"/>
              </w:rPr>
            </w:pPr>
            <w:r w:rsidRPr="00381011">
              <w:rPr>
                <w:rStyle w:val="Strong"/>
              </w:rPr>
              <w:t>Option with the greatest potential</w:t>
            </w:r>
          </w:p>
        </w:tc>
        <w:tc>
          <w:tcPr>
            <w:tcW w:w="3801" w:type="pct"/>
          </w:tcPr>
          <w:p w14:paraId="70A69E4B" w14:textId="79CAC858" w:rsidR="00224E44" w:rsidRPr="00BC587F" w:rsidRDefault="00224E44" w:rsidP="0054504F">
            <w:pPr>
              <w:spacing w:before="60" w:after="60"/>
            </w:pPr>
            <w:r w:rsidRPr="00BC587F">
              <w:t>The option that best meets the desired outcome and provides a positive net benefit</w:t>
            </w:r>
          </w:p>
        </w:tc>
      </w:tr>
      <w:tr w:rsidR="00150C8F" w:rsidRPr="00E86DFB" w14:paraId="69FCA278" w14:textId="77777777" w:rsidTr="0054504F">
        <w:tc>
          <w:tcPr>
            <w:tcW w:w="1199" w:type="pct"/>
          </w:tcPr>
          <w:p w14:paraId="778A699A" w14:textId="77777777" w:rsidR="00150C8F" w:rsidRPr="00381011" w:rsidRDefault="00150C8F" w:rsidP="0054504F">
            <w:pPr>
              <w:spacing w:before="60" w:after="60"/>
              <w:rPr>
                <w:rStyle w:val="Strong"/>
              </w:rPr>
            </w:pPr>
            <w:r w:rsidRPr="00381011">
              <w:rPr>
                <w:rStyle w:val="Strong"/>
              </w:rPr>
              <w:t>Proposed option</w:t>
            </w:r>
          </w:p>
        </w:tc>
        <w:tc>
          <w:tcPr>
            <w:tcW w:w="3801" w:type="pct"/>
          </w:tcPr>
          <w:p w14:paraId="32D329F0" w14:textId="49A7DDE0" w:rsidR="00150C8F" w:rsidRPr="00BC587F" w:rsidRDefault="00331D93" w:rsidP="0054504F">
            <w:pPr>
              <w:spacing w:before="60" w:after="60"/>
            </w:pPr>
            <w:r w:rsidRPr="00BC587F">
              <w:t xml:space="preserve">Options that may address the statement of the problem and achieve the desired outcome of this work. Feedback on six proposed options (in addition to the status quo) </w:t>
            </w:r>
            <w:r w:rsidR="00B60099" w:rsidRPr="00BC587F">
              <w:t>w</w:t>
            </w:r>
            <w:r w:rsidRPr="00BC587F">
              <w:t>as sought from stakeholders from July to September 20</w:t>
            </w:r>
            <w:r w:rsidR="00DC3857" w:rsidRPr="00BC587F">
              <w:t>19.</w:t>
            </w:r>
          </w:p>
        </w:tc>
      </w:tr>
      <w:tr w:rsidR="00B8103C" w:rsidRPr="00E86DFB" w14:paraId="55497CD0" w14:textId="77777777" w:rsidTr="0054504F">
        <w:tc>
          <w:tcPr>
            <w:tcW w:w="1199" w:type="pct"/>
          </w:tcPr>
          <w:p w14:paraId="1BF1BDF9" w14:textId="77777777" w:rsidR="00B8103C" w:rsidRPr="00381011" w:rsidRDefault="00B8103C" w:rsidP="0054504F">
            <w:pPr>
              <w:spacing w:before="60" w:after="60"/>
              <w:rPr>
                <w:rStyle w:val="Strong"/>
              </w:rPr>
            </w:pPr>
            <w:r w:rsidRPr="00381011">
              <w:rPr>
                <w:rStyle w:val="Strong"/>
              </w:rPr>
              <w:t>Reformulation</w:t>
            </w:r>
          </w:p>
        </w:tc>
        <w:tc>
          <w:tcPr>
            <w:tcW w:w="3801" w:type="pct"/>
          </w:tcPr>
          <w:p w14:paraId="2411ADE9" w14:textId="77777777" w:rsidR="00B8103C" w:rsidRPr="00BC587F" w:rsidRDefault="00B8103C" w:rsidP="0054504F">
            <w:pPr>
              <w:spacing w:before="60" w:after="60"/>
            </w:pPr>
            <w:r w:rsidRPr="00BC587F">
              <w:t xml:space="preserve">Changing the nutrient content of a processed food product to either reduce the content of negative nutrients such as sodium, saturated fat, trans </w:t>
            </w:r>
            <w:proofErr w:type="gramStart"/>
            <w:r w:rsidRPr="00BC587F">
              <w:t>fat</w:t>
            </w:r>
            <w:proofErr w:type="gramEnd"/>
            <w:r w:rsidRPr="00BC587F">
              <w:t xml:space="preserve"> or energy (kilojoules) or to increase the content of beneficial nutrients such as dietary fibre, wholegrains, fruit, vegetables and unsaturated fats.</w:t>
            </w:r>
          </w:p>
        </w:tc>
      </w:tr>
      <w:tr w:rsidR="00B8103C" w:rsidRPr="00E86DFB" w14:paraId="55594D37" w14:textId="77777777" w:rsidTr="0054504F">
        <w:tc>
          <w:tcPr>
            <w:tcW w:w="1199" w:type="pct"/>
          </w:tcPr>
          <w:p w14:paraId="7F46281A" w14:textId="77777777" w:rsidR="00B8103C" w:rsidRPr="00381011" w:rsidRDefault="00B8103C" w:rsidP="0054504F">
            <w:pPr>
              <w:spacing w:before="60" w:after="60"/>
              <w:rPr>
                <w:rStyle w:val="Strong"/>
              </w:rPr>
            </w:pPr>
            <w:r w:rsidRPr="00381011">
              <w:rPr>
                <w:rStyle w:val="Strong"/>
              </w:rPr>
              <w:t>Sugars-based ingredient</w:t>
            </w:r>
          </w:p>
        </w:tc>
        <w:tc>
          <w:tcPr>
            <w:tcW w:w="3801" w:type="pct"/>
          </w:tcPr>
          <w:p w14:paraId="088E477D" w14:textId="37F5ADAE" w:rsidR="00B8103C" w:rsidRPr="00BC587F" w:rsidRDefault="00AD7E50" w:rsidP="0054504F">
            <w:pPr>
              <w:spacing w:before="60" w:after="60"/>
            </w:pPr>
            <w:r w:rsidRPr="00BC587F">
              <w:t>T</w:t>
            </w:r>
            <w:r w:rsidR="00B8103C" w:rsidRPr="00BC587F">
              <w:t xml:space="preserve">his term would be defined as an implementation detail. </w:t>
            </w:r>
            <w:r w:rsidR="0050630A" w:rsidRPr="00BC587F">
              <w:t>As an example, in Canada</w:t>
            </w:r>
            <w:r w:rsidR="00B8103C" w:rsidRPr="00BC587F">
              <w:t xml:space="preserve"> sugars-based ingredient</w:t>
            </w:r>
            <w:r w:rsidR="0050630A" w:rsidRPr="00BC587F">
              <w:t xml:space="preserve"> </w:t>
            </w:r>
            <w:r w:rsidR="00B8103C" w:rsidRPr="00BC587F">
              <w:t>mean</w:t>
            </w:r>
            <w:r w:rsidR="0050630A" w:rsidRPr="00BC587F">
              <w:t>s</w:t>
            </w:r>
            <w:r w:rsidR="00B8103C" w:rsidRPr="00BC587F">
              <w:t>:</w:t>
            </w:r>
            <w:r w:rsidR="0050630A" w:rsidRPr="00BC587F">
              <w:t xml:space="preserve"> </w:t>
            </w:r>
            <w:r w:rsidR="00B8103C" w:rsidRPr="00BC587F">
              <w:t>(a) an ingredient that is a monosaccharide or disaccharide or a combination of these;</w:t>
            </w:r>
            <w:r w:rsidR="0050630A" w:rsidRPr="00BC587F">
              <w:t xml:space="preserve"> </w:t>
            </w:r>
            <w:r w:rsidR="00B8103C" w:rsidRPr="00BC587F">
              <w:t>(b)</w:t>
            </w:r>
            <w:r w:rsidR="00D73004" w:rsidRPr="00BC587F">
              <w:t xml:space="preserve"> </w:t>
            </w:r>
            <w:r w:rsidR="00B8103C" w:rsidRPr="00BC587F">
              <w:t>an ingredient that is a sweetening agent other than one referred to in paragraph (a); and</w:t>
            </w:r>
            <w:r w:rsidR="0050630A" w:rsidRPr="00BC587F">
              <w:t xml:space="preserve"> </w:t>
            </w:r>
            <w:r w:rsidR="00B8103C" w:rsidRPr="00BC587F">
              <w:t>(c) any other ingredient that contains one or more sugars and that is added to the product as a functional substitute for a sweetening agent.</w:t>
            </w:r>
          </w:p>
        </w:tc>
      </w:tr>
      <w:tr w:rsidR="0086699D" w:rsidRPr="0086699D" w14:paraId="586FF35F" w14:textId="77777777" w:rsidTr="0054504F">
        <w:tc>
          <w:tcPr>
            <w:tcW w:w="1199" w:type="pct"/>
          </w:tcPr>
          <w:p w14:paraId="5DF429C5" w14:textId="0958C528" w:rsidR="0086699D" w:rsidRPr="00381011" w:rsidRDefault="0086699D" w:rsidP="0054504F">
            <w:pPr>
              <w:spacing w:before="60" w:after="60"/>
              <w:rPr>
                <w:rStyle w:val="Strong"/>
              </w:rPr>
            </w:pPr>
            <w:r w:rsidRPr="00381011">
              <w:rPr>
                <w:rStyle w:val="Strong"/>
              </w:rPr>
              <w:t>Sugar-sweetened beverage</w:t>
            </w:r>
            <w:r w:rsidR="00A8493A" w:rsidRPr="00381011">
              <w:rPr>
                <w:rStyle w:val="Strong"/>
              </w:rPr>
              <w:t xml:space="preserve"> </w:t>
            </w:r>
          </w:p>
        </w:tc>
        <w:tc>
          <w:tcPr>
            <w:tcW w:w="3801" w:type="pct"/>
          </w:tcPr>
          <w:p w14:paraId="63268958" w14:textId="3C17B1A5" w:rsidR="0086699D" w:rsidRPr="00A56F43" w:rsidRDefault="00AD7E50" w:rsidP="0054504F">
            <w:pPr>
              <w:spacing w:before="60" w:after="60"/>
              <w:rPr>
                <w:rFonts w:cstheme="minorHAnsi"/>
              </w:rPr>
            </w:pPr>
            <w:r w:rsidRPr="00A56F43">
              <w:t xml:space="preserve">This term would be defined as an implementation detail. </w:t>
            </w:r>
            <w:r w:rsidR="006A4DE1" w:rsidRPr="00A56F43">
              <w:t>An example definition is from Australian Bureau of Statistics analysis of food consumption data the</w:t>
            </w:r>
            <w:r w:rsidR="00A8493A" w:rsidRPr="00A56F43">
              <w:t xml:space="preserve"> 2011-12 Australian Health Survey </w:t>
            </w:r>
            <w:r w:rsidR="006A4DE1" w:rsidRPr="00A56F43">
              <w:t xml:space="preserve">where sugar-sweetened beverages were </w:t>
            </w:r>
            <w:r w:rsidR="00A8493A" w:rsidRPr="00A56F43">
              <w:t xml:space="preserve">defined to be </w:t>
            </w:r>
            <w:r w:rsidR="00A8493A" w:rsidRPr="00A56F43">
              <w:rPr>
                <w:rStyle w:val="Emphasis"/>
              </w:rPr>
              <w:t>‘cordials, soft drinks and flavoured mineral waters, energy and electrolyte drinks, fortified waters, and fruit and vegetable drinks</w:t>
            </w:r>
            <w:r w:rsidR="00A8493A" w:rsidRPr="00A56F43">
              <w:t xml:space="preserve"> (noting this definition excludes 100% fruit and vegetable juice)</w:t>
            </w:r>
            <w:r w:rsidR="006A4DE1" w:rsidRPr="00A56F43">
              <w:t xml:space="preserve"> </w:t>
            </w:r>
            <w:r w:rsidR="006A4DE1" w:rsidRPr="00A56F43">
              <w:rPr>
                <w:rStyle w:val="Emphasis"/>
              </w:rPr>
              <w:t>that contain added sugar</w:t>
            </w:r>
            <w:r w:rsidR="00A8493A" w:rsidRPr="00A56F43">
              <w:rPr>
                <w:rStyle w:val="Emphasis"/>
              </w:rPr>
              <w:t>’</w:t>
            </w:r>
            <w:r w:rsidR="00A8493A" w:rsidRPr="00A56F43">
              <w:t>.</w:t>
            </w:r>
          </w:p>
        </w:tc>
      </w:tr>
      <w:tr w:rsidR="00CB045C" w:rsidRPr="0086699D" w14:paraId="71FE118E" w14:textId="77777777" w:rsidTr="0054504F">
        <w:tc>
          <w:tcPr>
            <w:tcW w:w="1199" w:type="pct"/>
          </w:tcPr>
          <w:p w14:paraId="73E30EC9" w14:textId="092CC4C0" w:rsidR="00CB045C" w:rsidRPr="00381011" w:rsidRDefault="00CB045C" w:rsidP="0054504F">
            <w:pPr>
              <w:spacing w:before="60" w:after="60"/>
              <w:rPr>
                <w:rStyle w:val="Strong"/>
              </w:rPr>
            </w:pPr>
            <w:r w:rsidRPr="00381011">
              <w:rPr>
                <w:rStyle w:val="Strong"/>
              </w:rPr>
              <w:t>Sugary drinks</w:t>
            </w:r>
          </w:p>
        </w:tc>
        <w:tc>
          <w:tcPr>
            <w:tcW w:w="3801" w:type="pct"/>
          </w:tcPr>
          <w:p w14:paraId="68BB3C1D" w14:textId="12186B2F" w:rsidR="00224E44" w:rsidRPr="00BC587F" w:rsidDel="00CB045C" w:rsidRDefault="00AD7E50" w:rsidP="0054504F">
            <w:pPr>
              <w:spacing w:before="60" w:after="60"/>
            </w:pPr>
            <w:r w:rsidRPr="00BC587F">
              <w:t>This term would be defined as an implementation detail. An example definition is</w:t>
            </w:r>
            <w:r w:rsidR="008770B5" w:rsidRPr="00BC587F">
              <w:t xml:space="preserve"> used in the New Zealand Labelling of Sugary Beverages (Displaying Teaspoons of Sugar) Bill </w:t>
            </w:r>
            <w:r w:rsidRPr="00BC587F">
              <w:t>where the term ‘sugary drinks’ includes any beverage</w:t>
            </w:r>
            <w:r w:rsidR="008770B5" w:rsidRPr="00BC587F">
              <w:t xml:space="preserve"> to which the manufacturer has added </w:t>
            </w:r>
            <w:proofErr w:type="gramStart"/>
            <w:r w:rsidR="008770B5" w:rsidRPr="00BC587F">
              <w:t>sugar</w:t>
            </w:r>
            <w:proofErr w:type="gramEnd"/>
            <w:r w:rsidR="008770B5" w:rsidRPr="00BC587F">
              <w:t xml:space="preserve"> or which naturally contains sugar.</w:t>
            </w:r>
            <w:r w:rsidRPr="00BC587F">
              <w:t xml:space="preserve"> The Bill notes this includes beverages such as juice but excludes beverages such as standard alcoholic</w:t>
            </w:r>
            <w:r w:rsidR="00DC3857" w:rsidRPr="00BC587F">
              <w:t xml:space="preserve"> beverages and infant formulas.</w:t>
            </w:r>
          </w:p>
        </w:tc>
      </w:tr>
      <w:tr w:rsidR="00150C8F" w:rsidRPr="0086699D" w14:paraId="1BCBFAC4" w14:textId="77777777" w:rsidTr="0054504F">
        <w:tc>
          <w:tcPr>
            <w:tcW w:w="1199" w:type="pct"/>
          </w:tcPr>
          <w:p w14:paraId="59D86DC2" w14:textId="77777777" w:rsidR="00150C8F" w:rsidRPr="00381011" w:rsidRDefault="00150C8F" w:rsidP="0054504F">
            <w:pPr>
              <w:spacing w:before="60" w:after="60"/>
              <w:rPr>
                <w:rStyle w:val="Strong"/>
              </w:rPr>
            </w:pPr>
            <w:r w:rsidRPr="00381011">
              <w:rPr>
                <w:rStyle w:val="Strong"/>
              </w:rPr>
              <w:t>Total sugars</w:t>
            </w:r>
          </w:p>
        </w:tc>
        <w:tc>
          <w:tcPr>
            <w:tcW w:w="3801" w:type="pct"/>
          </w:tcPr>
          <w:p w14:paraId="5C03E097" w14:textId="59A8DFF3" w:rsidR="00150C8F" w:rsidRPr="00BC587F" w:rsidRDefault="00150C8F" w:rsidP="0054504F">
            <w:pPr>
              <w:spacing w:before="60" w:after="60"/>
            </w:pPr>
            <w:r w:rsidRPr="00BC587F">
              <w:t xml:space="preserve">The total amount of sugars in a product, from both added sugars and naturally occurring </w:t>
            </w:r>
            <w:r w:rsidR="00B60099" w:rsidRPr="00BC587F">
              <w:t xml:space="preserve">(intrinsic) </w:t>
            </w:r>
            <w:r w:rsidRPr="00BC587F">
              <w:t>sugars</w:t>
            </w:r>
            <w:r w:rsidR="006A4DE1" w:rsidRPr="00BC587F">
              <w:t>.</w:t>
            </w:r>
          </w:p>
        </w:tc>
      </w:tr>
    </w:tbl>
    <w:p w14:paraId="59F94EE8" w14:textId="77777777" w:rsidR="00396B69" w:rsidRDefault="00396B69">
      <w:pPr>
        <w:spacing w:before="0" w:after="160" w:line="259" w:lineRule="auto"/>
        <w:rPr>
          <w:rFonts w:asciiTheme="majorHAnsi" w:eastAsia="Times New Roman" w:hAnsiTheme="majorHAnsi" w:cs="Times New Roman"/>
          <w:color w:val="215E6A" w:themeColor="accent1" w:themeShade="80"/>
          <w:sz w:val="36"/>
          <w:szCs w:val="20"/>
        </w:rPr>
      </w:pPr>
      <w:bookmarkStart w:id="7" w:name="_Toc6323580"/>
      <w:r>
        <w:br w:type="page"/>
      </w:r>
    </w:p>
    <w:p w14:paraId="65615F3F" w14:textId="0D503B22" w:rsidR="00275298" w:rsidRDefault="00275298" w:rsidP="00314A5D">
      <w:pPr>
        <w:pStyle w:val="Heading1nonumbers"/>
      </w:pPr>
      <w:r w:rsidRPr="00AB7D96">
        <w:t>Executive summary</w:t>
      </w:r>
      <w:bookmarkEnd w:id="7"/>
    </w:p>
    <w:p w14:paraId="3191B631" w14:textId="77777777" w:rsidR="0099521C" w:rsidRPr="00314A5D" w:rsidRDefault="0099521C" w:rsidP="00314A5D">
      <w:pPr>
        <w:pStyle w:val="Heading2"/>
      </w:pPr>
      <w:bookmarkStart w:id="8" w:name="_Toc2252859"/>
      <w:bookmarkStart w:id="9" w:name="_Toc3905532"/>
      <w:bookmarkStart w:id="10" w:name="_Toc6323581"/>
      <w:r w:rsidRPr="00314A5D">
        <w:t>Introduction</w:t>
      </w:r>
      <w:bookmarkEnd w:id="8"/>
      <w:bookmarkEnd w:id="9"/>
      <w:bookmarkEnd w:id="10"/>
    </w:p>
    <w:p w14:paraId="3E0742AD" w14:textId="26EE7A13" w:rsidR="0099521C" w:rsidRDefault="0099521C" w:rsidP="00F44825">
      <w:pPr>
        <w:autoSpaceDE w:val="0"/>
        <w:autoSpaceDN w:val="0"/>
        <w:adjustRightInd w:val="0"/>
        <w:rPr>
          <w:lang w:eastAsia="zh-CN" w:bidi="th-TH"/>
        </w:rPr>
      </w:pPr>
      <w:r w:rsidRPr="0099521C">
        <w:rPr>
          <w:lang w:eastAsia="zh-CN" w:bidi="th-TH"/>
        </w:rPr>
        <w:t xml:space="preserve">This policy paper has been prepared by the Food Regulation Standing Committee (FRSC) at the request of the Australia and New Zealand Ministerial Forum on Food Regulation (the Forum) to </w:t>
      </w:r>
      <w:r>
        <w:rPr>
          <w:lang w:eastAsia="zh-CN" w:bidi="th-TH"/>
        </w:rPr>
        <w:t>provide advice</w:t>
      </w:r>
      <w:r w:rsidRPr="0099521C">
        <w:rPr>
          <w:lang w:eastAsia="zh-CN" w:bidi="th-TH"/>
        </w:rPr>
        <w:t xml:space="preserve"> </w:t>
      </w:r>
      <w:r>
        <w:rPr>
          <w:lang w:eastAsia="zh-CN" w:bidi="th-TH"/>
        </w:rPr>
        <w:t>on policy</w:t>
      </w:r>
      <w:r w:rsidRPr="0099521C">
        <w:rPr>
          <w:lang w:eastAsia="zh-CN" w:bidi="th-TH"/>
        </w:rPr>
        <w:t xml:space="preserve"> options for labelling of sugars on packaged foods and drinks for sale in Australia and New Zealand.</w:t>
      </w:r>
    </w:p>
    <w:p w14:paraId="25CDE9FE" w14:textId="6D4B95FD" w:rsidR="00D27AEE" w:rsidRPr="00D27AEE" w:rsidRDefault="00D27AEE" w:rsidP="00F44825">
      <w:pPr>
        <w:autoSpaceDE w:val="0"/>
        <w:autoSpaceDN w:val="0"/>
        <w:adjustRightInd w:val="0"/>
        <w:rPr>
          <w:lang w:eastAsia="zh-CN" w:bidi="th-TH"/>
        </w:rPr>
      </w:pPr>
      <w:r>
        <w:rPr>
          <w:lang w:eastAsia="zh-CN" w:bidi="th-TH"/>
        </w:rPr>
        <w:t xml:space="preserve">This policy paper is a follow-up to the </w:t>
      </w:r>
      <w:r w:rsidRPr="00166D40">
        <w:t xml:space="preserve">Consultation Regulation Impact Statement (CRIS): </w:t>
      </w:r>
      <w:r w:rsidRPr="00F70C9F">
        <w:rPr>
          <w:rStyle w:val="Emphasis"/>
        </w:rPr>
        <w:t>Labelling of sugars on packaged foods and drinks</w:t>
      </w:r>
      <w:r w:rsidRPr="00166D40">
        <w:t xml:space="preserve"> which was released for public consultation from July to September 2018. Over 160 submissions to the consultation were received from stakeholders including the food industry, public health sector, academics, consumer advocates and members of the public.</w:t>
      </w:r>
    </w:p>
    <w:p w14:paraId="49FEADE8" w14:textId="0E5E5341" w:rsidR="00B07C00" w:rsidRPr="00D27AEE" w:rsidRDefault="00D27AEE" w:rsidP="00F44825">
      <w:pPr>
        <w:autoSpaceDE w:val="0"/>
        <w:autoSpaceDN w:val="0"/>
        <w:adjustRightInd w:val="0"/>
      </w:pPr>
      <w:r w:rsidRPr="00166D40">
        <w:t xml:space="preserve">This paper draws upon research and </w:t>
      </w:r>
      <w:r>
        <w:t>feedback from the stakeholder consultation.</w:t>
      </w:r>
    </w:p>
    <w:p w14:paraId="0924998F" w14:textId="77777777" w:rsidR="0099521C" w:rsidRPr="00E66E36" w:rsidRDefault="0099521C" w:rsidP="00314A5D">
      <w:pPr>
        <w:pStyle w:val="Heading2"/>
      </w:pPr>
      <w:bookmarkStart w:id="11" w:name="_Toc2252860"/>
      <w:bookmarkStart w:id="12" w:name="_Toc3905533"/>
      <w:bookmarkStart w:id="13" w:name="_Toc6323582"/>
      <w:r w:rsidRPr="00E66E36">
        <w:t>Statement of the problem</w:t>
      </w:r>
      <w:bookmarkEnd w:id="11"/>
      <w:bookmarkEnd w:id="12"/>
      <w:bookmarkEnd w:id="13"/>
    </w:p>
    <w:p w14:paraId="5C23B6B9" w14:textId="1CD22F58" w:rsidR="0099521C" w:rsidRPr="00BC587F" w:rsidRDefault="0099521C" w:rsidP="00BC587F">
      <w:r w:rsidRPr="00BC587F">
        <w:t>Dietary Guidelines in relation to sugars in Austr</w:t>
      </w:r>
      <w:r w:rsidR="005015B8" w:rsidRPr="00BC587F">
        <w:t>alia and New Zealand recommend:</w:t>
      </w:r>
    </w:p>
    <w:p w14:paraId="6125C4C0" w14:textId="77777777" w:rsidR="0099521C" w:rsidRPr="00E66E36" w:rsidRDefault="0099521C" w:rsidP="00C84941">
      <w:pPr>
        <w:pStyle w:val="Bullets"/>
      </w:pPr>
      <w:r w:rsidRPr="00F44825">
        <w:rPr>
          <w:rStyle w:val="Emphasis"/>
        </w:rPr>
        <w:t>Australian Dietary Guidelines- Guideline 3</w:t>
      </w:r>
      <w:r w:rsidRPr="00E66E36">
        <w:t xml:space="preserve">: Limit intake of foods containing saturated fat, added salt, </w:t>
      </w:r>
      <w:r w:rsidRPr="001406BB">
        <w:rPr>
          <w:rStyle w:val="Strong"/>
        </w:rPr>
        <w:t>added sugars</w:t>
      </w:r>
      <w:r w:rsidRPr="00E66E36">
        <w:t xml:space="preserve"> and alcohol.</w:t>
      </w:r>
    </w:p>
    <w:p w14:paraId="00F9E906" w14:textId="77777777" w:rsidR="0099521C" w:rsidRPr="00E66E36" w:rsidRDefault="0099521C" w:rsidP="00C84941">
      <w:pPr>
        <w:pStyle w:val="Bullets"/>
      </w:pPr>
      <w:r w:rsidRPr="00F44825">
        <w:rPr>
          <w:rStyle w:val="Emphasis"/>
        </w:rPr>
        <w:t>New Zealand Eating and Activity Guidelines- Eating Statement 2</w:t>
      </w:r>
      <w:r w:rsidRPr="00F44825">
        <w:t>:</w:t>
      </w:r>
      <w:r w:rsidRPr="00E66E36">
        <w:t xml:space="preserve"> Choose and/or prepare foods and drinks: with unsaturated fats, that are low in salt, with </w:t>
      </w:r>
      <w:r w:rsidRPr="001406BB">
        <w:rPr>
          <w:rStyle w:val="Strong"/>
        </w:rPr>
        <w:t>little or no added sugar</w:t>
      </w:r>
      <w:r w:rsidRPr="00E66E36">
        <w:t>, and that are mostly ‘whole’ and less processed.</w:t>
      </w:r>
    </w:p>
    <w:p w14:paraId="0E6D348B" w14:textId="56EDA081" w:rsidR="0099521C" w:rsidRPr="00BC587F" w:rsidRDefault="0099521C" w:rsidP="00BC587F">
      <w:r w:rsidRPr="00BC587F">
        <w:t>However, information about added sugars</w:t>
      </w:r>
      <w:r w:rsidRPr="00BC587F">
        <w:footnoteReference w:id="2"/>
      </w:r>
      <w:r w:rsidRPr="00BC587F">
        <w:t xml:space="preserve"> on food labels in Australia and New Zealand is currently limited. </w:t>
      </w:r>
      <w:r w:rsidRPr="00BC587F" w:rsidDel="007B1A28">
        <w:t>The Forum has agreed to the following statement of the problem in relation to sugar labellin</w:t>
      </w:r>
      <w:r w:rsidR="005015B8" w:rsidRPr="00BC587F">
        <w:t>g in Australia and New Zealand.</w:t>
      </w:r>
    </w:p>
    <w:p w14:paraId="0E85762B" w14:textId="77777777" w:rsidR="0099521C" w:rsidRPr="00E66E36" w:rsidRDefault="0099521C" w:rsidP="00F44825">
      <w:pPr>
        <w:pStyle w:val="Boxtext"/>
      </w:pPr>
      <w:r w:rsidRPr="00E66E36">
        <w:t>Information about sugar provided on food labels in Australia and New Zealand does not provide adequate contextual information to enable consumers to make informed choices in support of dietary guidelines.</w:t>
      </w:r>
    </w:p>
    <w:p w14:paraId="3112FB0B" w14:textId="074430FB" w:rsidR="0099521C" w:rsidRPr="00BC587F" w:rsidRDefault="0099521C" w:rsidP="00BC587F">
      <w:r w:rsidRPr="00BC587F">
        <w:t xml:space="preserve">This statement </w:t>
      </w:r>
      <w:r w:rsidR="005015B8" w:rsidRPr="00BC587F">
        <w:t>is based on evidence that:</w:t>
      </w:r>
    </w:p>
    <w:p w14:paraId="4035A5A8" w14:textId="54E25209" w:rsidR="0099521C" w:rsidRPr="00E66E36" w:rsidRDefault="0099521C" w:rsidP="00DD3D9C">
      <w:pPr>
        <w:pStyle w:val="ListParagraph"/>
        <w:numPr>
          <w:ilvl w:val="0"/>
          <w:numId w:val="7"/>
        </w:numPr>
        <w:jc w:val="both"/>
      </w:pPr>
      <w:r w:rsidRPr="00E66E36">
        <w:t xml:space="preserve">Foods can contain a combination of added </w:t>
      </w:r>
      <w:r w:rsidR="005015B8">
        <w:t>and naturally occurring sugars.</w:t>
      </w:r>
    </w:p>
    <w:p w14:paraId="6520F941" w14:textId="77777777" w:rsidR="0099521C" w:rsidRPr="00E66E36" w:rsidRDefault="0099521C" w:rsidP="00DD3D9C">
      <w:pPr>
        <w:pStyle w:val="ListParagraph"/>
        <w:numPr>
          <w:ilvl w:val="0"/>
          <w:numId w:val="7"/>
        </w:numPr>
        <w:jc w:val="both"/>
      </w:pPr>
      <w:r w:rsidRPr="00E66E36">
        <w:t>Foods high in added sugars may displace more nutritious foods in the diet and can contribute to dental caries, unhealthy weight gain and associated non</w:t>
      </w:r>
      <w:r w:rsidRPr="00E66E36">
        <w:noBreakHyphen/>
        <w:t>communicable diseases (NCDs).</w:t>
      </w:r>
    </w:p>
    <w:p w14:paraId="3D072541" w14:textId="2C908D10" w:rsidR="0099521C" w:rsidRPr="00E66E36" w:rsidRDefault="0099521C" w:rsidP="00DD3D9C">
      <w:pPr>
        <w:pStyle w:val="ListParagraph"/>
        <w:numPr>
          <w:ilvl w:val="0"/>
          <w:numId w:val="7"/>
        </w:numPr>
        <w:jc w:val="both"/>
      </w:pPr>
      <w:r w:rsidRPr="00E66E36">
        <w:t xml:space="preserve">To prevent these adverse health outcomes, dietary guidelines in Australia, New Zealand and internationally (including the World Health Organization </w:t>
      </w:r>
      <w:r w:rsidR="001228E5">
        <w:t>[</w:t>
      </w:r>
      <w:r w:rsidRPr="00E66E36">
        <w:t>WHO</w:t>
      </w:r>
      <w:r w:rsidR="001228E5">
        <w:t>])</w:t>
      </w:r>
      <w:r w:rsidR="001228E5" w:rsidRPr="00E66E36">
        <w:t xml:space="preserve"> </w:t>
      </w:r>
      <w:r w:rsidRPr="00E66E36">
        <w:t>recommend limiting the consumption of</w:t>
      </w:r>
      <w:r w:rsidR="005015B8">
        <w:t xml:space="preserve"> foods containing added sugars.</w:t>
      </w:r>
    </w:p>
    <w:p w14:paraId="562D0501" w14:textId="240E8F7B" w:rsidR="0099521C" w:rsidRPr="00E66E36" w:rsidRDefault="0099521C" w:rsidP="00DD3D9C">
      <w:pPr>
        <w:pStyle w:val="ListParagraph"/>
        <w:numPr>
          <w:ilvl w:val="0"/>
          <w:numId w:val="7"/>
        </w:numPr>
        <w:jc w:val="both"/>
      </w:pPr>
      <w:r w:rsidRPr="00E66E36">
        <w:t>Health and nutrition surveys in Australia and New Zealand report that over half of the surveyed populations are excee</w:t>
      </w:r>
      <w:r w:rsidR="00E66E36">
        <w:t>ding the WHO recommended limit</w:t>
      </w:r>
      <w:r w:rsidRPr="00E66E36">
        <w:t xml:space="preserve"> for </w:t>
      </w:r>
      <w:r w:rsidR="00E66E36">
        <w:t xml:space="preserve">consumption of </w:t>
      </w:r>
      <w:r w:rsidRPr="00E66E36">
        <w:t xml:space="preserve">added sugars. While overweight and obesity and dental caries are not solely caused by excessive consumption of added sugar, these conditions place a significant burden on society in Australia and </w:t>
      </w:r>
      <w:r w:rsidR="00483309" w:rsidRPr="00E66E36">
        <w:t>New</w:t>
      </w:r>
      <w:r w:rsidR="00483309">
        <w:t> </w:t>
      </w:r>
      <w:r w:rsidRPr="00E66E36">
        <w:t>Zealand, in terms of direct and indirect costs.</w:t>
      </w:r>
    </w:p>
    <w:p w14:paraId="1825E1C4" w14:textId="6DF565D2" w:rsidR="0099521C" w:rsidRPr="00E66E36" w:rsidRDefault="0099521C" w:rsidP="00DD3D9C">
      <w:pPr>
        <w:pStyle w:val="ListParagraph"/>
        <w:numPr>
          <w:ilvl w:val="0"/>
          <w:numId w:val="7"/>
        </w:numPr>
        <w:jc w:val="both"/>
      </w:pPr>
      <w:r w:rsidRPr="00E66E36">
        <w:t>Food labelling is intended to enable consumers to make informed choices and support public health objective</w:t>
      </w:r>
      <w:r w:rsidR="00DC3857">
        <w:t>s.</w:t>
      </w:r>
    </w:p>
    <w:p w14:paraId="0052CCFC" w14:textId="77777777" w:rsidR="0099521C" w:rsidRPr="00E66E36" w:rsidRDefault="0099521C" w:rsidP="00DD3D9C">
      <w:pPr>
        <w:pStyle w:val="ListParagraph"/>
        <w:numPr>
          <w:ilvl w:val="0"/>
          <w:numId w:val="7"/>
        </w:numPr>
        <w:jc w:val="both"/>
      </w:pPr>
      <w:r w:rsidRPr="00E66E36">
        <w:t>Food labels currently provide limited and/or unclear information about which foods contain added sugars.</w:t>
      </w:r>
    </w:p>
    <w:p w14:paraId="038E9C8B" w14:textId="77777777" w:rsidR="0099521C" w:rsidRPr="00E66E36" w:rsidRDefault="0099521C" w:rsidP="00DD3D9C">
      <w:pPr>
        <w:pStyle w:val="ListParagraph"/>
        <w:numPr>
          <w:ilvl w:val="0"/>
          <w:numId w:val="7"/>
        </w:numPr>
        <w:jc w:val="both"/>
      </w:pPr>
      <w:r w:rsidRPr="00E66E36">
        <w:t>Consumer research in relation to the understanding of sugars and food labelling suggests that:</w:t>
      </w:r>
    </w:p>
    <w:p w14:paraId="11182E6F" w14:textId="77777777" w:rsidR="0099521C" w:rsidRPr="00BC587F" w:rsidRDefault="0099521C" w:rsidP="00DD3D9C">
      <w:pPr>
        <w:numPr>
          <w:ilvl w:val="0"/>
          <w:numId w:val="6"/>
        </w:numPr>
      </w:pPr>
      <w:r w:rsidRPr="00BC587F">
        <w:t xml:space="preserve">consumers are confused about how much sugars they should be </w:t>
      </w:r>
      <w:proofErr w:type="gramStart"/>
      <w:r w:rsidRPr="00BC587F">
        <w:t>consuming;</w:t>
      </w:r>
      <w:proofErr w:type="gramEnd"/>
    </w:p>
    <w:p w14:paraId="67BA0112" w14:textId="69891A5C" w:rsidR="0099521C" w:rsidRPr="00BC587F" w:rsidRDefault="0099521C" w:rsidP="00DD3D9C">
      <w:pPr>
        <w:numPr>
          <w:ilvl w:val="0"/>
          <w:numId w:val="6"/>
        </w:numPr>
      </w:pPr>
      <w:r w:rsidRPr="00BC587F">
        <w:t>consumers may not be able to determine whether a single produc</w:t>
      </w:r>
      <w:r w:rsidR="00DC3857" w:rsidRPr="00BC587F">
        <w:t>t is high or low in sugars; and</w:t>
      </w:r>
    </w:p>
    <w:p w14:paraId="65C7F1A8" w14:textId="3FF1CD12" w:rsidR="0099521C" w:rsidRPr="00BC587F" w:rsidRDefault="0099521C" w:rsidP="00DD3D9C">
      <w:pPr>
        <w:numPr>
          <w:ilvl w:val="0"/>
          <w:numId w:val="6"/>
        </w:numPr>
      </w:pPr>
      <w:r w:rsidRPr="00BC587F">
        <w:t>consumers can be confused about what added sugars are and what types of sugars should be limit</w:t>
      </w:r>
      <w:r w:rsidR="00DC3857" w:rsidRPr="00BC587F">
        <w:t>ed in the diet for good health.</w:t>
      </w:r>
    </w:p>
    <w:p w14:paraId="56FEFE56" w14:textId="55345334" w:rsidR="00A9307D" w:rsidRPr="00A9307D" w:rsidRDefault="00A9307D" w:rsidP="00DD3D9C">
      <w:pPr>
        <w:pStyle w:val="ListParagraph"/>
        <w:numPr>
          <w:ilvl w:val="0"/>
          <w:numId w:val="7"/>
        </w:numPr>
        <w:jc w:val="both"/>
      </w:pPr>
      <w:r w:rsidRPr="00CB626B">
        <w:t xml:space="preserve">There is limited other information available to consumers in Australia and </w:t>
      </w:r>
      <w:r>
        <w:t>New </w:t>
      </w:r>
      <w:r w:rsidRPr="00CB626B">
        <w:t xml:space="preserve">Zealand about </w:t>
      </w:r>
      <w:r w:rsidRPr="00A9307D">
        <w:t>the added sugars content of foods (beyond the lack o</w:t>
      </w:r>
      <w:r w:rsidR="00DC3857">
        <w:t>f information on food labels).</w:t>
      </w:r>
    </w:p>
    <w:p w14:paraId="74D9AC04" w14:textId="0853730D" w:rsidR="0099521C" w:rsidRPr="00A9307D" w:rsidRDefault="0099521C" w:rsidP="00DD3D9C">
      <w:pPr>
        <w:pStyle w:val="ListParagraph"/>
        <w:numPr>
          <w:ilvl w:val="0"/>
          <w:numId w:val="7"/>
        </w:numPr>
        <w:jc w:val="both"/>
      </w:pPr>
      <w:r w:rsidRPr="00A9307D">
        <w:t xml:space="preserve">A range of activities are in place by Governments in Australia and New Zealand to address poor diet and high added sugars intakes. While these may help to motivate consumers to limit consumption of foods containing added sugars, the lack of information about the added sugars content of foods limits consumers’ potential to follow this advice. Implementation of these Government initiatives may also be hampered by lack of information about the </w:t>
      </w:r>
      <w:r w:rsidR="00DC3857">
        <w:t>added sugars content of foods.</w:t>
      </w:r>
    </w:p>
    <w:p w14:paraId="5DA8FBF4" w14:textId="77777777" w:rsidR="0099521C" w:rsidRPr="001A4ADB" w:rsidRDefault="0099521C" w:rsidP="00314A5D">
      <w:pPr>
        <w:pStyle w:val="Heading2"/>
      </w:pPr>
      <w:bookmarkStart w:id="14" w:name="_Toc2252861"/>
      <w:bookmarkStart w:id="15" w:name="_Toc3905534"/>
      <w:bookmarkStart w:id="16" w:name="_Toc6323583"/>
      <w:r w:rsidRPr="001A4ADB">
        <w:t>Objectives</w:t>
      </w:r>
      <w:bookmarkEnd w:id="14"/>
      <w:bookmarkEnd w:id="15"/>
      <w:bookmarkEnd w:id="16"/>
    </w:p>
    <w:p w14:paraId="36D6AC10" w14:textId="223E27B3" w:rsidR="0099521C" w:rsidRPr="00BC587F" w:rsidRDefault="0099521C" w:rsidP="00BC587F">
      <w:r w:rsidRPr="00BC587F">
        <w:t xml:space="preserve">Enabling consumers to make informed choices and supporting public health objectives are two of the aims of the food regulatory system which are relevant to this work. FRSC </w:t>
      </w:r>
      <w:r w:rsidR="00EB309A" w:rsidRPr="00BC587F">
        <w:t xml:space="preserve">has </w:t>
      </w:r>
      <w:r w:rsidRPr="00BC587F">
        <w:t>propose</w:t>
      </w:r>
      <w:r w:rsidR="00EB309A" w:rsidRPr="00BC587F">
        <w:t>d</w:t>
      </w:r>
      <w:r w:rsidRPr="00BC587F">
        <w:t xml:space="preserve"> that the desired outcome of this work is:</w:t>
      </w:r>
    </w:p>
    <w:p w14:paraId="6493B548" w14:textId="77777777" w:rsidR="0099521C" w:rsidRPr="001A4ADB" w:rsidRDefault="0099521C" w:rsidP="00F44825">
      <w:pPr>
        <w:pStyle w:val="Boxtext"/>
      </w:pPr>
      <w:r w:rsidRPr="001A4ADB">
        <w:t>Food labels provide adequate contextual information about sugars to enable consumers to make informed choices in support of the dietary guidelines.</w:t>
      </w:r>
    </w:p>
    <w:p w14:paraId="119E7256" w14:textId="31BECA28" w:rsidR="0099521C" w:rsidRPr="00BC587F" w:rsidRDefault="001213D5" w:rsidP="00846D81">
      <w:r w:rsidRPr="00BC587F">
        <w:t>In this situation,</w:t>
      </w:r>
      <w:r w:rsidR="0099521C" w:rsidRPr="00BC587F">
        <w:t xml:space="preserve"> ‘contextual information’ re</w:t>
      </w:r>
      <w:r w:rsidRPr="00BC587F">
        <w:t>fers</w:t>
      </w:r>
      <w:r w:rsidR="0099521C" w:rsidRPr="00BC587F">
        <w:t xml:space="preserve"> to information that can support consumers to use and interpret a food label.</w:t>
      </w:r>
    </w:p>
    <w:p w14:paraId="0695054B" w14:textId="7700A13D" w:rsidR="0099521C" w:rsidRPr="00BC587F" w:rsidRDefault="0099521C" w:rsidP="00BC587F">
      <w:r w:rsidRPr="00BC587F">
        <w:t>As a range of factors broader than food labelling influence consumer behaviour and dietary intakes, the desired outcome of this work relates to provision of information to support informed choices, rather than specifically reducing intakes of sugars, overweight</w:t>
      </w:r>
      <w:r w:rsidR="00DC3857" w:rsidRPr="00BC587F">
        <w:t xml:space="preserve"> and obesity, or dental caries.</w:t>
      </w:r>
    </w:p>
    <w:p w14:paraId="1DF8BCA1" w14:textId="77777777" w:rsidR="0099521C" w:rsidRPr="001213D5" w:rsidRDefault="0099521C" w:rsidP="00314A5D">
      <w:pPr>
        <w:pStyle w:val="Heading2"/>
      </w:pPr>
      <w:bookmarkStart w:id="17" w:name="_Toc2252862"/>
      <w:bookmarkStart w:id="18" w:name="_Toc3905535"/>
      <w:bookmarkStart w:id="19" w:name="_Toc6323584"/>
      <w:r w:rsidRPr="001213D5">
        <w:t>Statement of options</w:t>
      </w:r>
      <w:bookmarkEnd w:id="17"/>
      <w:bookmarkEnd w:id="18"/>
      <w:bookmarkEnd w:id="19"/>
    </w:p>
    <w:p w14:paraId="6A6930AC" w14:textId="433E1228" w:rsidR="0099521C" w:rsidRPr="00BC587F" w:rsidRDefault="001213D5" w:rsidP="00BC587F">
      <w:r w:rsidRPr="00BC587F">
        <w:t>S</w:t>
      </w:r>
      <w:r w:rsidR="0099521C" w:rsidRPr="00BC587F">
        <w:t xml:space="preserve">ix options (in addition to the status quo) </w:t>
      </w:r>
      <w:r w:rsidRPr="00BC587F">
        <w:t>were</w:t>
      </w:r>
      <w:r w:rsidR="0099521C" w:rsidRPr="00BC587F">
        <w:t xml:space="preserve"> proposed to achieve the desired outcome. The proposed options are:</w:t>
      </w:r>
    </w:p>
    <w:p w14:paraId="607D1B90" w14:textId="77777777" w:rsidR="0099521C" w:rsidRPr="00C84941" w:rsidRDefault="0099521C" w:rsidP="00DD3D9C">
      <w:pPr>
        <w:pStyle w:val="ListParagraph"/>
        <w:numPr>
          <w:ilvl w:val="0"/>
          <w:numId w:val="8"/>
        </w:numPr>
      </w:pPr>
      <w:r w:rsidRPr="00C84941">
        <w:t>Status quo</w:t>
      </w:r>
    </w:p>
    <w:p w14:paraId="3A973E6D" w14:textId="77777777" w:rsidR="0099521C" w:rsidRPr="00C84941" w:rsidRDefault="0099521C" w:rsidP="00DD3D9C">
      <w:pPr>
        <w:pStyle w:val="ListParagraph"/>
        <w:numPr>
          <w:ilvl w:val="0"/>
          <w:numId w:val="8"/>
        </w:numPr>
      </w:pPr>
      <w:r w:rsidRPr="00C84941">
        <w:t xml:space="preserve">Education on how to read and interpret labelling information about </w:t>
      </w:r>
      <w:proofErr w:type="gramStart"/>
      <w:r w:rsidRPr="00C84941">
        <w:t>sugars</w:t>
      </w:r>
      <w:proofErr w:type="gramEnd"/>
    </w:p>
    <w:p w14:paraId="5742B0A4" w14:textId="77777777" w:rsidR="0099521C" w:rsidRPr="00C84941" w:rsidRDefault="0099521C" w:rsidP="00DD3D9C">
      <w:pPr>
        <w:pStyle w:val="ListParagraph"/>
        <w:numPr>
          <w:ilvl w:val="0"/>
          <w:numId w:val="8"/>
        </w:numPr>
      </w:pPr>
      <w:r w:rsidRPr="00C84941">
        <w:t xml:space="preserve">Change the statement of ingredients to overtly identify sugars-based </w:t>
      </w:r>
      <w:proofErr w:type="gramStart"/>
      <w:r w:rsidRPr="00C84941">
        <w:t>ingredients</w:t>
      </w:r>
      <w:proofErr w:type="gramEnd"/>
    </w:p>
    <w:p w14:paraId="347F63A3" w14:textId="77777777" w:rsidR="0099521C" w:rsidRPr="00C84941" w:rsidRDefault="0099521C" w:rsidP="00DD3D9C">
      <w:pPr>
        <w:pStyle w:val="ListParagraph"/>
        <w:numPr>
          <w:ilvl w:val="0"/>
          <w:numId w:val="8"/>
        </w:numPr>
      </w:pPr>
      <w:r w:rsidRPr="00C84941">
        <w:t>Added sugars quantified in the nutrition information panel (NIP)</w:t>
      </w:r>
    </w:p>
    <w:p w14:paraId="161E38D0" w14:textId="77777777" w:rsidR="0099521C" w:rsidRPr="00C84941" w:rsidRDefault="0099521C" w:rsidP="00DD3D9C">
      <w:pPr>
        <w:pStyle w:val="ListParagraph"/>
        <w:numPr>
          <w:ilvl w:val="0"/>
          <w:numId w:val="8"/>
        </w:numPr>
      </w:pPr>
      <w:r w:rsidRPr="00C84941">
        <w:t xml:space="preserve">Advisory labels for foods high in added </w:t>
      </w:r>
      <w:proofErr w:type="gramStart"/>
      <w:r w:rsidRPr="00C84941">
        <w:t>sugar</w:t>
      </w:r>
      <w:proofErr w:type="gramEnd"/>
    </w:p>
    <w:p w14:paraId="207639D0" w14:textId="77777777" w:rsidR="0099521C" w:rsidRPr="00C84941" w:rsidRDefault="0099521C" w:rsidP="00DD3D9C">
      <w:pPr>
        <w:pStyle w:val="ListParagraph"/>
        <w:numPr>
          <w:ilvl w:val="0"/>
          <w:numId w:val="8"/>
        </w:numPr>
      </w:pPr>
      <w:r w:rsidRPr="00C84941">
        <w:t xml:space="preserve">Pictorial display of the </w:t>
      </w:r>
      <w:proofErr w:type="gramStart"/>
      <w:r w:rsidRPr="00C84941">
        <w:t>amount</w:t>
      </w:r>
      <w:proofErr w:type="gramEnd"/>
      <w:r w:rsidRPr="00C84941">
        <w:t xml:space="preserve"> of sugars and/or added sugars in a serving of food</w:t>
      </w:r>
    </w:p>
    <w:p w14:paraId="7294A784" w14:textId="77777777" w:rsidR="0099521C" w:rsidRPr="001213D5" w:rsidRDefault="0099521C" w:rsidP="00DD3D9C">
      <w:pPr>
        <w:pStyle w:val="ListParagraph"/>
        <w:numPr>
          <w:ilvl w:val="0"/>
          <w:numId w:val="8"/>
        </w:numPr>
      </w:pPr>
      <w:r w:rsidRPr="00C84941">
        <w:t>Digital linking to off</w:t>
      </w:r>
      <w:r w:rsidRPr="00C84941">
        <w:rPr>
          <w:rFonts w:eastAsia="Calibri"/>
          <w:lang w:eastAsia="en-GB"/>
        </w:rPr>
        <w:t xml:space="preserve"> label web-based information about added sugar content.</w:t>
      </w:r>
    </w:p>
    <w:p w14:paraId="4BEB73AE" w14:textId="75CA2220" w:rsidR="0099521C" w:rsidRPr="00BC587F" w:rsidRDefault="0099521C" w:rsidP="00AA37B6">
      <w:pPr>
        <w:keepNext/>
        <w:keepLines/>
      </w:pPr>
      <w:r w:rsidRPr="00BC587F">
        <w:t xml:space="preserve">Strengths and weaknesses of each of the proposed options (compared to the </w:t>
      </w:r>
      <w:r w:rsidR="00EB309A" w:rsidRPr="00BC587F">
        <w:t>status quo) are discussed in this</w:t>
      </w:r>
      <w:r w:rsidRPr="00BC587F">
        <w:t xml:space="preserve"> document. Implementation details, such as what </w:t>
      </w:r>
      <w:proofErr w:type="gramStart"/>
      <w:r w:rsidRPr="00BC587F">
        <w:t>particular types</w:t>
      </w:r>
      <w:proofErr w:type="gramEnd"/>
      <w:r w:rsidRPr="00BC587F">
        <w:t xml:space="preserve"> of sugars are considered to be ‘added sugars’ or how a food high in added sugars would be defined would be considered during the development and implementation of the </w:t>
      </w:r>
      <w:r w:rsidR="00F25EF3" w:rsidRPr="00BC587F">
        <w:t xml:space="preserve">any </w:t>
      </w:r>
      <w:r w:rsidRPr="00BC587F">
        <w:t>option(s) and are not considered in this paper. These are technical details which do not impact the policy options being proposed or the analysis of the proposed options.</w:t>
      </w:r>
    </w:p>
    <w:p w14:paraId="57343454" w14:textId="77777777" w:rsidR="00D02CDA" w:rsidRPr="00B44104" w:rsidRDefault="00D02CDA" w:rsidP="00314A5D">
      <w:pPr>
        <w:pStyle w:val="Heading2"/>
      </w:pPr>
      <w:bookmarkStart w:id="20" w:name="_Toc1480956"/>
      <w:bookmarkStart w:id="21" w:name="_Toc1634512"/>
      <w:bookmarkStart w:id="22" w:name="_Toc2252863"/>
      <w:bookmarkStart w:id="23" w:name="_Toc3905536"/>
      <w:bookmarkStart w:id="24" w:name="_Toc6323585"/>
      <w:r w:rsidRPr="00B44104">
        <w:t>Stakeholder views in relation to the proposed options</w:t>
      </w:r>
      <w:bookmarkEnd w:id="20"/>
      <w:bookmarkEnd w:id="21"/>
      <w:bookmarkEnd w:id="22"/>
      <w:bookmarkEnd w:id="23"/>
      <w:bookmarkEnd w:id="24"/>
    </w:p>
    <w:p w14:paraId="08C85E8C" w14:textId="0C56A9DA" w:rsidR="00D02CDA" w:rsidRPr="00BC587F" w:rsidRDefault="00EB309A" w:rsidP="00BC587F">
      <w:r w:rsidRPr="00BC587F">
        <w:t>P</w:t>
      </w:r>
      <w:r w:rsidR="00D02CDA" w:rsidRPr="00BC587F">
        <w:t>ublic consultation was undertaken from 19 July to 21 September 2018. The consultation involved inviting submissions from stakeholders to a series of 36 questions in a Consultation Regulation Impact Statement (CRIS) on labelling of sugar</w:t>
      </w:r>
      <w:r w:rsidR="00DC3857" w:rsidRPr="00BC587F">
        <w:t>s on packaged foods and drinks.</w:t>
      </w:r>
    </w:p>
    <w:p w14:paraId="09DFE725" w14:textId="4A9B8373" w:rsidR="00D02CDA" w:rsidRPr="00BC587F" w:rsidRDefault="00D02CDA" w:rsidP="00BC587F">
      <w:r w:rsidRPr="00BC587F">
        <w:t>A total of 166 s</w:t>
      </w:r>
      <w:r w:rsidR="005015B8" w:rsidRPr="00BC587F">
        <w:t xml:space="preserve">ubmissions were received. </w:t>
      </w:r>
      <w:r w:rsidR="004C37C0">
        <w:fldChar w:fldCharType="begin"/>
      </w:r>
      <w:r w:rsidR="004C37C0">
        <w:instrText xml:space="preserve"> REF _Ref6319458 \h </w:instrText>
      </w:r>
      <w:r w:rsidR="004C37C0">
        <w:fldChar w:fldCharType="separate"/>
      </w:r>
      <w:r w:rsidR="004C37C0">
        <w:t xml:space="preserve">Table </w:t>
      </w:r>
      <w:r w:rsidR="004C37C0">
        <w:rPr>
          <w:noProof/>
        </w:rPr>
        <w:t>1</w:t>
      </w:r>
      <w:r w:rsidR="004C37C0">
        <w:fldChar w:fldCharType="end"/>
      </w:r>
      <w:r w:rsidR="004C37C0">
        <w:t xml:space="preserve"> </w:t>
      </w:r>
      <w:r w:rsidRPr="00BC587F">
        <w:t xml:space="preserve">provides an overview of submissions received and </w:t>
      </w:r>
      <w:r w:rsidR="004C37C0">
        <w:fldChar w:fldCharType="begin"/>
      </w:r>
      <w:r w:rsidR="004C37C0">
        <w:instrText xml:space="preserve"> REF _Ref6319532 \h </w:instrText>
      </w:r>
      <w:r w:rsidR="004C37C0">
        <w:fldChar w:fldCharType="separate"/>
      </w:r>
      <w:r w:rsidR="004C37C0">
        <w:t xml:space="preserve">Table </w:t>
      </w:r>
      <w:r w:rsidR="004C37C0">
        <w:rPr>
          <w:noProof/>
        </w:rPr>
        <w:t>2</w:t>
      </w:r>
      <w:r w:rsidR="004C37C0">
        <w:fldChar w:fldCharType="end"/>
      </w:r>
      <w:r w:rsidRPr="00BC587F">
        <w:t xml:space="preserve"> provides an overview of the support from stakeholders in re</w:t>
      </w:r>
      <w:r w:rsidR="00DC3857" w:rsidRPr="00BC587F">
        <w:t>lation to the proposed options.</w:t>
      </w:r>
      <w:r w:rsidR="00EB309A" w:rsidRPr="00BC587F">
        <w:t xml:space="preserve"> Table </w:t>
      </w:r>
      <w:r w:rsidR="004C37C0">
        <w:t>2</w:t>
      </w:r>
      <w:r w:rsidR="00EB309A" w:rsidRPr="00BC587F">
        <w:t xml:space="preserve"> is colour coded to provide an at-a-glance indication of support from the various stakeholder sectors.</w:t>
      </w:r>
    </w:p>
    <w:p w14:paraId="6DB33873" w14:textId="081AA5C9" w:rsidR="00D02CDA" w:rsidRDefault="004C37C0" w:rsidP="004C37C0">
      <w:pPr>
        <w:pStyle w:val="Caption"/>
      </w:pPr>
      <w:bookmarkStart w:id="25" w:name="_Ref6319458"/>
      <w:r>
        <w:t xml:space="preserve">Table </w:t>
      </w:r>
      <w:fldSimple w:instr=" SEQ Table \* ARABIC ">
        <w:r>
          <w:rPr>
            <w:noProof/>
          </w:rPr>
          <w:t>1</w:t>
        </w:r>
      </w:fldSimple>
      <w:bookmarkEnd w:id="25"/>
      <w:r>
        <w:t xml:space="preserve">. </w:t>
      </w:r>
      <w:r w:rsidR="00D02CDA" w:rsidRPr="00B60099">
        <w:t>Submissions to the stakeholder consultation</w:t>
      </w:r>
    </w:p>
    <w:tbl>
      <w:tblPr>
        <w:tblStyle w:val="TableGrid"/>
        <w:tblW w:w="9214" w:type="dxa"/>
        <w:tblLayout w:type="fixed"/>
        <w:tblLook w:val="04A0" w:firstRow="1" w:lastRow="0" w:firstColumn="1" w:lastColumn="0" w:noHBand="0" w:noVBand="1"/>
        <w:tblDescription w:val="Table 0.1 is a overview of submissions recieved.  This table contains 6 column headings: 1. blank, 2. Australia, 3. New Zealand 4. Bi National, 5. Not specified, 6. Total"/>
      </w:tblPr>
      <w:tblGrid>
        <w:gridCol w:w="1560"/>
        <w:gridCol w:w="1530"/>
        <w:gridCol w:w="1531"/>
        <w:gridCol w:w="1531"/>
        <w:gridCol w:w="1531"/>
        <w:gridCol w:w="1531"/>
      </w:tblGrid>
      <w:tr w:rsidR="00D02CDA" w14:paraId="152F8E00" w14:textId="77777777" w:rsidTr="00181998">
        <w:trPr>
          <w:tblHeader/>
        </w:trPr>
        <w:tc>
          <w:tcPr>
            <w:tcW w:w="1560" w:type="dxa"/>
          </w:tcPr>
          <w:p w14:paraId="0F8994F5" w14:textId="77777777" w:rsidR="00D02CDA" w:rsidRPr="00006031" w:rsidRDefault="00D02CDA" w:rsidP="00727948">
            <w:pPr>
              <w:pStyle w:val="Tableheader"/>
            </w:pPr>
          </w:p>
        </w:tc>
        <w:tc>
          <w:tcPr>
            <w:tcW w:w="1530" w:type="dxa"/>
          </w:tcPr>
          <w:p w14:paraId="2C24342D" w14:textId="77777777" w:rsidR="00D02CDA" w:rsidRPr="00006031" w:rsidRDefault="00D02CDA" w:rsidP="00727948">
            <w:pPr>
              <w:pStyle w:val="Tableheader"/>
            </w:pPr>
            <w:r w:rsidRPr="00006031">
              <w:t>Australia</w:t>
            </w:r>
          </w:p>
        </w:tc>
        <w:tc>
          <w:tcPr>
            <w:tcW w:w="1531" w:type="dxa"/>
          </w:tcPr>
          <w:p w14:paraId="03F26C88" w14:textId="77777777" w:rsidR="00D02CDA" w:rsidRPr="00006031" w:rsidRDefault="00D02CDA" w:rsidP="00727948">
            <w:pPr>
              <w:pStyle w:val="Tableheader"/>
            </w:pPr>
            <w:r w:rsidRPr="00006031">
              <w:t>New Zealand</w:t>
            </w:r>
          </w:p>
        </w:tc>
        <w:tc>
          <w:tcPr>
            <w:tcW w:w="1531" w:type="dxa"/>
          </w:tcPr>
          <w:p w14:paraId="053B0B6B" w14:textId="226CB620" w:rsidR="00D02CDA" w:rsidRPr="00006031" w:rsidRDefault="00D02CDA" w:rsidP="00727948">
            <w:pPr>
              <w:pStyle w:val="Tableheader"/>
            </w:pPr>
            <w:r w:rsidRPr="00006031">
              <w:t>Bi-</w:t>
            </w:r>
            <w:r>
              <w:t>N</w:t>
            </w:r>
            <w:r w:rsidRPr="00006031">
              <w:t>ational</w:t>
            </w:r>
          </w:p>
        </w:tc>
        <w:tc>
          <w:tcPr>
            <w:tcW w:w="1531" w:type="dxa"/>
          </w:tcPr>
          <w:p w14:paraId="4531AE29" w14:textId="77777777" w:rsidR="00D02CDA" w:rsidRPr="00006031" w:rsidRDefault="00D02CDA" w:rsidP="00727948">
            <w:pPr>
              <w:pStyle w:val="Tableheader"/>
            </w:pPr>
            <w:r w:rsidRPr="00006031">
              <w:t>Not specified</w:t>
            </w:r>
          </w:p>
        </w:tc>
        <w:tc>
          <w:tcPr>
            <w:tcW w:w="1531" w:type="dxa"/>
          </w:tcPr>
          <w:p w14:paraId="1DF32DC5" w14:textId="77777777" w:rsidR="00D02CDA" w:rsidRPr="00006031" w:rsidRDefault="00D02CDA" w:rsidP="00727948">
            <w:pPr>
              <w:pStyle w:val="Tableheader"/>
            </w:pPr>
            <w:r w:rsidRPr="00006031">
              <w:t>Total</w:t>
            </w:r>
          </w:p>
        </w:tc>
      </w:tr>
      <w:tr w:rsidR="00D02CDA" w14:paraId="5754019D" w14:textId="77777777" w:rsidTr="00846D81">
        <w:trPr>
          <w:trHeight w:val="113"/>
        </w:trPr>
        <w:tc>
          <w:tcPr>
            <w:tcW w:w="1560" w:type="dxa"/>
          </w:tcPr>
          <w:p w14:paraId="5C6748A6" w14:textId="77777777" w:rsidR="00D02CDA" w:rsidRPr="00006031" w:rsidRDefault="00D02CDA" w:rsidP="00C84941">
            <w:pPr>
              <w:pStyle w:val="Tabletext"/>
            </w:pPr>
            <w:r w:rsidRPr="00006031">
              <w:t>Individuals</w:t>
            </w:r>
          </w:p>
        </w:tc>
        <w:tc>
          <w:tcPr>
            <w:tcW w:w="1530" w:type="dxa"/>
          </w:tcPr>
          <w:p w14:paraId="015B006B" w14:textId="77777777" w:rsidR="00D02CDA" w:rsidRPr="00006031" w:rsidRDefault="00D02CDA" w:rsidP="00C84941">
            <w:pPr>
              <w:pStyle w:val="Tabletext"/>
            </w:pPr>
            <w:r w:rsidRPr="00006031">
              <w:t>23</w:t>
            </w:r>
          </w:p>
        </w:tc>
        <w:tc>
          <w:tcPr>
            <w:tcW w:w="1531" w:type="dxa"/>
          </w:tcPr>
          <w:p w14:paraId="1B2BC2DE" w14:textId="77777777" w:rsidR="00D02CDA" w:rsidRPr="00006031" w:rsidRDefault="00D02CDA" w:rsidP="00C84941">
            <w:pPr>
              <w:pStyle w:val="Tabletext"/>
            </w:pPr>
            <w:r w:rsidRPr="00006031">
              <w:t>43</w:t>
            </w:r>
          </w:p>
        </w:tc>
        <w:tc>
          <w:tcPr>
            <w:tcW w:w="1531" w:type="dxa"/>
          </w:tcPr>
          <w:p w14:paraId="78DF88C0" w14:textId="77777777" w:rsidR="00D02CDA" w:rsidRPr="00006031" w:rsidRDefault="00D02CDA" w:rsidP="00C84941">
            <w:pPr>
              <w:pStyle w:val="Tabletext"/>
            </w:pPr>
            <w:r w:rsidRPr="00006031">
              <w:t>0</w:t>
            </w:r>
          </w:p>
        </w:tc>
        <w:tc>
          <w:tcPr>
            <w:tcW w:w="1531" w:type="dxa"/>
          </w:tcPr>
          <w:p w14:paraId="328E2BBE" w14:textId="77777777" w:rsidR="00D02CDA" w:rsidRPr="00006031" w:rsidRDefault="00D02CDA" w:rsidP="00C84941">
            <w:pPr>
              <w:pStyle w:val="Tabletext"/>
            </w:pPr>
            <w:r w:rsidRPr="00006031">
              <w:t>8</w:t>
            </w:r>
          </w:p>
        </w:tc>
        <w:tc>
          <w:tcPr>
            <w:tcW w:w="1531" w:type="dxa"/>
          </w:tcPr>
          <w:p w14:paraId="1330EF2B" w14:textId="77777777" w:rsidR="00D02CDA" w:rsidRPr="00BC587F" w:rsidRDefault="00D02CDA" w:rsidP="00C84941">
            <w:pPr>
              <w:pStyle w:val="Tabletext"/>
            </w:pPr>
            <w:r w:rsidRPr="00BC587F">
              <w:t>74</w:t>
            </w:r>
          </w:p>
        </w:tc>
      </w:tr>
      <w:tr w:rsidR="00D02CDA" w14:paraId="1436DB7A" w14:textId="77777777" w:rsidTr="00846D81">
        <w:trPr>
          <w:trHeight w:val="113"/>
        </w:trPr>
        <w:tc>
          <w:tcPr>
            <w:tcW w:w="1560" w:type="dxa"/>
          </w:tcPr>
          <w:p w14:paraId="4CCEB854" w14:textId="77777777" w:rsidR="00D02CDA" w:rsidRPr="00006031" w:rsidRDefault="00D02CDA" w:rsidP="00C84941">
            <w:pPr>
              <w:pStyle w:val="Tabletext"/>
            </w:pPr>
            <w:r>
              <w:t>Food i</w:t>
            </w:r>
            <w:r w:rsidRPr="00006031">
              <w:t>ndustry</w:t>
            </w:r>
          </w:p>
        </w:tc>
        <w:tc>
          <w:tcPr>
            <w:tcW w:w="1530" w:type="dxa"/>
          </w:tcPr>
          <w:p w14:paraId="3182559E" w14:textId="77777777" w:rsidR="00D02CDA" w:rsidRPr="00006031" w:rsidRDefault="00D02CDA" w:rsidP="00C84941">
            <w:pPr>
              <w:pStyle w:val="Tabletext"/>
            </w:pPr>
            <w:r w:rsidRPr="00006031">
              <w:t>14</w:t>
            </w:r>
          </w:p>
        </w:tc>
        <w:tc>
          <w:tcPr>
            <w:tcW w:w="1531" w:type="dxa"/>
          </w:tcPr>
          <w:p w14:paraId="701B65D6" w14:textId="77777777" w:rsidR="00D02CDA" w:rsidRPr="00006031" w:rsidRDefault="00D02CDA" w:rsidP="00C84941">
            <w:pPr>
              <w:pStyle w:val="Tabletext"/>
            </w:pPr>
            <w:r w:rsidRPr="00006031">
              <w:t>8</w:t>
            </w:r>
          </w:p>
        </w:tc>
        <w:tc>
          <w:tcPr>
            <w:tcW w:w="1531" w:type="dxa"/>
          </w:tcPr>
          <w:p w14:paraId="661EC1F8" w14:textId="77777777" w:rsidR="00D02CDA" w:rsidRPr="00006031" w:rsidRDefault="00D02CDA" w:rsidP="00C84941">
            <w:pPr>
              <w:pStyle w:val="Tabletext"/>
            </w:pPr>
            <w:r w:rsidRPr="00006031">
              <w:t>9</w:t>
            </w:r>
          </w:p>
        </w:tc>
        <w:tc>
          <w:tcPr>
            <w:tcW w:w="1531" w:type="dxa"/>
          </w:tcPr>
          <w:p w14:paraId="4504316B" w14:textId="77777777" w:rsidR="00D02CDA" w:rsidRPr="00006031" w:rsidRDefault="00D02CDA" w:rsidP="00C84941">
            <w:pPr>
              <w:pStyle w:val="Tabletext"/>
            </w:pPr>
            <w:r w:rsidRPr="00006031">
              <w:t>0</w:t>
            </w:r>
          </w:p>
        </w:tc>
        <w:tc>
          <w:tcPr>
            <w:tcW w:w="1531" w:type="dxa"/>
          </w:tcPr>
          <w:p w14:paraId="4CE8A60B" w14:textId="77777777" w:rsidR="00D02CDA" w:rsidRPr="00BC587F" w:rsidRDefault="00D02CDA" w:rsidP="00C84941">
            <w:pPr>
              <w:pStyle w:val="Tabletext"/>
            </w:pPr>
            <w:r w:rsidRPr="00BC587F">
              <w:t>31</w:t>
            </w:r>
          </w:p>
        </w:tc>
      </w:tr>
      <w:tr w:rsidR="00D02CDA" w14:paraId="7A1909F6" w14:textId="77777777" w:rsidTr="00846D81">
        <w:trPr>
          <w:trHeight w:val="113"/>
        </w:trPr>
        <w:tc>
          <w:tcPr>
            <w:tcW w:w="1560" w:type="dxa"/>
          </w:tcPr>
          <w:p w14:paraId="178E84E1" w14:textId="77777777" w:rsidR="00D02CDA" w:rsidRPr="00006031" w:rsidRDefault="00D02CDA" w:rsidP="00C84941">
            <w:pPr>
              <w:pStyle w:val="Tabletext"/>
            </w:pPr>
            <w:r w:rsidRPr="00006031">
              <w:t>Public Health</w:t>
            </w:r>
          </w:p>
        </w:tc>
        <w:tc>
          <w:tcPr>
            <w:tcW w:w="1530" w:type="dxa"/>
          </w:tcPr>
          <w:p w14:paraId="518C6FFF" w14:textId="77777777" w:rsidR="00D02CDA" w:rsidRPr="00006031" w:rsidRDefault="00D02CDA" w:rsidP="00C84941">
            <w:pPr>
              <w:pStyle w:val="Tabletext"/>
            </w:pPr>
            <w:r>
              <w:t>22</w:t>
            </w:r>
          </w:p>
        </w:tc>
        <w:tc>
          <w:tcPr>
            <w:tcW w:w="1531" w:type="dxa"/>
          </w:tcPr>
          <w:p w14:paraId="13B175B0" w14:textId="77777777" w:rsidR="00D02CDA" w:rsidRPr="00006031" w:rsidRDefault="00D02CDA" w:rsidP="00C84941">
            <w:pPr>
              <w:pStyle w:val="Tabletext"/>
            </w:pPr>
            <w:r>
              <w:t>27</w:t>
            </w:r>
          </w:p>
        </w:tc>
        <w:tc>
          <w:tcPr>
            <w:tcW w:w="1531" w:type="dxa"/>
          </w:tcPr>
          <w:p w14:paraId="19FC9192" w14:textId="77777777" w:rsidR="00D02CDA" w:rsidRPr="00006031" w:rsidRDefault="00D02CDA" w:rsidP="00C84941">
            <w:pPr>
              <w:pStyle w:val="Tabletext"/>
            </w:pPr>
            <w:r w:rsidRPr="00006031">
              <w:t>1</w:t>
            </w:r>
          </w:p>
        </w:tc>
        <w:tc>
          <w:tcPr>
            <w:tcW w:w="1531" w:type="dxa"/>
          </w:tcPr>
          <w:p w14:paraId="09693D19" w14:textId="77777777" w:rsidR="00D02CDA" w:rsidRPr="00006031" w:rsidRDefault="00D02CDA" w:rsidP="00C84941">
            <w:pPr>
              <w:pStyle w:val="Tabletext"/>
            </w:pPr>
            <w:r w:rsidRPr="00006031">
              <w:t>0</w:t>
            </w:r>
          </w:p>
        </w:tc>
        <w:tc>
          <w:tcPr>
            <w:tcW w:w="1531" w:type="dxa"/>
          </w:tcPr>
          <w:p w14:paraId="25599E42" w14:textId="77777777" w:rsidR="00D02CDA" w:rsidRPr="00BC587F" w:rsidRDefault="00D02CDA" w:rsidP="00C84941">
            <w:pPr>
              <w:pStyle w:val="Tabletext"/>
            </w:pPr>
            <w:r w:rsidRPr="00BC587F">
              <w:t>50</w:t>
            </w:r>
          </w:p>
        </w:tc>
      </w:tr>
      <w:tr w:rsidR="00D02CDA" w14:paraId="21D3D4FD" w14:textId="77777777" w:rsidTr="00846D81">
        <w:trPr>
          <w:trHeight w:val="113"/>
        </w:trPr>
        <w:tc>
          <w:tcPr>
            <w:tcW w:w="1560" w:type="dxa"/>
          </w:tcPr>
          <w:p w14:paraId="2DA02737" w14:textId="77777777" w:rsidR="00D02CDA" w:rsidRPr="00006031" w:rsidRDefault="00D02CDA" w:rsidP="00C84941">
            <w:pPr>
              <w:pStyle w:val="Tabletext"/>
            </w:pPr>
            <w:r w:rsidRPr="00006031">
              <w:t>Government</w:t>
            </w:r>
            <w:r>
              <w:t>s</w:t>
            </w:r>
          </w:p>
        </w:tc>
        <w:tc>
          <w:tcPr>
            <w:tcW w:w="1530" w:type="dxa"/>
          </w:tcPr>
          <w:p w14:paraId="740D44C4" w14:textId="77777777" w:rsidR="00D02CDA" w:rsidRPr="00006031" w:rsidRDefault="00D02CDA" w:rsidP="00C84941">
            <w:pPr>
              <w:pStyle w:val="Tabletext"/>
            </w:pPr>
            <w:r w:rsidRPr="00006031">
              <w:t>5</w:t>
            </w:r>
          </w:p>
        </w:tc>
        <w:tc>
          <w:tcPr>
            <w:tcW w:w="1531" w:type="dxa"/>
          </w:tcPr>
          <w:p w14:paraId="3C140099" w14:textId="77777777" w:rsidR="00D02CDA" w:rsidRPr="00006031" w:rsidRDefault="00D02CDA" w:rsidP="00C84941">
            <w:pPr>
              <w:pStyle w:val="Tabletext"/>
            </w:pPr>
            <w:r w:rsidRPr="00006031">
              <w:t>2</w:t>
            </w:r>
          </w:p>
        </w:tc>
        <w:tc>
          <w:tcPr>
            <w:tcW w:w="1531" w:type="dxa"/>
          </w:tcPr>
          <w:p w14:paraId="6667CEE9" w14:textId="77777777" w:rsidR="00D02CDA" w:rsidRPr="00006031" w:rsidRDefault="00D02CDA" w:rsidP="00C84941">
            <w:pPr>
              <w:pStyle w:val="Tabletext"/>
            </w:pPr>
            <w:r w:rsidRPr="00006031">
              <w:t>0</w:t>
            </w:r>
          </w:p>
        </w:tc>
        <w:tc>
          <w:tcPr>
            <w:tcW w:w="1531" w:type="dxa"/>
          </w:tcPr>
          <w:p w14:paraId="3779BEF9" w14:textId="77777777" w:rsidR="00D02CDA" w:rsidRPr="00006031" w:rsidRDefault="00D02CDA" w:rsidP="00C84941">
            <w:pPr>
              <w:pStyle w:val="Tabletext"/>
            </w:pPr>
            <w:r w:rsidRPr="00006031">
              <w:t>0</w:t>
            </w:r>
          </w:p>
        </w:tc>
        <w:tc>
          <w:tcPr>
            <w:tcW w:w="1531" w:type="dxa"/>
          </w:tcPr>
          <w:p w14:paraId="54A039BC" w14:textId="77777777" w:rsidR="00D02CDA" w:rsidRPr="00BC587F" w:rsidRDefault="00D02CDA" w:rsidP="00C84941">
            <w:pPr>
              <w:pStyle w:val="Tabletext"/>
            </w:pPr>
            <w:r w:rsidRPr="00BC587F">
              <w:t>7</w:t>
            </w:r>
          </w:p>
        </w:tc>
      </w:tr>
      <w:tr w:rsidR="00D02CDA" w14:paraId="4BAE5EBF" w14:textId="77777777" w:rsidTr="00846D81">
        <w:trPr>
          <w:trHeight w:val="113"/>
        </w:trPr>
        <w:tc>
          <w:tcPr>
            <w:tcW w:w="1560" w:type="dxa"/>
          </w:tcPr>
          <w:p w14:paraId="569EB2C5" w14:textId="77777777" w:rsidR="00D02CDA" w:rsidRPr="00006031" w:rsidRDefault="00D02CDA" w:rsidP="00C84941">
            <w:pPr>
              <w:pStyle w:val="Tabletext"/>
            </w:pPr>
            <w:r w:rsidRPr="00006031">
              <w:t>Other</w:t>
            </w:r>
            <w:r>
              <w:t>s</w:t>
            </w:r>
          </w:p>
        </w:tc>
        <w:tc>
          <w:tcPr>
            <w:tcW w:w="1530" w:type="dxa"/>
          </w:tcPr>
          <w:p w14:paraId="213D06A3" w14:textId="77777777" w:rsidR="00D02CDA" w:rsidRPr="00006031" w:rsidRDefault="00D02CDA" w:rsidP="00C84941">
            <w:pPr>
              <w:pStyle w:val="Tabletext"/>
            </w:pPr>
            <w:r w:rsidRPr="00006031">
              <w:t>2</w:t>
            </w:r>
          </w:p>
        </w:tc>
        <w:tc>
          <w:tcPr>
            <w:tcW w:w="1531" w:type="dxa"/>
          </w:tcPr>
          <w:p w14:paraId="3D34513D" w14:textId="77777777" w:rsidR="00D02CDA" w:rsidRPr="00006031" w:rsidRDefault="00D02CDA" w:rsidP="00C84941">
            <w:pPr>
              <w:pStyle w:val="Tabletext"/>
            </w:pPr>
            <w:r w:rsidRPr="00006031">
              <w:t>2</w:t>
            </w:r>
          </w:p>
        </w:tc>
        <w:tc>
          <w:tcPr>
            <w:tcW w:w="1531" w:type="dxa"/>
          </w:tcPr>
          <w:p w14:paraId="1B1D6994" w14:textId="77777777" w:rsidR="00D02CDA" w:rsidRPr="00006031" w:rsidRDefault="00D02CDA" w:rsidP="00C84941">
            <w:pPr>
              <w:pStyle w:val="Tabletext"/>
            </w:pPr>
            <w:r w:rsidRPr="00006031">
              <w:t>0</w:t>
            </w:r>
          </w:p>
        </w:tc>
        <w:tc>
          <w:tcPr>
            <w:tcW w:w="1531" w:type="dxa"/>
          </w:tcPr>
          <w:p w14:paraId="52681321" w14:textId="77777777" w:rsidR="00D02CDA" w:rsidRPr="00006031" w:rsidRDefault="00D02CDA" w:rsidP="00C84941">
            <w:pPr>
              <w:pStyle w:val="Tabletext"/>
            </w:pPr>
            <w:r w:rsidRPr="00006031">
              <w:t>0</w:t>
            </w:r>
          </w:p>
        </w:tc>
        <w:tc>
          <w:tcPr>
            <w:tcW w:w="1531" w:type="dxa"/>
          </w:tcPr>
          <w:p w14:paraId="7DB2B3F3" w14:textId="77777777" w:rsidR="00D02CDA" w:rsidRPr="00BC587F" w:rsidRDefault="00D02CDA" w:rsidP="00C84941">
            <w:pPr>
              <w:pStyle w:val="Tabletext"/>
            </w:pPr>
            <w:r w:rsidRPr="00BC587F">
              <w:t>4</w:t>
            </w:r>
          </w:p>
        </w:tc>
      </w:tr>
      <w:tr w:rsidR="00D02CDA" w14:paraId="05D6A315" w14:textId="77777777" w:rsidTr="00846D81">
        <w:trPr>
          <w:trHeight w:val="113"/>
        </w:trPr>
        <w:tc>
          <w:tcPr>
            <w:tcW w:w="1560" w:type="dxa"/>
          </w:tcPr>
          <w:p w14:paraId="7B75ADC2" w14:textId="77777777" w:rsidR="00D02CDA" w:rsidRPr="00006031" w:rsidRDefault="00D02CDA" w:rsidP="00C84941">
            <w:pPr>
              <w:pStyle w:val="Tabletext"/>
            </w:pPr>
            <w:r w:rsidRPr="00006031">
              <w:t>Total</w:t>
            </w:r>
          </w:p>
        </w:tc>
        <w:tc>
          <w:tcPr>
            <w:tcW w:w="1530" w:type="dxa"/>
          </w:tcPr>
          <w:p w14:paraId="6C97ECA7" w14:textId="77777777" w:rsidR="00D02CDA" w:rsidRPr="00BC587F" w:rsidRDefault="00D02CDA" w:rsidP="00C84941">
            <w:pPr>
              <w:pStyle w:val="Tabletext"/>
            </w:pPr>
            <w:r w:rsidRPr="00BC587F">
              <w:t>68</w:t>
            </w:r>
          </w:p>
        </w:tc>
        <w:tc>
          <w:tcPr>
            <w:tcW w:w="1531" w:type="dxa"/>
          </w:tcPr>
          <w:p w14:paraId="1B5EA234" w14:textId="77777777" w:rsidR="00D02CDA" w:rsidRPr="00BC587F" w:rsidRDefault="00D02CDA" w:rsidP="00C84941">
            <w:pPr>
              <w:pStyle w:val="Tabletext"/>
            </w:pPr>
            <w:r w:rsidRPr="00BC587F">
              <w:t>82</w:t>
            </w:r>
          </w:p>
        </w:tc>
        <w:tc>
          <w:tcPr>
            <w:tcW w:w="1531" w:type="dxa"/>
          </w:tcPr>
          <w:p w14:paraId="18816F26" w14:textId="77777777" w:rsidR="00D02CDA" w:rsidRPr="00BC587F" w:rsidRDefault="00D02CDA" w:rsidP="00C84941">
            <w:pPr>
              <w:pStyle w:val="Tabletext"/>
            </w:pPr>
            <w:r w:rsidRPr="00BC587F">
              <w:t>8</w:t>
            </w:r>
          </w:p>
        </w:tc>
        <w:tc>
          <w:tcPr>
            <w:tcW w:w="1531" w:type="dxa"/>
          </w:tcPr>
          <w:p w14:paraId="3891B882" w14:textId="77777777" w:rsidR="00D02CDA" w:rsidRPr="00BC587F" w:rsidRDefault="00D02CDA" w:rsidP="00C84941">
            <w:pPr>
              <w:pStyle w:val="Tabletext"/>
            </w:pPr>
            <w:r w:rsidRPr="00BC587F">
              <w:t>8</w:t>
            </w:r>
          </w:p>
        </w:tc>
        <w:tc>
          <w:tcPr>
            <w:tcW w:w="1531" w:type="dxa"/>
          </w:tcPr>
          <w:p w14:paraId="49601371" w14:textId="77777777" w:rsidR="00D02CDA" w:rsidRPr="00BC587F" w:rsidRDefault="00D02CDA" w:rsidP="00C84941">
            <w:pPr>
              <w:pStyle w:val="Tabletext"/>
            </w:pPr>
            <w:r w:rsidRPr="00BC587F">
              <w:t>166</w:t>
            </w:r>
          </w:p>
        </w:tc>
      </w:tr>
    </w:tbl>
    <w:p w14:paraId="71533F95" w14:textId="4B4FE277" w:rsidR="00D02CDA" w:rsidRPr="005015B8" w:rsidRDefault="004C37C0" w:rsidP="0054504F">
      <w:pPr>
        <w:pStyle w:val="Caption"/>
        <w:pageBreakBefore/>
      </w:pPr>
      <w:bookmarkStart w:id="26" w:name="_Ref6319532"/>
      <w:r>
        <w:t xml:space="preserve">Table </w:t>
      </w:r>
      <w:fldSimple w:instr=" SEQ Table \* ARABIC ">
        <w:r>
          <w:rPr>
            <w:noProof/>
          </w:rPr>
          <w:t>2</w:t>
        </w:r>
      </w:fldSimple>
      <w:bookmarkEnd w:id="26"/>
      <w:r>
        <w:t xml:space="preserve">. </w:t>
      </w:r>
      <w:r w:rsidR="00D02CDA" w:rsidRPr="005015B8">
        <w:t>Overview of stakeholder support for the proposed options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0.2 is an overview of stakeholder support and lists heading columns by options and comments on stakeholder groups."/>
      </w:tblPr>
      <w:tblGrid>
        <w:gridCol w:w="1985"/>
        <w:gridCol w:w="1445"/>
        <w:gridCol w:w="1446"/>
        <w:gridCol w:w="1446"/>
        <w:gridCol w:w="1446"/>
        <w:gridCol w:w="1446"/>
      </w:tblGrid>
      <w:tr w:rsidR="00D02CDA" w:rsidRPr="003C77AA" w14:paraId="16379CC9" w14:textId="77777777" w:rsidTr="00A8387E">
        <w:trPr>
          <w:trHeight w:val="287"/>
          <w:tblHeader/>
        </w:trPr>
        <w:tc>
          <w:tcPr>
            <w:tcW w:w="1985" w:type="dxa"/>
            <w:shd w:val="clear" w:color="auto" w:fill="BFBFBF" w:themeFill="background1" w:themeFillShade="BF"/>
            <w:vAlign w:val="center"/>
          </w:tcPr>
          <w:p w14:paraId="21BB3862" w14:textId="77777777" w:rsidR="00D02CDA" w:rsidRPr="00924AAB" w:rsidRDefault="00D02CDA" w:rsidP="00727948">
            <w:pPr>
              <w:pStyle w:val="Tableheader"/>
            </w:pPr>
            <w:r w:rsidRPr="00924AAB">
              <w:t>Option</w:t>
            </w:r>
          </w:p>
        </w:tc>
        <w:tc>
          <w:tcPr>
            <w:tcW w:w="1445" w:type="dxa"/>
            <w:shd w:val="clear" w:color="auto" w:fill="BFBFBF" w:themeFill="background1" w:themeFillShade="BF"/>
            <w:vAlign w:val="center"/>
          </w:tcPr>
          <w:p w14:paraId="266EC7D1" w14:textId="77777777" w:rsidR="00D02CDA" w:rsidRPr="00924AAB" w:rsidRDefault="00D02CDA" w:rsidP="00727948">
            <w:pPr>
              <w:pStyle w:val="Tableheader"/>
            </w:pPr>
            <w:r w:rsidRPr="00924AAB">
              <w:t>Food industry</w:t>
            </w:r>
          </w:p>
        </w:tc>
        <w:tc>
          <w:tcPr>
            <w:tcW w:w="1446" w:type="dxa"/>
            <w:shd w:val="clear" w:color="auto" w:fill="BFBFBF" w:themeFill="background1" w:themeFillShade="BF"/>
            <w:vAlign w:val="center"/>
          </w:tcPr>
          <w:p w14:paraId="02F469F5" w14:textId="77777777" w:rsidR="00D02CDA" w:rsidRPr="00924AAB" w:rsidRDefault="00D02CDA" w:rsidP="00727948">
            <w:pPr>
              <w:pStyle w:val="Tableheader"/>
            </w:pPr>
            <w:r w:rsidRPr="00924AAB">
              <w:t>Public health</w:t>
            </w:r>
          </w:p>
        </w:tc>
        <w:tc>
          <w:tcPr>
            <w:tcW w:w="1446" w:type="dxa"/>
            <w:shd w:val="clear" w:color="auto" w:fill="BFBFBF" w:themeFill="background1" w:themeFillShade="BF"/>
            <w:vAlign w:val="center"/>
          </w:tcPr>
          <w:p w14:paraId="759184FD" w14:textId="77777777" w:rsidR="00D02CDA" w:rsidRPr="00924AAB" w:rsidRDefault="00D02CDA" w:rsidP="00727948">
            <w:pPr>
              <w:pStyle w:val="Tableheader"/>
            </w:pPr>
            <w:r w:rsidRPr="00924AAB">
              <w:t>Consumers</w:t>
            </w:r>
          </w:p>
        </w:tc>
        <w:tc>
          <w:tcPr>
            <w:tcW w:w="1446" w:type="dxa"/>
            <w:shd w:val="clear" w:color="auto" w:fill="BFBFBF" w:themeFill="background1" w:themeFillShade="BF"/>
            <w:vAlign w:val="center"/>
          </w:tcPr>
          <w:p w14:paraId="6AA7C576" w14:textId="77777777" w:rsidR="00D02CDA" w:rsidRPr="00924AAB" w:rsidRDefault="00D02CDA" w:rsidP="00727948">
            <w:pPr>
              <w:pStyle w:val="Tableheader"/>
            </w:pPr>
            <w:r w:rsidRPr="00924AAB">
              <w:t>Governments</w:t>
            </w:r>
          </w:p>
        </w:tc>
        <w:tc>
          <w:tcPr>
            <w:tcW w:w="1446" w:type="dxa"/>
            <w:shd w:val="clear" w:color="auto" w:fill="BFBFBF" w:themeFill="background1" w:themeFillShade="BF"/>
            <w:vAlign w:val="center"/>
          </w:tcPr>
          <w:p w14:paraId="414F31D5" w14:textId="77777777" w:rsidR="00D02CDA" w:rsidRPr="00924AAB" w:rsidRDefault="00D02CDA" w:rsidP="00727948">
            <w:pPr>
              <w:pStyle w:val="Tableheader"/>
            </w:pPr>
            <w:r w:rsidRPr="00924AAB">
              <w:t>Others</w:t>
            </w:r>
          </w:p>
        </w:tc>
      </w:tr>
      <w:tr w:rsidR="00D02CDA" w:rsidRPr="003C77AA" w14:paraId="4B8260E5" w14:textId="77777777" w:rsidTr="00802E62">
        <w:trPr>
          <w:trHeight w:val="879"/>
        </w:trPr>
        <w:tc>
          <w:tcPr>
            <w:tcW w:w="1985" w:type="dxa"/>
            <w:vAlign w:val="center"/>
          </w:tcPr>
          <w:p w14:paraId="6E868DC7" w14:textId="77777777" w:rsidR="00D02CDA" w:rsidRPr="004B40C7" w:rsidRDefault="00D02CDA" w:rsidP="00C84941">
            <w:pPr>
              <w:pStyle w:val="Tabletext"/>
            </w:pPr>
            <w:r w:rsidRPr="004B40C7">
              <w:t>Option 2 – Education on how to read and interpret labelling information about sugars</w:t>
            </w:r>
          </w:p>
        </w:tc>
        <w:tc>
          <w:tcPr>
            <w:tcW w:w="1445" w:type="dxa"/>
            <w:shd w:val="clear" w:color="auto" w:fill="92D050"/>
            <w:vAlign w:val="center"/>
          </w:tcPr>
          <w:p w14:paraId="3AFA056D" w14:textId="77777777" w:rsidR="00D02CDA" w:rsidRPr="00BC587F" w:rsidRDefault="00D02CDA" w:rsidP="00C84941">
            <w:pPr>
              <w:pStyle w:val="Tabletext"/>
            </w:pPr>
            <w:r w:rsidRPr="00BC587F">
              <w:t>Supported</w:t>
            </w:r>
          </w:p>
        </w:tc>
        <w:tc>
          <w:tcPr>
            <w:tcW w:w="1446" w:type="dxa"/>
            <w:shd w:val="clear" w:color="auto" w:fill="FF7C80"/>
            <w:vAlign w:val="center"/>
          </w:tcPr>
          <w:p w14:paraId="24AF0370" w14:textId="77777777" w:rsidR="00D02CDA" w:rsidRPr="00BC587F" w:rsidRDefault="00D02CDA" w:rsidP="00C84941">
            <w:pPr>
              <w:pStyle w:val="Tabletext"/>
            </w:pPr>
            <w:r w:rsidRPr="00BC587F">
              <w:t>Did not support (as a stand-alone option)</w:t>
            </w:r>
          </w:p>
        </w:tc>
        <w:tc>
          <w:tcPr>
            <w:tcW w:w="1446" w:type="dxa"/>
            <w:shd w:val="clear" w:color="auto" w:fill="FF7C80"/>
            <w:vAlign w:val="center"/>
          </w:tcPr>
          <w:p w14:paraId="6923952F" w14:textId="77777777" w:rsidR="00D02CDA" w:rsidRPr="00BC587F" w:rsidRDefault="00D02CDA" w:rsidP="00C84941">
            <w:pPr>
              <w:pStyle w:val="Tabletext"/>
            </w:pPr>
            <w:r w:rsidRPr="00BC587F">
              <w:t>Did not support (as a stand-alone option)</w:t>
            </w:r>
          </w:p>
        </w:tc>
        <w:tc>
          <w:tcPr>
            <w:tcW w:w="1446" w:type="dxa"/>
            <w:shd w:val="clear" w:color="auto" w:fill="FF7C80"/>
            <w:vAlign w:val="center"/>
          </w:tcPr>
          <w:p w14:paraId="151F2071" w14:textId="77777777" w:rsidR="00D02CDA" w:rsidRPr="00BC587F" w:rsidRDefault="00D02CDA" w:rsidP="00C84941">
            <w:pPr>
              <w:pStyle w:val="Tabletext"/>
            </w:pPr>
            <w:r w:rsidRPr="00BC587F">
              <w:t>Did not support (as a stand-alone option)</w:t>
            </w:r>
          </w:p>
        </w:tc>
        <w:tc>
          <w:tcPr>
            <w:tcW w:w="1446" w:type="dxa"/>
            <w:shd w:val="clear" w:color="auto" w:fill="FF7C80"/>
            <w:vAlign w:val="center"/>
          </w:tcPr>
          <w:p w14:paraId="662C45E5" w14:textId="77777777" w:rsidR="00D02CDA" w:rsidRPr="00BC587F" w:rsidRDefault="00D02CDA" w:rsidP="00C84941">
            <w:pPr>
              <w:pStyle w:val="Tabletext"/>
            </w:pPr>
            <w:r w:rsidRPr="00BC587F">
              <w:t>Did not support (as a stand-alone option)</w:t>
            </w:r>
          </w:p>
        </w:tc>
      </w:tr>
      <w:tr w:rsidR="00D02CDA" w:rsidRPr="003C77AA" w14:paraId="4A45E83B" w14:textId="77777777" w:rsidTr="00802E62">
        <w:trPr>
          <w:trHeight w:val="575"/>
        </w:trPr>
        <w:tc>
          <w:tcPr>
            <w:tcW w:w="1985" w:type="dxa"/>
            <w:vAlign w:val="center"/>
          </w:tcPr>
          <w:p w14:paraId="63CC10F3" w14:textId="77777777" w:rsidR="00D02CDA" w:rsidRPr="004B40C7" w:rsidRDefault="00D02CDA" w:rsidP="00C84941">
            <w:pPr>
              <w:pStyle w:val="Tabletext"/>
            </w:pPr>
            <w:r w:rsidRPr="004B40C7">
              <w:t>Option 3 – Change to statement of ingredients</w:t>
            </w:r>
          </w:p>
        </w:tc>
        <w:tc>
          <w:tcPr>
            <w:tcW w:w="1445" w:type="dxa"/>
            <w:shd w:val="clear" w:color="auto" w:fill="FF7C80"/>
            <w:vAlign w:val="center"/>
          </w:tcPr>
          <w:p w14:paraId="26B3195D" w14:textId="77777777" w:rsidR="00D02CDA" w:rsidRPr="00BC587F" w:rsidRDefault="00D02CDA" w:rsidP="00C84941">
            <w:pPr>
              <w:pStyle w:val="Tabletext"/>
            </w:pPr>
            <w:r w:rsidRPr="00BC587F">
              <w:t>Did not support</w:t>
            </w:r>
          </w:p>
        </w:tc>
        <w:tc>
          <w:tcPr>
            <w:tcW w:w="1446" w:type="dxa"/>
            <w:shd w:val="clear" w:color="auto" w:fill="92D050"/>
            <w:vAlign w:val="center"/>
          </w:tcPr>
          <w:p w14:paraId="3FE0CB85" w14:textId="77777777" w:rsidR="00D02CDA" w:rsidRPr="00BC587F" w:rsidRDefault="00D02CDA" w:rsidP="00C84941">
            <w:pPr>
              <w:pStyle w:val="Tabletext"/>
            </w:pPr>
            <w:r w:rsidRPr="00BC587F">
              <w:t>Supported/ Supported in combination with another option</w:t>
            </w:r>
          </w:p>
        </w:tc>
        <w:tc>
          <w:tcPr>
            <w:tcW w:w="1446" w:type="dxa"/>
            <w:shd w:val="clear" w:color="auto" w:fill="FFC000"/>
            <w:vAlign w:val="center"/>
          </w:tcPr>
          <w:p w14:paraId="2DEC72C7" w14:textId="77777777" w:rsidR="00D02CDA" w:rsidRPr="00BC587F" w:rsidRDefault="00D02CDA" w:rsidP="00C84941">
            <w:pPr>
              <w:pStyle w:val="Tabletext"/>
            </w:pPr>
            <w:r w:rsidRPr="00BC587F">
              <w:t>Mixed views</w:t>
            </w:r>
          </w:p>
        </w:tc>
        <w:tc>
          <w:tcPr>
            <w:tcW w:w="1446" w:type="dxa"/>
            <w:shd w:val="clear" w:color="auto" w:fill="FFC000"/>
            <w:vAlign w:val="center"/>
          </w:tcPr>
          <w:p w14:paraId="62FBFE61" w14:textId="77777777" w:rsidR="00D02CDA" w:rsidRPr="00BC587F" w:rsidRDefault="00D02CDA" w:rsidP="00C84941">
            <w:pPr>
              <w:pStyle w:val="Tabletext"/>
            </w:pPr>
            <w:r w:rsidRPr="00BC587F">
              <w:t>Mixed views</w:t>
            </w:r>
          </w:p>
        </w:tc>
        <w:tc>
          <w:tcPr>
            <w:tcW w:w="1446" w:type="dxa"/>
            <w:shd w:val="clear" w:color="auto" w:fill="FFC000"/>
            <w:vAlign w:val="center"/>
          </w:tcPr>
          <w:p w14:paraId="785AB104" w14:textId="77777777" w:rsidR="00D02CDA" w:rsidRPr="00BC587F" w:rsidRDefault="00D02CDA" w:rsidP="00C84941">
            <w:pPr>
              <w:pStyle w:val="Tabletext"/>
            </w:pPr>
            <w:r w:rsidRPr="00BC587F">
              <w:t>Supported in combination with another option</w:t>
            </w:r>
          </w:p>
        </w:tc>
      </w:tr>
      <w:tr w:rsidR="00D02CDA" w:rsidRPr="003C77AA" w14:paraId="7564CF4F" w14:textId="77777777" w:rsidTr="00802E62">
        <w:trPr>
          <w:trHeight w:val="591"/>
        </w:trPr>
        <w:tc>
          <w:tcPr>
            <w:tcW w:w="1985" w:type="dxa"/>
            <w:vAlign w:val="center"/>
          </w:tcPr>
          <w:p w14:paraId="76EAE9FC" w14:textId="77777777" w:rsidR="00D02CDA" w:rsidRPr="004B40C7" w:rsidRDefault="00D02CDA" w:rsidP="00C84941">
            <w:pPr>
              <w:pStyle w:val="Tabletext"/>
            </w:pPr>
            <w:r w:rsidRPr="004B40C7">
              <w:t xml:space="preserve">Option 4 – Added sugars quantified in the NIP </w:t>
            </w:r>
          </w:p>
        </w:tc>
        <w:tc>
          <w:tcPr>
            <w:tcW w:w="1445" w:type="dxa"/>
            <w:shd w:val="clear" w:color="auto" w:fill="FFC000"/>
            <w:vAlign w:val="center"/>
          </w:tcPr>
          <w:p w14:paraId="2D1F5E7C" w14:textId="77777777" w:rsidR="00D02CDA" w:rsidRPr="00BC587F" w:rsidRDefault="00D02CDA" w:rsidP="00C84941">
            <w:pPr>
              <w:pStyle w:val="Tabletext"/>
            </w:pPr>
            <w:r w:rsidRPr="00BC587F">
              <w:t>Mixed views</w:t>
            </w:r>
          </w:p>
        </w:tc>
        <w:tc>
          <w:tcPr>
            <w:tcW w:w="1446" w:type="dxa"/>
            <w:shd w:val="clear" w:color="auto" w:fill="92D050"/>
            <w:vAlign w:val="center"/>
          </w:tcPr>
          <w:p w14:paraId="2778914B" w14:textId="77777777" w:rsidR="00D02CDA" w:rsidRPr="00BC587F" w:rsidRDefault="00D02CDA" w:rsidP="00C84941">
            <w:pPr>
              <w:pStyle w:val="Tabletext"/>
            </w:pPr>
            <w:r w:rsidRPr="00BC587F">
              <w:t>Supported</w:t>
            </w:r>
          </w:p>
        </w:tc>
        <w:tc>
          <w:tcPr>
            <w:tcW w:w="1446" w:type="dxa"/>
            <w:shd w:val="clear" w:color="auto" w:fill="FFC000"/>
            <w:vAlign w:val="center"/>
          </w:tcPr>
          <w:p w14:paraId="576AA058" w14:textId="77777777" w:rsidR="00D02CDA" w:rsidRPr="00BC587F" w:rsidRDefault="00D02CDA" w:rsidP="00C84941">
            <w:pPr>
              <w:pStyle w:val="Tabletext"/>
            </w:pPr>
            <w:r w:rsidRPr="00BC587F">
              <w:t>Supported / Partially supported</w:t>
            </w:r>
          </w:p>
        </w:tc>
        <w:tc>
          <w:tcPr>
            <w:tcW w:w="1446" w:type="dxa"/>
            <w:shd w:val="clear" w:color="auto" w:fill="92D050"/>
            <w:vAlign w:val="center"/>
          </w:tcPr>
          <w:p w14:paraId="30962F5B" w14:textId="77777777" w:rsidR="00D02CDA" w:rsidRPr="00BC587F" w:rsidRDefault="00D02CDA" w:rsidP="00C84941">
            <w:pPr>
              <w:pStyle w:val="Tabletext"/>
            </w:pPr>
            <w:r w:rsidRPr="00BC587F">
              <w:t>Supported</w:t>
            </w:r>
          </w:p>
        </w:tc>
        <w:tc>
          <w:tcPr>
            <w:tcW w:w="1446" w:type="dxa"/>
            <w:shd w:val="clear" w:color="auto" w:fill="92D050"/>
            <w:vAlign w:val="center"/>
          </w:tcPr>
          <w:p w14:paraId="0CA3724E" w14:textId="77777777" w:rsidR="00D02CDA" w:rsidRPr="00BC587F" w:rsidRDefault="00D02CDA" w:rsidP="00C84941">
            <w:pPr>
              <w:pStyle w:val="Tabletext"/>
            </w:pPr>
            <w:r w:rsidRPr="00BC587F">
              <w:t>Supported</w:t>
            </w:r>
          </w:p>
        </w:tc>
      </w:tr>
      <w:tr w:rsidR="00D02CDA" w:rsidRPr="003C77AA" w14:paraId="3CBE47D2" w14:textId="77777777" w:rsidTr="00802E62">
        <w:trPr>
          <w:trHeight w:val="575"/>
        </w:trPr>
        <w:tc>
          <w:tcPr>
            <w:tcW w:w="1985" w:type="dxa"/>
            <w:vAlign w:val="center"/>
          </w:tcPr>
          <w:p w14:paraId="3771F3A6" w14:textId="77777777" w:rsidR="00D02CDA" w:rsidRPr="004B40C7" w:rsidRDefault="00D02CDA" w:rsidP="00C84941">
            <w:pPr>
              <w:pStyle w:val="Tabletext"/>
            </w:pPr>
            <w:r w:rsidRPr="004B40C7">
              <w:t>Option 5 – Advisory labels for foods high in added sugars</w:t>
            </w:r>
          </w:p>
        </w:tc>
        <w:tc>
          <w:tcPr>
            <w:tcW w:w="1445" w:type="dxa"/>
            <w:shd w:val="clear" w:color="auto" w:fill="FF7C80"/>
            <w:vAlign w:val="center"/>
          </w:tcPr>
          <w:p w14:paraId="299CFB27" w14:textId="77777777" w:rsidR="00D02CDA" w:rsidRPr="00BC587F" w:rsidRDefault="00D02CDA" w:rsidP="00C84941">
            <w:pPr>
              <w:pStyle w:val="Tabletext"/>
            </w:pPr>
            <w:r w:rsidRPr="00BC587F">
              <w:t>Did not support</w:t>
            </w:r>
          </w:p>
        </w:tc>
        <w:tc>
          <w:tcPr>
            <w:tcW w:w="1446" w:type="dxa"/>
            <w:shd w:val="clear" w:color="auto" w:fill="FFC000"/>
            <w:vAlign w:val="center"/>
          </w:tcPr>
          <w:p w14:paraId="065BC477" w14:textId="77777777" w:rsidR="00D02CDA" w:rsidRPr="00BC587F" w:rsidRDefault="00D02CDA" w:rsidP="00C84941">
            <w:pPr>
              <w:pStyle w:val="Tabletext"/>
            </w:pPr>
            <w:r w:rsidRPr="00BC587F">
              <w:t>Mixed views</w:t>
            </w:r>
          </w:p>
        </w:tc>
        <w:tc>
          <w:tcPr>
            <w:tcW w:w="1446" w:type="dxa"/>
            <w:shd w:val="clear" w:color="auto" w:fill="FFC000"/>
            <w:vAlign w:val="center"/>
          </w:tcPr>
          <w:p w14:paraId="098CACAD" w14:textId="77777777" w:rsidR="00D02CDA" w:rsidRPr="00BC587F" w:rsidRDefault="00D02CDA" w:rsidP="00C84941">
            <w:pPr>
              <w:pStyle w:val="Tabletext"/>
            </w:pPr>
            <w:r w:rsidRPr="00BC587F">
              <w:t>Mixed views</w:t>
            </w:r>
          </w:p>
        </w:tc>
        <w:tc>
          <w:tcPr>
            <w:tcW w:w="1446" w:type="dxa"/>
            <w:shd w:val="clear" w:color="auto" w:fill="FF7C80"/>
            <w:vAlign w:val="center"/>
          </w:tcPr>
          <w:p w14:paraId="74C91919" w14:textId="77777777" w:rsidR="00D02CDA" w:rsidRPr="00BC587F" w:rsidRDefault="00D02CDA" w:rsidP="00C84941">
            <w:pPr>
              <w:pStyle w:val="Tabletext"/>
            </w:pPr>
            <w:r w:rsidRPr="00BC587F">
              <w:t>Did not support</w:t>
            </w:r>
          </w:p>
        </w:tc>
        <w:tc>
          <w:tcPr>
            <w:tcW w:w="1446" w:type="dxa"/>
            <w:shd w:val="clear" w:color="auto" w:fill="92D050"/>
            <w:vAlign w:val="center"/>
          </w:tcPr>
          <w:p w14:paraId="61D4D362" w14:textId="77777777" w:rsidR="00D02CDA" w:rsidRPr="00BC587F" w:rsidRDefault="00D02CDA" w:rsidP="00C84941">
            <w:pPr>
              <w:pStyle w:val="Tabletext"/>
            </w:pPr>
            <w:r w:rsidRPr="00BC587F">
              <w:t>Supported</w:t>
            </w:r>
          </w:p>
        </w:tc>
      </w:tr>
      <w:tr w:rsidR="00D02CDA" w:rsidRPr="003C77AA" w14:paraId="59B89D0D" w14:textId="77777777" w:rsidTr="00802E62">
        <w:trPr>
          <w:trHeight w:val="879"/>
        </w:trPr>
        <w:tc>
          <w:tcPr>
            <w:tcW w:w="1985" w:type="dxa"/>
            <w:vAlign w:val="center"/>
          </w:tcPr>
          <w:p w14:paraId="6AD6085F" w14:textId="77777777" w:rsidR="00D02CDA" w:rsidRPr="004B40C7" w:rsidRDefault="00D02CDA" w:rsidP="00C84941">
            <w:pPr>
              <w:pStyle w:val="Tabletext"/>
            </w:pPr>
            <w:r w:rsidRPr="004B40C7">
              <w:t xml:space="preserve">Option 6 – Pictorial approaches to convey the </w:t>
            </w:r>
            <w:proofErr w:type="gramStart"/>
            <w:r w:rsidRPr="004B40C7">
              <w:t>amount</w:t>
            </w:r>
            <w:proofErr w:type="gramEnd"/>
            <w:r w:rsidRPr="004B40C7">
              <w:t xml:space="preserve"> of sugars in a serving of food</w:t>
            </w:r>
          </w:p>
        </w:tc>
        <w:tc>
          <w:tcPr>
            <w:tcW w:w="1445" w:type="dxa"/>
            <w:shd w:val="clear" w:color="auto" w:fill="FF7C80"/>
            <w:vAlign w:val="center"/>
          </w:tcPr>
          <w:p w14:paraId="300C107C" w14:textId="77777777" w:rsidR="00D02CDA" w:rsidRPr="00BC587F" w:rsidRDefault="00D02CDA" w:rsidP="00C84941">
            <w:pPr>
              <w:pStyle w:val="Tabletext"/>
            </w:pPr>
            <w:r w:rsidRPr="00BC587F">
              <w:t>Did not support</w:t>
            </w:r>
          </w:p>
        </w:tc>
        <w:tc>
          <w:tcPr>
            <w:tcW w:w="1446" w:type="dxa"/>
            <w:shd w:val="clear" w:color="auto" w:fill="FFC000"/>
            <w:vAlign w:val="center"/>
          </w:tcPr>
          <w:p w14:paraId="59E13525" w14:textId="77777777" w:rsidR="00D02CDA" w:rsidRPr="00BC587F" w:rsidRDefault="00D02CDA" w:rsidP="00C84941">
            <w:pPr>
              <w:pStyle w:val="Tabletext"/>
            </w:pPr>
            <w:r w:rsidRPr="00BC587F">
              <w:t>Mixed views</w:t>
            </w:r>
          </w:p>
        </w:tc>
        <w:tc>
          <w:tcPr>
            <w:tcW w:w="1446" w:type="dxa"/>
            <w:shd w:val="clear" w:color="auto" w:fill="92D050"/>
            <w:vAlign w:val="center"/>
          </w:tcPr>
          <w:p w14:paraId="2FC0ACF3" w14:textId="77777777" w:rsidR="00D02CDA" w:rsidRPr="00BC587F" w:rsidRDefault="00D02CDA" w:rsidP="00C84941">
            <w:pPr>
              <w:pStyle w:val="Tabletext"/>
            </w:pPr>
            <w:r w:rsidRPr="00BC587F">
              <w:t>Supported</w:t>
            </w:r>
          </w:p>
        </w:tc>
        <w:tc>
          <w:tcPr>
            <w:tcW w:w="1446" w:type="dxa"/>
            <w:shd w:val="clear" w:color="auto" w:fill="FF7C80"/>
            <w:vAlign w:val="center"/>
          </w:tcPr>
          <w:p w14:paraId="0DB7BE52" w14:textId="77777777" w:rsidR="00D02CDA" w:rsidRPr="00BC587F" w:rsidRDefault="00D02CDA" w:rsidP="00C84941">
            <w:pPr>
              <w:pStyle w:val="Tabletext"/>
            </w:pPr>
            <w:r w:rsidRPr="00BC587F">
              <w:t>Did not support</w:t>
            </w:r>
          </w:p>
        </w:tc>
        <w:tc>
          <w:tcPr>
            <w:tcW w:w="1446" w:type="dxa"/>
            <w:shd w:val="clear" w:color="auto" w:fill="92D050"/>
            <w:vAlign w:val="center"/>
          </w:tcPr>
          <w:p w14:paraId="5D0D13AC" w14:textId="77777777" w:rsidR="00D02CDA" w:rsidRPr="00BC587F" w:rsidRDefault="00D02CDA" w:rsidP="00C84941">
            <w:pPr>
              <w:pStyle w:val="Tabletext"/>
            </w:pPr>
            <w:r w:rsidRPr="00BC587F">
              <w:t>Supported</w:t>
            </w:r>
          </w:p>
        </w:tc>
      </w:tr>
      <w:tr w:rsidR="00D02CDA" w:rsidRPr="003C77AA" w14:paraId="2417C7EB" w14:textId="77777777" w:rsidTr="00802E62">
        <w:trPr>
          <w:trHeight w:val="693"/>
        </w:trPr>
        <w:tc>
          <w:tcPr>
            <w:tcW w:w="1985" w:type="dxa"/>
            <w:vAlign w:val="center"/>
          </w:tcPr>
          <w:p w14:paraId="1A6DE753" w14:textId="77777777" w:rsidR="00D02CDA" w:rsidRPr="004B40C7" w:rsidRDefault="00D02CDA" w:rsidP="00C84941">
            <w:pPr>
              <w:pStyle w:val="Tabletext"/>
            </w:pPr>
            <w:r w:rsidRPr="004B40C7">
              <w:t>Option 7 – Digital linking to off label web-based information about added sugars content</w:t>
            </w:r>
          </w:p>
        </w:tc>
        <w:tc>
          <w:tcPr>
            <w:tcW w:w="1445" w:type="dxa"/>
            <w:shd w:val="clear" w:color="auto" w:fill="92D050"/>
            <w:vAlign w:val="center"/>
          </w:tcPr>
          <w:p w14:paraId="05500857" w14:textId="77777777" w:rsidR="00D02CDA" w:rsidRPr="00BC587F" w:rsidRDefault="00D02CDA" w:rsidP="00C84941">
            <w:pPr>
              <w:pStyle w:val="Tabletext"/>
            </w:pPr>
            <w:r w:rsidRPr="00BC587F">
              <w:t>Supported</w:t>
            </w:r>
          </w:p>
        </w:tc>
        <w:tc>
          <w:tcPr>
            <w:tcW w:w="1446" w:type="dxa"/>
            <w:shd w:val="clear" w:color="auto" w:fill="FF7C80"/>
            <w:vAlign w:val="center"/>
          </w:tcPr>
          <w:p w14:paraId="6A5C9305" w14:textId="77777777" w:rsidR="00D02CDA" w:rsidRPr="00BC587F" w:rsidRDefault="00D02CDA" w:rsidP="00C84941">
            <w:pPr>
              <w:pStyle w:val="Tabletext"/>
            </w:pPr>
            <w:r w:rsidRPr="00BC587F">
              <w:t>Did not support</w:t>
            </w:r>
          </w:p>
        </w:tc>
        <w:tc>
          <w:tcPr>
            <w:tcW w:w="1446" w:type="dxa"/>
            <w:shd w:val="clear" w:color="auto" w:fill="FF7C80"/>
            <w:vAlign w:val="center"/>
          </w:tcPr>
          <w:p w14:paraId="7C812777" w14:textId="77777777" w:rsidR="00D02CDA" w:rsidRPr="00BC587F" w:rsidRDefault="00D02CDA" w:rsidP="00C84941">
            <w:pPr>
              <w:pStyle w:val="Tabletext"/>
            </w:pPr>
            <w:r w:rsidRPr="00BC587F">
              <w:t>Did not support</w:t>
            </w:r>
          </w:p>
        </w:tc>
        <w:tc>
          <w:tcPr>
            <w:tcW w:w="1446" w:type="dxa"/>
            <w:shd w:val="clear" w:color="auto" w:fill="FF7C80"/>
            <w:vAlign w:val="center"/>
          </w:tcPr>
          <w:p w14:paraId="01D3FBB7" w14:textId="77777777" w:rsidR="00D02CDA" w:rsidRPr="00BC587F" w:rsidRDefault="00D02CDA" w:rsidP="00C84941">
            <w:pPr>
              <w:pStyle w:val="Tabletext"/>
            </w:pPr>
            <w:r w:rsidRPr="00BC587F">
              <w:t>Did not support</w:t>
            </w:r>
          </w:p>
        </w:tc>
        <w:tc>
          <w:tcPr>
            <w:tcW w:w="1446" w:type="dxa"/>
            <w:shd w:val="clear" w:color="auto" w:fill="FF7C80"/>
            <w:vAlign w:val="center"/>
          </w:tcPr>
          <w:p w14:paraId="3C6C5C25" w14:textId="77777777" w:rsidR="00D02CDA" w:rsidRPr="00BC587F" w:rsidRDefault="00D02CDA" w:rsidP="00C84941">
            <w:pPr>
              <w:pStyle w:val="Tabletext"/>
            </w:pPr>
            <w:r w:rsidRPr="00BC587F">
              <w:t>Did not support</w:t>
            </w:r>
          </w:p>
        </w:tc>
      </w:tr>
    </w:tbl>
    <w:p w14:paraId="29327B1E" w14:textId="3B9D4C5A" w:rsidR="00B07C00" w:rsidRPr="00B44104" w:rsidRDefault="00B07C00" w:rsidP="00314A5D">
      <w:pPr>
        <w:pStyle w:val="Heading2"/>
      </w:pPr>
      <w:bookmarkStart w:id="27" w:name="_Toc2252864"/>
      <w:bookmarkStart w:id="28" w:name="_Toc3905537"/>
      <w:bookmarkStart w:id="29" w:name="_Toc6323586"/>
      <w:r w:rsidRPr="00B44104">
        <w:t>Assessment of the options</w:t>
      </w:r>
      <w:bookmarkEnd w:id="27"/>
      <w:bookmarkEnd w:id="28"/>
      <w:bookmarkEnd w:id="29"/>
    </w:p>
    <w:p w14:paraId="23B705E9" w14:textId="1273990A" w:rsidR="00B07C00" w:rsidRPr="00BC587F" w:rsidRDefault="00B07C00" w:rsidP="00BC587F">
      <w:r w:rsidRPr="00BC587F">
        <w:t xml:space="preserve">Each of the proposed options was assessed to consider the extent to which </w:t>
      </w:r>
      <w:r w:rsidR="009A08B9" w:rsidRPr="00BC587F">
        <w:t>they</w:t>
      </w:r>
      <w:r w:rsidRPr="00BC587F">
        <w:t xml:space="preserve"> could achieve the desired outcome. The assessment of the options </w:t>
      </w:r>
      <w:proofErr w:type="gramStart"/>
      <w:r w:rsidRPr="00BC587F">
        <w:t>took into account</w:t>
      </w:r>
      <w:proofErr w:type="gramEnd"/>
      <w:r w:rsidRPr="00BC587F">
        <w:t xml:space="preserve"> information provided through stakeholder consultation as well as additional research and critical analysis. To assist in this assessment, criteria were developed to compare and rank the options. These criteria are detailed </w:t>
      </w:r>
      <w:r w:rsidR="004C37C0">
        <w:t xml:space="preserve">in </w:t>
      </w:r>
      <w:r w:rsidR="004C37C0">
        <w:fldChar w:fldCharType="begin"/>
      </w:r>
      <w:r w:rsidR="004C37C0">
        <w:instrText xml:space="preserve"> REF _Ref6319578 \h </w:instrText>
      </w:r>
      <w:r w:rsidR="004C37C0">
        <w:fldChar w:fldCharType="separate"/>
      </w:r>
      <w:r w:rsidR="004C37C0">
        <w:t xml:space="preserve">Table </w:t>
      </w:r>
      <w:r w:rsidR="004C37C0">
        <w:rPr>
          <w:noProof/>
        </w:rPr>
        <w:t>3</w:t>
      </w:r>
      <w:r w:rsidR="004C37C0">
        <w:fldChar w:fldCharType="end"/>
      </w:r>
      <w:r w:rsidRPr="00BC587F">
        <w:t>.</w:t>
      </w:r>
    </w:p>
    <w:p w14:paraId="3F6A939C" w14:textId="7C4ECB8C" w:rsidR="00B07C00" w:rsidRPr="005015B8" w:rsidRDefault="004C37C0" w:rsidP="0054504F">
      <w:pPr>
        <w:pStyle w:val="Caption"/>
        <w:pageBreakBefore/>
      </w:pPr>
      <w:bookmarkStart w:id="30" w:name="_Ref6319578"/>
      <w:r>
        <w:t xml:space="preserve">Table </w:t>
      </w:r>
      <w:fldSimple w:instr=" SEQ Table \* ARABIC ">
        <w:r>
          <w:rPr>
            <w:noProof/>
          </w:rPr>
          <w:t>3</w:t>
        </w:r>
      </w:fldSimple>
      <w:bookmarkEnd w:id="30"/>
      <w:r>
        <w:t xml:space="preserve">. </w:t>
      </w:r>
      <w:r w:rsidR="00B07C00" w:rsidRPr="005015B8">
        <w:t xml:space="preserve">Criteria to assess the proposed </w:t>
      </w:r>
      <w:proofErr w:type="gramStart"/>
      <w:r w:rsidR="00B07C00" w:rsidRPr="005015B8">
        <w:t>options</w:t>
      </w:r>
      <w:proofErr w:type="gramEnd"/>
    </w:p>
    <w:tbl>
      <w:tblPr>
        <w:tblStyle w:val="TableGrid"/>
        <w:tblW w:w="9450" w:type="dxa"/>
        <w:tblLook w:val="04A0" w:firstRow="1" w:lastRow="0" w:firstColumn="1" w:lastColumn="0" w:noHBand="0" w:noVBand="1"/>
        <w:tblDescription w:val="Table 0.3 details the four criterion that were used to assess the proposed options. These include 1. Dietary Guidelines, 2. Contextual information, 3. Consumer understanding, 4. New information."/>
      </w:tblPr>
      <w:tblGrid>
        <w:gridCol w:w="2646"/>
        <w:gridCol w:w="6804"/>
      </w:tblGrid>
      <w:tr w:rsidR="00B07C00" w:rsidRPr="000A796F" w14:paraId="0ACB31F5" w14:textId="77777777" w:rsidTr="004C37C0">
        <w:trPr>
          <w:tblHeader/>
        </w:trPr>
        <w:tc>
          <w:tcPr>
            <w:tcW w:w="2646" w:type="dxa"/>
          </w:tcPr>
          <w:p w14:paraId="76ADAAF3" w14:textId="77777777" w:rsidR="00B07C00" w:rsidRPr="005E6C7F" w:rsidRDefault="00B07C00" w:rsidP="00727948">
            <w:pPr>
              <w:pStyle w:val="Tableheader"/>
            </w:pPr>
            <w:r w:rsidRPr="005E6C7F">
              <w:t>Criteria</w:t>
            </w:r>
          </w:p>
        </w:tc>
        <w:tc>
          <w:tcPr>
            <w:tcW w:w="6804" w:type="dxa"/>
          </w:tcPr>
          <w:p w14:paraId="7F841FF7" w14:textId="77777777" w:rsidR="00B07C00" w:rsidRPr="005E6C7F" w:rsidRDefault="00B07C00" w:rsidP="00727948">
            <w:pPr>
              <w:pStyle w:val="Tableheader"/>
            </w:pPr>
            <w:r w:rsidRPr="005E6C7F">
              <w:t>Description</w:t>
            </w:r>
          </w:p>
        </w:tc>
      </w:tr>
      <w:tr w:rsidR="00B07C00" w:rsidRPr="000A796F" w14:paraId="5FDDCDD5" w14:textId="77777777" w:rsidTr="004C37C0">
        <w:tc>
          <w:tcPr>
            <w:tcW w:w="2646" w:type="dxa"/>
            <w:vMerge w:val="restart"/>
          </w:tcPr>
          <w:p w14:paraId="304834C9" w14:textId="77777777" w:rsidR="00B07C00" w:rsidRPr="00BE6A72" w:rsidRDefault="00B07C00" w:rsidP="00C84941">
            <w:pPr>
              <w:pStyle w:val="Tabletext"/>
            </w:pPr>
            <w:r w:rsidRPr="00BE6A72">
              <w:t>Dietary guidelines</w:t>
            </w:r>
          </w:p>
        </w:tc>
        <w:tc>
          <w:tcPr>
            <w:tcW w:w="6804" w:type="dxa"/>
          </w:tcPr>
          <w:p w14:paraId="5D1DC002" w14:textId="4D6041B7" w:rsidR="00B07C00" w:rsidRPr="00BC587F" w:rsidRDefault="00B07C00" w:rsidP="00C84941">
            <w:pPr>
              <w:pStyle w:val="Tabletext"/>
            </w:pPr>
            <w:r w:rsidRPr="00BC587F">
              <w:t>Considers how well the option s</w:t>
            </w:r>
            <w:r w:rsidR="00BE6A72" w:rsidRPr="00BC587F">
              <w:t>upports the dietary guidelines.</w:t>
            </w:r>
          </w:p>
          <w:p w14:paraId="595C0762" w14:textId="03B30AAF" w:rsidR="00B07C00" w:rsidRPr="005E6C7F" w:rsidRDefault="00B07C00" w:rsidP="00C84941">
            <w:pPr>
              <w:pStyle w:val="Tabletext"/>
            </w:pPr>
            <w:r w:rsidRPr="005E6C7F">
              <w:t xml:space="preserve">Australian Dietary Guidelines - Limit intake of foods containing saturated fat, added </w:t>
            </w:r>
            <w:r w:rsidR="001406BB">
              <w:t>salt, added sugars and alcohol.</w:t>
            </w:r>
          </w:p>
          <w:p w14:paraId="3A9421B4" w14:textId="77777777" w:rsidR="00B07C00" w:rsidRPr="005E6C7F" w:rsidRDefault="00B07C00" w:rsidP="00C84941">
            <w:pPr>
              <w:pStyle w:val="Tabletext"/>
            </w:pPr>
            <w:r w:rsidRPr="005E6C7F">
              <w:t>New Zealand Eating and Activity Guidelines – Choose and/or prepare foods and drinks with little or no added sugars.</w:t>
            </w:r>
          </w:p>
        </w:tc>
      </w:tr>
      <w:tr w:rsidR="00B07C00" w:rsidRPr="000A796F" w14:paraId="7B475E43" w14:textId="77777777" w:rsidTr="004C37C0">
        <w:tc>
          <w:tcPr>
            <w:tcW w:w="2646" w:type="dxa"/>
            <w:vMerge/>
          </w:tcPr>
          <w:p w14:paraId="5B2E3D3E" w14:textId="77777777" w:rsidR="00B07C00" w:rsidRPr="005E6C7F" w:rsidRDefault="00B07C00" w:rsidP="00C84941">
            <w:pPr>
              <w:pStyle w:val="Tabletext"/>
              <w:rPr>
                <w:rFonts w:cstheme="minorHAnsi"/>
              </w:rPr>
            </w:pPr>
          </w:p>
        </w:tc>
        <w:tc>
          <w:tcPr>
            <w:tcW w:w="6804" w:type="dxa"/>
          </w:tcPr>
          <w:p w14:paraId="17F05DB3" w14:textId="078A3C1F" w:rsidR="00B07C00" w:rsidRPr="00BC587F" w:rsidRDefault="00B07C00" w:rsidP="00C84941">
            <w:pPr>
              <w:pStyle w:val="Tabletext"/>
            </w:pPr>
            <w:r w:rsidRPr="00BC587F">
              <w:t>Considers how well the option supports a whole-of-diet approach as opposed to over-emphasising a single nutrient. This includes whether the labelling option would ‘push off’ more whole-of-diet type information from the food label.</w:t>
            </w:r>
          </w:p>
        </w:tc>
      </w:tr>
      <w:tr w:rsidR="00B07C00" w:rsidRPr="000A796F" w14:paraId="4738238B" w14:textId="77777777" w:rsidTr="004C37C0">
        <w:tc>
          <w:tcPr>
            <w:tcW w:w="2646" w:type="dxa"/>
          </w:tcPr>
          <w:p w14:paraId="78F2B2B1" w14:textId="614E762C" w:rsidR="00B07C00" w:rsidRPr="00BC587F" w:rsidRDefault="00B07C00" w:rsidP="00C84941">
            <w:pPr>
              <w:pStyle w:val="Tabletext"/>
            </w:pPr>
            <w:r w:rsidRPr="00BC587F">
              <w:t>Contextual information</w:t>
            </w:r>
          </w:p>
        </w:tc>
        <w:tc>
          <w:tcPr>
            <w:tcW w:w="6804" w:type="dxa"/>
          </w:tcPr>
          <w:p w14:paraId="11BE2903" w14:textId="71323B8D" w:rsidR="00B07C00" w:rsidRPr="00BC587F" w:rsidRDefault="00B07C00" w:rsidP="00C84941">
            <w:pPr>
              <w:pStyle w:val="Tabletext"/>
            </w:pPr>
            <w:r w:rsidRPr="00BC587F">
              <w:t>Considers whether the option provides information that can support consumers to use and interpret sugars information on the food label. This includes the ability to compare foods.</w:t>
            </w:r>
          </w:p>
        </w:tc>
      </w:tr>
      <w:tr w:rsidR="00B07C00" w:rsidRPr="000A796F" w14:paraId="6D6A4D27" w14:textId="77777777" w:rsidTr="004C37C0">
        <w:tc>
          <w:tcPr>
            <w:tcW w:w="2646" w:type="dxa"/>
          </w:tcPr>
          <w:p w14:paraId="6F930BBB" w14:textId="572FB9B0" w:rsidR="00B07C00" w:rsidRPr="00BC587F" w:rsidRDefault="00CE6D7D" w:rsidP="00C84941">
            <w:pPr>
              <w:pStyle w:val="Tabletext"/>
            </w:pPr>
            <w:r w:rsidRPr="00BC587F">
              <w:t>Consumer understanding</w:t>
            </w:r>
          </w:p>
        </w:tc>
        <w:tc>
          <w:tcPr>
            <w:tcW w:w="6804" w:type="dxa"/>
          </w:tcPr>
          <w:p w14:paraId="7735FE50" w14:textId="55BF205B" w:rsidR="00B07C00" w:rsidRPr="00BC587F" w:rsidRDefault="00B07C00" w:rsidP="00C84941">
            <w:pPr>
              <w:pStyle w:val="Tabletext"/>
            </w:pPr>
            <w:r w:rsidRPr="00BC587F">
              <w:t>Considers how well the option is understood by consumers (including those with low literacy or numeracy or technological literacy). Considers simplicity of message and ease of access to information on the label at point-of-sale.</w:t>
            </w:r>
          </w:p>
        </w:tc>
      </w:tr>
      <w:tr w:rsidR="00B07C00" w:rsidRPr="000A796F" w14:paraId="7C275C03" w14:textId="77777777" w:rsidTr="004C37C0">
        <w:tc>
          <w:tcPr>
            <w:tcW w:w="2646" w:type="dxa"/>
          </w:tcPr>
          <w:p w14:paraId="11FA0AC8" w14:textId="01B8F79B" w:rsidR="00B07C00" w:rsidRPr="00BC587F" w:rsidRDefault="00B07C00" w:rsidP="00C84941">
            <w:pPr>
              <w:pStyle w:val="Tabletext"/>
            </w:pPr>
            <w:r w:rsidRPr="00BC587F">
              <w:t>New information</w:t>
            </w:r>
          </w:p>
        </w:tc>
        <w:tc>
          <w:tcPr>
            <w:tcW w:w="6804" w:type="dxa"/>
          </w:tcPr>
          <w:p w14:paraId="407C5074" w14:textId="4DF1D708" w:rsidR="00B07C00" w:rsidRPr="00BE6A72" w:rsidRDefault="00B07C00" w:rsidP="00C84941">
            <w:pPr>
              <w:pStyle w:val="Tabletext"/>
            </w:pPr>
            <w:r w:rsidRPr="00BE6A72">
              <w:t>Considers whether the option delivers sugars information that is not currently available to the consumer</w:t>
            </w:r>
          </w:p>
        </w:tc>
      </w:tr>
    </w:tbl>
    <w:p w14:paraId="25C9217D" w14:textId="7D459BE6" w:rsidR="009A08B9" w:rsidRPr="00BC587F" w:rsidRDefault="004C37C0" w:rsidP="00BC587F">
      <w:r>
        <w:fldChar w:fldCharType="begin"/>
      </w:r>
      <w:r>
        <w:instrText xml:space="preserve"> REF _Ref6319616 \h </w:instrText>
      </w:r>
      <w:r>
        <w:fldChar w:fldCharType="separate"/>
      </w:r>
      <w:r>
        <w:t xml:space="preserve">Table </w:t>
      </w:r>
      <w:r>
        <w:rPr>
          <w:noProof/>
        </w:rPr>
        <w:t>4</w:t>
      </w:r>
      <w:r>
        <w:fldChar w:fldCharType="end"/>
      </w:r>
      <w:r w:rsidR="0054504F">
        <w:t xml:space="preserve"> </w:t>
      </w:r>
      <w:r w:rsidR="009A08B9" w:rsidRPr="00BC587F">
        <w:t xml:space="preserve">presents an analysis of each of the proposed options against the assessment criteria. The criteria were rated according to green, amber or red to reflect the extent to which each option achieved these criteria (with green indicating that the criteria </w:t>
      </w:r>
      <w:proofErr w:type="gramStart"/>
      <w:r w:rsidR="009A08B9" w:rsidRPr="00BC587F">
        <w:t>was</w:t>
      </w:r>
      <w:proofErr w:type="gramEnd"/>
      <w:r w:rsidR="009A08B9" w:rsidRPr="00BC587F">
        <w:t xml:space="preserve"> well met, amber indicating the criteria was somewhat met and red indicating the criteria was poorly met).</w:t>
      </w:r>
      <w:r w:rsidR="00EB309A" w:rsidRPr="00BC587F">
        <w:t xml:space="preserve"> Options that were rated red in at least one criterion were not considered feasible options and not considered further.</w:t>
      </w:r>
    </w:p>
    <w:p w14:paraId="6636889D" w14:textId="5826DAE1" w:rsidR="009A08B9" w:rsidRPr="00366406" w:rsidRDefault="009A08B9" w:rsidP="00366406">
      <w:r w:rsidRPr="00366406">
        <w:t>This assessment of the options identified Option 4 (added sugars quantified in the NIP) could best achieve the desired outcome. The options least likely to achieve the desired outcome are Option 1 (status quo), Option 2 (education) and Option 7 (digital linking to off label web-based information</w:t>
      </w:r>
      <w:r w:rsidR="00DC3857" w:rsidRPr="00366406">
        <w:t>).</w:t>
      </w:r>
    </w:p>
    <w:p w14:paraId="56FFAA97" w14:textId="11963F8C" w:rsidR="0014798F" w:rsidRPr="00BE6A72" w:rsidRDefault="0014798F" w:rsidP="00BE6A72"/>
    <w:p w14:paraId="4F5DAFBD" w14:textId="77777777" w:rsidR="0014798F" w:rsidRPr="00BC587F" w:rsidRDefault="0014798F" w:rsidP="00BC587F">
      <w:pPr>
        <w:sectPr w:rsidR="0014798F" w:rsidRPr="00BC587F" w:rsidSect="00E16D2B">
          <w:footerReference w:type="default" r:id="rId17"/>
          <w:pgSz w:w="11906" w:h="16838" w:code="9"/>
          <w:pgMar w:top="1418" w:right="1418" w:bottom="1418" w:left="1418" w:header="709" w:footer="709" w:gutter="0"/>
          <w:pgNumType w:start="1"/>
          <w:cols w:space="708"/>
          <w:docGrid w:linePitch="360"/>
        </w:sectPr>
      </w:pPr>
    </w:p>
    <w:p w14:paraId="0FBFEA3E" w14:textId="7966321E" w:rsidR="0014798F" w:rsidRPr="000A796F" w:rsidRDefault="004C37C0" w:rsidP="004C37C0">
      <w:pPr>
        <w:pStyle w:val="Caption"/>
      </w:pPr>
      <w:bookmarkStart w:id="31" w:name="_Ref6319616"/>
      <w:bookmarkStart w:id="32" w:name="_Toc2252865"/>
      <w:bookmarkStart w:id="33" w:name="_Toc3905538"/>
      <w:r>
        <w:t xml:space="preserve">Table </w:t>
      </w:r>
      <w:fldSimple w:instr=" SEQ Table \* ARABIC ">
        <w:r>
          <w:rPr>
            <w:noProof/>
          </w:rPr>
          <w:t>4</w:t>
        </w:r>
      </w:fldSimple>
      <w:bookmarkEnd w:id="31"/>
      <w:r>
        <w:t>.</w:t>
      </w:r>
      <w:r w:rsidR="006C1D19">
        <w:t xml:space="preserve"> </w:t>
      </w:r>
      <w:r w:rsidR="0014798F" w:rsidRPr="000A796F">
        <w:t xml:space="preserve">Extent to which each option can achieve the desired </w:t>
      </w:r>
      <w:proofErr w:type="gramStart"/>
      <w:r w:rsidR="0014798F" w:rsidRPr="000A796F">
        <w:t>outcome</w:t>
      </w:r>
      <w:bookmarkEnd w:id="32"/>
      <w:bookmarkEnd w:id="33"/>
      <w:proofErr w:type="gramEnd"/>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0.4 provides a summary of the extent to which each option can achieve the desired outcome. There are five columns. Column 1 Blank, 2 Dietary Guidelines, 3 Contextual information,  4 Consumer understanding, 5 New information."/>
      </w:tblPr>
      <w:tblGrid>
        <w:gridCol w:w="1276"/>
        <w:gridCol w:w="3261"/>
        <w:gridCol w:w="3118"/>
        <w:gridCol w:w="3402"/>
        <w:gridCol w:w="3260"/>
      </w:tblGrid>
      <w:tr w:rsidR="009A08B9" w:rsidRPr="00B23961" w14:paraId="4A7A9835" w14:textId="77777777" w:rsidTr="0054504F">
        <w:trPr>
          <w:tblHeader/>
        </w:trPr>
        <w:tc>
          <w:tcPr>
            <w:tcW w:w="1276" w:type="dxa"/>
          </w:tcPr>
          <w:p w14:paraId="5D9686C3" w14:textId="77777777" w:rsidR="009A08B9" w:rsidRPr="00C84941" w:rsidRDefault="009A08B9" w:rsidP="00C84941">
            <w:pPr>
              <w:pStyle w:val="Tableheader"/>
            </w:pPr>
          </w:p>
        </w:tc>
        <w:tc>
          <w:tcPr>
            <w:tcW w:w="3261" w:type="dxa"/>
          </w:tcPr>
          <w:p w14:paraId="72BCDA60" w14:textId="77777777" w:rsidR="009A08B9" w:rsidRPr="00C84941" w:rsidRDefault="009A08B9" w:rsidP="00C84941">
            <w:pPr>
              <w:pStyle w:val="Tableheader"/>
            </w:pPr>
            <w:r w:rsidRPr="00C84941">
              <w:t>Dietary Guidelines</w:t>
            </w:r>
          </w:p>
        </w:tc>
        <w:tc>
          <w:tcPr>
            <w:tcW w:w="3118" w:type="dxa"/>
          </w:tcPr>
          <w:p w14:paraId="52129886" w14:textId="77777777" w:rsidR="009A08B9" w:rsidRPr="00C84941" w:rsidRDefault="009A08B9" w:rsidP="00C84941">
            <w:pPr>
              <w:pStyle w:val="Tableheader"/>
            </w:pPr>
            <w:r w:rsidRPr="00C84941">
              <w:t>Contextual information</w:t>
            </w:r>
          </w:p>
        </w:tc>
        <w:tc>
          <w:tcPr>
            <w:tcW w:w="3402" w:type="dxa"/>
          </w:tcPr>
          <w:p w14:paraId="2E722C11" w14:textId="77777777" w:rsidR="009A08B9" w:rsidRPr="00C84941" w:rsidRDefault="009A08B9" w:rsidP="00C84941">
            <w:pPr>
              <w:pStyle w:val="Tableheader"/>
            </w:pPr>
            <w:r w:rsidRPr="00C84941">
              <w:t>Consumer understanding</w:t>
            </w:r>
          </w:p>
        </w:tc>
        <w:tc>
          <w:tcPr>
            <w:tcW w:w="3260" w:type="dxa"/>
          </w:tcPr>
          <w:p w14:paraId="6D11446A" w14:textId="77777777" w:rsidR="009A08B9" w:rsidRPr="00C84941" w:rsidRDefault="009A08B9" w:rsidP="00C84941">
            <w:pPr>
              <w:pStyle w:val="Tableheader"/>
            </w:pPr>
            <w:r w:rsidRPr="00C84941">
              <w:t>New information</w:t>
            </w:r>
          </w:p>
        </w:tc>
      </w:tr>
      <w:tr w:rsidR="009A08B9" w14:paraId="7BBE1359" w14:textId="77777777" w:rsidTr="0054504F">
        <w:tc>
          <w:tcPr>
            <w:tcW w:w="1276" w:type="dxa"/>
          </w:tcPr>
          <w:p w14:paraId="5C2E1347" w14:textId="7D502926" w:rsidR="009A08B9" w:rsidRPr="0054504F" w:rsidRDefault="009A08B9" w:rsidP="00C84941">
            <w:pPr>
              <w:pStyle w:val="Tabletext"/>
              <w:rPr>
                <w:rStyle w:val="Strong"/>
              </w:rPr>
            </w:pPr>
            <w:r w:rsidRPr="0054504F">
              <w:rPr>
                <w:rStyle w:val="Strong"/>
              </w:rPr>
              <w:t>Option 1</w:t>
            </w:r>
            <w:r w:rsidR="006C1D19">
              <w:rPr>
                <w:rStyle w:val="Strong"/>
              </w:rPr>
              <w:t xml:space="preserve"> </w:t>
            </w:r>
            <w:proofErr w:type="gramStart"/>
            <w:r w:rsidR="006C1D19" w:rsidRPr="0054504F">
              <w:rPr>
                <w:rStyle w:val="Strong"/>
              </w:rPr>
              <w:t xml:space="preserve">– </w:t>
            </w:r>
            <w:r w:rsidRPr="0054504F">
              <w:rPr>
                <w:rStyle w:val="Strong"/>
              </w:rPr>
              <w:t xml:space="preserve"> Status</w:t>
            </w:r>
            <w:proofErr w:type="gramEnd"/>
            <w:r w:rsidRPr="0054504F">
              <w:rPr>
                <w:rStyle w:val="Strong"/>
              </w:rPr>
              <w:t xml:space="preserve"> quo</w:t>
            </w:r>
          </w:p>
        </w:tc>
        <w:tc>
          <w:tcPr>
            <w:tcW w:w="3261" w:type="dxa"/>
            <w:shd w:val="clear" w:color="auto" w:fill="FF7C80"/>
          </w:tcPr>
          <w:p w14:paraId="008F0B1B" w14:textId="6AAFBC8E" w:rsidR="009A08B9" w:rsidRPr="00BC587F" w:rsidRDefault="00710145" w:rsidP="00C84941">
            <w:pPr>
              <w:pStyle w:val="Tabletext"/>
            </w:pPr>
            <w:r w:rsidRPr="00BC587F">
              <w:t xml:space="preserve">Some food manufacturers voluntarily declare the added sugars content of their foods. </w:t>
            </w:r>
            <w:r w:rsidR="009A08B9" w:rsidRPr="00BC587F">
              <w:t>However, most food labels do not support consumers to easily identify products containing added sugars (Australian dietary guidelines) and products with little or no added sugars (New Zealand dietary guidelines).</w:t>
            </w:r>
          </w:p>
        </w:tc>
        <w:tc>
          <w:tcPr>
            <w:tcW w:w="3118" w:type="dxa"/>
            <w:shd w:val="clear" w:color="auto" w:fill="FF7C80"/>
          </w:tcPr>
          <w:p w14:paraId="2BDC14DE" w14:textId="695A5C54" w:rsidR="009A08B9" w:rsidRPr="00B23961" w:rsidRDefault="009A08B9" w:rsidP="00C84941">
            <w:pPr>
              <w:pStyle w:val="Tabletext"/>
            </w:pPr>
            <w:r>
              <w:t xml:space="preserve">Some labelling elements such as </w:t>
            </w:r>
            <w:r w:rsidR="009A79FA">
              <w:t>the Health Star Rating (</w:t>
            </w:r>
            <w:r>
              <w:t>HSR</w:t>
            </w:r>
            <w:r w:rsidR="009A79FA">
              <w:t>) and %Daily Intake (%DI)</w:t>
            </w:r>
            <w:r>
              <w:t xml:space="preserve"> may support consumers to use and interpret sugars information on the food label. However, this contextual information is focused on total sugars.</w:t>
            </w:r>
          </w:p>
        </w:tc>
        <w:tc>
          <w:tcPr>
            <w:tcW w:w="3402" w:type="dxa"/>
            <w:shd w:val="clear" w:color="auto" w:fill="FF7C80"/>
          </w:tcPr>
          <w:p w14:paraId="35195B68" w14:textId="5DBF07BC" w:rsidR="009A08B9" w:rsidRPr="00BC587F" w:rsidRDefault="009A08B9" w:rsidP="00C84941">
            <w:pPr>
              <w:pStyle w:val="Tabletext"/>
            </w:pPr>
            <w:r w:rsidRPr="00BC587F">
              <w:t>There is some evidence of consumer confusion when interpreting food labels in relation to sugars under status quo</w:t>
            </w:r>
            <w:r w:rsidRPr="0054504F">
              <w:rPr>
                <w:vertAlign w:val="superscript"/>
              </w:rPr>
              <w:footnoteReference w:id="3"/>
            </w:r>
            <w:r w:rsidR="00727948" w:rsidRPr="00BC587F">
              <w:t>.</w:t>
            </w:r>
          </w:p>
        </w:tc>
        <w:tc>
          <w:tcPr>
            <w:tcW w:w="3260" w:type="dxa"/>
            <w:shd w:val="clear" w:color="auto" w:fill="FF7C80"/>
          </w:tcPr>
          <w:p w14:paraId="28D4834E" w14:textId="37B45508" w:rsidR="009A08B9" w:rsidRPr="00B23961" w:rsidRDefault="009A08B9" w:rsidP="00C84941">
            <w:pPr>
              <w:pStyle w:val="Tabletext"/>
            </w:pPr>
            <w:r>
              <w:t>The status quo is focussed on existing information.</w:t>
            </w:r>
          </w:p>
        </w:tc>
      </w:tr>
      <w:tr w:rsidR="009A08B9" w14:paraId="40816A8F" w14:textId="77777777" w:rsidTr="0054504F">
        <w:tc>
          <w:tcPr>
            <w:tcW w:w="1276" w:type="dxa"/>
          </w:tcPr>
          <w:p w14:paraId="45F934E1" w14:textId="77777777" w:rsidR="009A08B9" w:rsidRPr="0054504F" w:rsidRDefault="009A08B9" w:rsidP="00C84941">
            <w:pPr>
              <w:pStyle w:val="Tabletext"/>
              <w:rPr>
                <w:rStyle w:val="Strong"/>
              </w:rPr>
            </w:pPr>
            <w:r w:rsidRPr="0054504F">
              <w:rPr>
                <w:rStyle w:val="Strong"/>
              </w:rPr>
              <w:t>Option 2 – Education on how to read and interpret labelling information about sugars</w:t>
            </w:r>
          </w:p>
        </w:tc>
        <w:tc>
          <w:tcPr>
            <w:tcW w:w="3261" w:type="dxa"/>
            <w:tcBorders>
              <w:bottom w:val="single" w:sz="4" w:space="0" w:color="auto"/>
            </w:tcBorders>
            <w:shd w:val="clear" w:color="auto" w:fill="FFC000"/>
          </w:tcPr>
          <w:p w14:paraId="046E816C" w14:textId="715B2E72" w:rsidR="009A08B9" w:rsidRPr="00B23961" w:rsidRDefault="00ED3D70" w:rsidP="00C84941">
            <w:pPr>
              <w:pStyle w:val="Tabletext"/>
            </w:pPr>
            <w:r>
              <w:t>W</w:t>
            </w:r>
            <w:r w:rsidR="009A08B9" w:rsidRPr="00B23961">
              <w:t>ithout information on added sugars being provided on food labels, the potential for this</w:t>
            </w:r>
            <w:r w:rsidR="009A08B9">
              <w:t xml:space="preserve"> education campaign</w:t>
            </w:r>
            <w:r w:rsidR="009A08B9" w:rsidRPr="00B23961">
              <w:t xml:space="preserve"> may be limited</w:t>
            </w:r>
            <w:r w:rsidR="009A08B9">
              <w:t>.</w:t>
            </w:r>
          </w:p>
          <w:p w14:paraId="1E67AC02" w14:textId="1C712104" w:rsidR="009A08B9" w:rsidRPr="00B23961" w:rsidRDefault="009A08B9" w:rsidP="00C84941">
            <w:pPr>
              <w:pStyle w:val="Tabletext"/>
            </w:pPr>
            <w:r w:rsidRPr="00B23961">
              <w:t>An education campaign strategy could encourage consumers to take a whole-of-diet approach when evaluating a food product</w:t>
            </w:r>
            <w:r>
              <w:t>.</w:t>
            </w:r>
          </w:p>
        </w:tc>
        <w:tc>
          <w:tcPr>
            <w:tcW w:w="3118" w:type="dxa"/>
            <w:shd w:val="clear" w:color="auto" w:fill="FFC000"/>
          </w:tcPr>
          <w:p w14:paraId="0A3E7CCE" w14:textId="01E3CFBE" w:rsidR="009A08B9" w:rsidRPr="00B23961" w:rsidRDefault="009A08B9" w:rsidP="00C84941">
            <w:pPr>
              <w:pStyle w:val="Tabletext"/>
            </w:pPr>
            <w:r w:rsidRPr="00B23961">
              <w:t>Information that can support consumers to use and interpret a food label may be provided thr</w:t>
            </w:r>
            <w:r w:rsidR="00727948">
              <w:t>ough an education campaign.</w:t>
            </w:r>
          </w:p>
          <w:p w14:paraId="2395C4D4" w14:textId="44668BBB" w:rsidR="009A08B9" w:rsidRPr="00B23961" w:rsidRDefault="009A08B9" w:rsidP="00C84941">
            <w:pPr>
              <w:pStyle w:val="Tabletext"/>
            </w:pPr>
            <w:r w:rsidRPr="00B23961">
              <w:t xml:space="preserve">However, </w:t>
            </w:r>
            <w:r>
              <w:t>Option 2</w:t>
            </w:r>
            <w:r w:rsidRPr="00B23961">
              <w:t xml:space="preserve"> would only be able to give general advice. </w:t>
            </w:r>
            <w:proofErr w:type="gramStart"/>
            <w:r w:rsidRPr="00B23961">
              <w:t>Therefore</w:t>
            </w:r>
            <w:proofErr w:type="gramEnd"/>
            <w:r w:rsidRPr="00B23961">
              <w:t xml:space="preserve"> this option does not allow comparison between products.</w:t>
            </w:r>
          </w:p>
        </w:tc>
        <w:tc>
          <w:tcPr>
            <w:tcW w:w="3402" w:type="dxa"/>
            <w:shd w:val="clear" w:color="auto" w:fill="FFC000"/>
          </w:tcPr>
          <w:p w14:paraId="4A9F56F4" w14:textId="77777777" w:rsidR="009A08B9" w:rsidRPr="00BC587F" w:rsidRDefault="009A08B9" w:rsidP="00C84941">
            <w:pPr>
              <w:pStyle w:val="Tabletext"/>
            </w:pPr>
            <w:r w:rsidRPr="00BC587F">
              <w:t>Education may have some impact on consumer understanding of food labels in relation to added sugars</w:t>
            </w:r>
            <w:r w:rsidRPr="0054504F">
              <w:rPr>
                <w:vertAlign w:val="superscript"/>
              </w:rPr>
              <w:footnoteReference w:id="4"/>
            </w:r>
            <w:r w:rsidRPr="00BC587F">
              <w:t>, but the potential of this option is limited as it can only provide general advice and is time limited. Furthermore, this information will not be available at the point of sale.</w:t>
            </w:r>
          </w:p>
          <w:p w14:paraId="56D75C1A" w14:textId="69C8AFCA" w:rsidR="009A08B9" w:rsidRPr="00B23961" w:rsidRDefault="009A08B9" w:rsidP="00C84941">
            <w:pPr>
              <w:pStyle w:val="Tabletext"/>
            </w:pPr>
            <w:r>
              <w:t>Unless the campaign is sufficiently tailored, it may not reach the most vulnerable groups in the population.</w:t>
            </w:r>
          </w:p>
        </w:tc>
        <w:tc>
          <w:tcPr>
            <w:tcW w:w="3260" w:type="dxa"/>
            <w:shd w:val="clear" w:color="auto" w:fill="FF7C80"/>
          </w:tcPr>
          <w:p w14:paraId="1EF53866" w14:textId="1957CE6E" w:rsidR="009A08B9" w:rsidRPr="00B23961" w:rsidRDefault="009A08B9" w:rsidP="00C84941">
            <w:pPr>
              <w:pStyle w:val="Tabletext"/>
            </w:pPr>
            <w:r>
              <w:t>Option 2</w:t>
            </w:r>
            <w:r w:rsidRPr="00B23961">
              <w:t xml:space="preserve"> will not be providing</w:t>
            </w:r>
            <w:r w:rsidR="00DC3857">
              <w:t xml:space="preserve"> new information to consumers.</w:t>
            </w:r>
          </w:p>
        </w:tc>
      </w:tr>
      <w:tr w:rsidR="009A08B9" w:rsidRPr="00FE3142" w14:paraId="3BE915D8" w14:textId="77777777" w:rsidTr="0054504F">
        <w:trPr>
          <w:trHeight w:val="1273"/>
        </w:trPr>
        <w:tc>
          <w:tcPr>
            <w:tcW w:w="1276" w:type="dxa"/>
            <w:vMerge w:val="restart"/>
          </w:tcPr>
          <w:p w14:paraId="3FE1D10E" w14:textId="77777777" w:rsidR="009A08B9" w:rsidRPr="0054504F" w:rsidRDefault="009A08B9" w:rsidP="00C84941">
            <w:pPr>
              <w:pStyle w:val="Tabletext"/>
              <w:rPr>
                <w:rStyle w:val="Strong"/>
              </w:rPr>
            </w:pPr>
            <w:r w:rsidRPr="0054504F">
              <w:rPr>
                <w:rStyle w:val="Strong"/>
              </w:rPr>
              <w:t xml:space="preserve">Option 3 – Change to statement of ingredients to overtly identify sugars-based ingredients </w:t>
            </w:r>
          </w:p>
        </w:tc>
        <w:tc>
          <w:tcPr>
            <w:tcW w:w="3261" w:type="dxa"/>
            <w:tcBorders>
              <w:bottom w:val="nil"/>
            </w:tcBorders>
            <w:shd w:val="clear" w:color="auto" w:fill="FFC000"/>
          </w:tcPr>
          <w:p w14:paraId="551DEF82" w14:textId="09DD0BC7" w:rsidR="009A08B9" w:rsidRPr="00BC587F" w:rsidRDefault="00ED3D70" w:rsidP="00C84941">
            <w:pPr>
              <w:pStyle w:val="Tabletext"/>
            </w:pPr>
            <w:r w:rsidRPr="00BC587F">
              <w:t>A</w:t>
            </w:r>
            <w:r w:rsidR="009A08B9" w:rsidRPr="00BC587F">
              <w:t>llows consumers to identify products containing added sugars (Australian dietary guidelines). In respect to the New Zealand dietary guidelines, it will allow for identifying foods with no added sugars however is unlikely to assist with identifying foods with little added sugars.</w:t>
            </w:r>
          </w:p>
        </w:tc>
        <w:tc>
          <w:tcPr>
            <w:tcW w:w="3118" w:type="dxa"/>
            <w:vMerge w:val="restart"/>
            <w:shd w:val="clear" w:color="auto" w:fill="FFC000"/>
          </w:tcPr>
          <w:p w14:paraId="787A3DDE" w14:textId="0717D271" w:rsidR="009A08B9" w:rsidRPr="00FE3142" w:rsidRDefault="009A08B9" w:rsidP="00C84941">
            <w:pPr>
              <w:pStyle w:val="Tabletext"/>
            </w:pPr>
            <w:r>
              <w:t>Option 3</w:t>
            </w:r>
            <w:r w:rsidRPr="00FE3142">
              <w:t xml:space="preserve"> would provide information about the relative contribution of added sugars in the context of other ingredients. It would allow consumers to compare the r</w:t>
            </w:r>
            <w:r>
              <w:t>elative amounts of added sugars to other ingredients within a</w:t>
            </w:r>
            <w:r w:rsidRPr="00FE3142">
              <w:t xml:space="preserve"> food</w:t>
            </w:r>
            <w:r>
              <w:t>;</w:t>
            </w:r>
            <w:r w:rsidRPr="00FE3142">
              <w:t xml:space="preserve"> </w:t>
            </w:r>
            <w:proofErr w:type="gramStart"/>
            <w:r w:rsidRPr="00FE3142">
              <w:t>however</w:t>
            </w:r>
            <w:proofErr w:type="gramEnd"/>
            <w:r w:rsidRPr="00FE3142">
              <w:t xml:space="preserve"> it would not allow consumers to identify whether a food has a high, medium or low added suga</w:t>
            </w:r>
            <w:r>
              <w:t>rs co</w:t>
            </w:r>
            <w:r w:rsidR="00E372C0">
              <w:t xml:space="preserve">ntent. </w:t>
            </w:r>
            <w:r>
              <w:t xml:space="preserve">Option 3 would not allow </w:t>
            </w:r>
            <w:r w:rsidRPr="00FE3142">
              <w:t>for comparisons of added</w:t>
            </w:r>
            <w:r w:rsidR="00DC3857">
              <w:t xml:space="preserve"> sugars content between foods.</w:t>
            </w:r>
          </w:p>
        </w:tc>
        <w:tc>
          <w:tcPr>
            <w:tcW w:w="3402" w:type="dxa"/>
            <w:vMerge w:val="restart"/>
            <w:shd w:val="clear" w:color="auto" w:fill="FFC000"/>
          </w:tcPr>
          <w:p w14:paraId="04A46038" w14:textId="5EFC8DF4" w:rsidR="009A08B9" w:rsidRPr="00FE3142" w:rsidRDefault="009A08B9" w:rsidP="00C84941">
            <w:pPr>
              <w:pStyle w:val="Tabletext"/>
            </w:pPr>
            <w:r>
              <w:t>Option 3</w:t>
            </w:r>
            <w:r w:rsidRPr="00FE3142">
              <w:t xml:space="preserve"> should make identification of added sugars in a f</w:t>
            </w:r>
            <w:r w:rsidR="00E372C0">
              <w:t>ood easier at the point of sale</w:t>
            </w:r>
            <w:r w:rsidR="00727948">
              <w:t>.</w:t>
            </w:r>
          </w:p>
          <w:p w14:paraId="310BED7B" w14:textId="35253B30" w:rsidR="009A08B9" w:rsidRPr="00FE3142" w:rsidRDefault="009A08B9" w:rsidP="00C84941">
            <w:pPr>
              <w:pStyle w:val="Tabletext"/>
            </w:pPr>
            <w:r>
              <w:t>Option 3</w:t>
            </w:r>
            <w:r w:rsidRPr="00FE3142">
              <w:t xml:space="preserve"> would require a degree of literacy and time to identify the presence of added sugars amongs</w:t>
            </w:r>
            <w:r>
              <w:t>t other ingredients declared.</w:t>
            </w:r>
          </w:p>
        </w:tc>
        <w:tc>
          <w:tcPr>
            <w:tcW w:w="3260" w:type="dxa"/>
            <w:vMerge w:val="restart"/>
            <w:shd w:val="clear" w:color="auto" w:fill="92D050"/>
          </w:tcPr>
          <w:p w14:paraId="31A256CF" w14:textId="494BA8E6" w:rsidR="009A08B9" w:rsidRPr="00FE3142" w:rsidRDefault="009A08B9" w:rsidP="00C84941">
            <w:pPr>
              <w:pStyle w:val="Tabletext"/>
            </w:pPr>
            <w:r>
              <w:t>Option 3</w:t>
            </w:r>
            <w:r w:rsidRPr="00FE3142">
              <w:t xml:space="preserve"> would provide some additional information to make identifying added sugars easier.</w:t>
            </w:r>
          </w:p>
        </w:tc>
      </w:tr>
      <w:tr w:rsidR="009A08B9" w:rsidRPr="00FE3142" w14:paraId="46D16566" w14:textId="77777777" w:rsidTr="0054504F">
        <w:trPr>
          <w:trHeight w:val="339"/>
        </w:trPr>
        <w:tc>
          <w:tcPr>
            <w:tcW w:w="1276" w:type="dxa"/>
            <w:vMerge/>
          </w:tcPr>
          <w:p w14:paraId="77F7E6B8" w14:textId="77777777" w:rsidR="009A08B9" w:rsidRPr="0054504F" w:rsidRDefault="009A08B9" w:rsidP="00C84941">
            <w:pPr>
              <w:pStyle w:val="Tabletext"/>
              <w:rPr>
                <w:rStyle w:val="Strong"/>
              </w:rPr>
            </w:pPr>
          </w:p>
        </w:tc>
        <w:tc>
          <w:tcPr>
            <w:tcW w:w="3261" w:type="dxa"/>
            <w:tcBorders>
              <w:top w:val="nil"/>
              <w:bottom w:val="single" w:sz="4" w:space="0" w:color="auto"/>
            </w:tcBorders>
            <w:shd w:val="clear" w:color="auto" w:fill="FFC000"/>
          </w:tcPr>
          <w:p w14:paraId="7C5B0638" w14:textId="0CF521D4" w:rsidR="009A08B9" w:rsidRDefault="009A08B9" w:rsidP="00C84941">
            <w:pPr>
              <w:pStyle w:val="Tabletext"/>
            </w:pPr>
            <w:r>
              <w:t>Option 3</w:t>
            </w:r>
            <w:r w:rsidRPr="00FE3142">
              <w:t xml:space="preserve"> may emphasise added sugars over other </w:t>
            </w:r>
            <w:r>
              <w:t xml:space="preserve">negative </w:t>
            </w:r>
            <w:r w:rsidRPr="00FE3142">
              <w:t xml:space="preserve">nutrients </w:t>
            </w:r>
            <w:r>
              <w:t>identified</w:t>
            </w:r>
            <w:r w:rsidR="00727948">
              <w:t xml:space="preserve"> in dietary guidelines.</w:t>
            </w:r>
          </w:p>
          <w:p w14:paraId="6E462662" w14:textId="34735F10" w:rsidR="009A08B9" w:rsidRPr="00FE3142" w:rsidRDefault="00E372C0" w:rsidP="00C84941">
            <w:pPr>
              <w:pStyle w:val="Tabletext"/>
            </w:pPr>
            <w:r>
              <w:t>S</w:t>
            </w:r>
            <w:r w:rsidR="009A08B9" w:rsidRPr="00FE3142">
              <w:t>hould not result in significant additional labelling information (</w:t>
            </w:r>
            <w:proofErr w:type="gramStart"/>
            <w:r w:rsidR="009A08B9" w:rsidRPr="00FE3142">
              <w:t>i.e.</w:t>
            </w:r>
            <w:proofErr w:type="gramEnd"/>
            <w:r w:rsidR="009A08B9" w:rsidRPr="00FE3142">
              <w:t xml:space="preserve"> more words) and therefore should not necessitate the removal of other more holistic information.</w:t>
            </w:r>
          </w:p>
        </w:tc>
        <w:tc>
          <w:tcPr>
            <w:tcW w:w="3118" w:type="dxa"/>
            <w:vMerge/>
            <w:shd w:val="clear" w:color="auto" w:fill="CDDDD7" w:themeFill="accent6" w:themeFillTint="66"/>
          </w:tcPr>
          <w:p w14:paraId="143B6202" w14:textId="77777777" w:rsidR="009A08B9" w:rsidRPr="00FE3142" w:rsidRDefault="009A08B9" w:rsidP="00C84941">
            <w:pPr>
              <w:pStyle w:val="Tabletext"/>
              <w:rPr>
                <w:sz w:val="20"/>
                <w:szCs w:val="20"/>
              </w:rPr>
            </w:pPr>
          </w:p>
        </w:tc>
        <w:tc>
          <w:tcPr>
            <w:tcW w:w="3402" w:type="dxa"/>
            <w:vMerge/>
            <w:shd w:val="clear" w:color="auto" w:fill="CDDDD7" w:themeFill="accent6" w:themeFillTint="66"/>
          </w:tcPr>
          <w:p w14:paraId="452BA97D" w14:textId="77777777" w:rsidR="009A08B9" w:rsidRPr="00FE3142" w:rsidRDefault="009A08B9" w:rsidP="00C84941">
            <w:pPr>
              <w:pStyle w:val="Tabletext"/>
              <w:rPr>
                <w:sz w:val="20"/>
                <w:szCs w:val="20"/>
              </w:rPr>
            </w:pPr>
          </w:p>
        </w:tc>
        <w:tc>
          <w:tcPr>
            <w:tcW w:w="3260" w:type="dxa"/>
            <w:vMerge/>
            <w:shd w:val="clear" w:color="auto" w:fill="92D050"/>
          </w:tcPr>
          <w:p w14:paraId="3711F42E" w14:textId="77777777" w:rsidR="009A08B9" w:rsidRPr="00FE3142" w:rsidRDefault="009A08B9" w:rsidP="00C84941">
            <w:pPr>
              <w:pStyle w:val="Tabletext"/>
              <w:rPr>
                <w:sz w:val="20"/>
                <w:szCs w:val="20"/>
              </w:rPr>
            </w:pPr>
          </w:p>
        </w:tc>
      </w:tr>
      <w:tr w:rsidR="009A08B9" w14:paraId="4967C3E7" w14:textId="77777777" w:rsidTr="0054504F">
        <w:tc>
          <w:tcPr>
            <w:tcW w:w="1276" w:type="dxa"/>
            <w:vMerge w:val="restart"/>
          </w:tcPr>
          <w:p w14:paraId="6A2BC7FA" w14:textId="77777777" w:rsidR="009A08B9" w:rsidRPr="0054504F" w:rsidRDefault="009A08B9" w:rsidP="00C84941">
            <w:pPr>
              <w:pStyle w:val="Tabletext"/>
              <w:rPr>
                <w:rStyle w:val="Strong"/>
              </w:rPr>
            </w:pPr>
            <w:r w:rsidRPr="0054504F">
              <w:rPr>
                <w:rStyle w:val="Strong"/>
              </w:rPr>
              <w:t>Option 4 – added sugars quantified in NIP</w:t>
            </w:r>
          </w:p>
        </w:tc>
        <w:tc>
          <w:tcPr>
            <w:tcW w:w="3261" w:type="dxa"/>
            <w:tcBorders>
              <w:bottom w:val="nil"/>
            </w:tcBorders>
            <w:shd w:val="clear" w:color="auto" w:fill="92D050"/>
          </w:tcPr>
          <w:p w14:paraId="2CA3BE6D" w14:textId="08444543" w:rsidR="009A08B9" w:rsidRPr="00BC587F" w:rsidRDefault="00ED3D70" w:rsidP="00C84941">
            <w:pPr>
              <w:pStyle w:val="Tabletext"/>
            </w:pPr>
            <w:r w:rsidRPr="00BC587F">
              <w:t>W</w:t>
            </w:r>
            <w:r w:rsidR="009A08B9" w:rsidRPr="00BC587F">
              <w:t>ould allow consumers to identify products containing added sugars (Australian dietary guidelines) and products with little or no added sugars (New Zealand dietary guidelines).</w:t>
            </w:r>
          </w:p>
        </w:tc>
        <w:tc>
          <w:tcPr>
            <w:tcW w:w="3118" w:type="dxa"/>
            <w:vMerge w:val="restart"/>
            <w:shd w:val="clear" w:color="auto" w:fill="92D050"/>
          </w:tcPr>
          <w:p w14:paraId="7BEC76D4" w14:textId="075E5BC6" w:rsidR="009A08B9" w:rsidRPr="00BC587F" w:rsidRDefault="00ED3D70" w:rsidP="00C84941">
            <w:pPr>
              <w:pStyle w:val="Tabletext"/>
            </w:pPr>
            <w:r w:rsidRPr="00BC587F">
              <w:t>A</w:t>
            </w:r>
            <w:r w:rsidR="009A08B9" w:rsidRPr="00BC587F">
              <w:t>llows consumers to understand how much of a product’s total sugars content is derived from added sugars</w:t>
            </w:r>
            <w:r w:rsidR="009A08B9" w:rsidRPr="0054504F">
              <w:rPr>
                <w:vertAlign w:val="superscript"/>
              </w:rPr>
              <w:footnoteReference w:id="5"/>
            </w:r>
            <w:r w:rsidR="009A08B9" w:rsidRPr="00BC587F">
              <w:t>.</w:t>
            </w:r>
          </w:p>
        </w:tc>
        <w:tc>
          <w:tcPr>
            <w:tcW w:w="3402" w:type="dxa"/>
            <w:vMerge w:val="restart"/>
            <w:shd w:val="clear" w:color="auto" w:fill="92D050"/>
          </w:tcPr>
          <w:p w14:paraId="3997ABFC" w14:textId="1448CA2F" w:rsidR="009A08B9" w:rsidRPr="00B23961" w:rsidRDefault="009A08B9" w:rsidP="00C84941">
            <w:pPr>
              <w:pStyle w:val="Tabletext"/>
            </w:pPr>
            <w:r w:rsidRPr="00B23961">
              <w:t>Incorporating added sugars into the NIP would make this information available to consumers at the point of sale. The prescribed format and standardised units of the NIP</w:t>
            </w:r>
            <w:r w:rsidR="00727948">
              <w:t xml:space="preserve"> allows for product comparison.</w:t>
            </w:r>
          </w:p>
          <w:p w14:paraId="16AFD36C" w14:textId="10C3FFB7" w:rsidR="009A08B9" w:rsidRPr="00BC587F" w:rsidRDefault="009A08B9" w:rsidP="00C84941">
            <w:pPr>
              <w:pStyle w:val="Tabletext"/>
            </w:pPr>
            <w:r w:rsidRPr="00BC587F">
              <w:t>Inclusion of added sugars as a separate element on a NIP may lead some consumers to be confused</w:t>
            </w:r>
            <w:r w:rsidRPr="0054504F">
              <w:rPr>
                <w:vertAlign w:val="superscript"/>
              </w:rPr>
              <w:footnoteReference w:id="6"/>
            </w:r>
            <w:r w:rsidRPr="0054504F">
              <w:rPr>
                <w:vertAlign w:val="superscript"/>
              </w:rPr>
              <w:t>,</w:t>
            </w:r>
            <w:r w:rsidRPr="0054504F">
              <w:rPr>
                <w:vertAlign w:val="superscript"/>
              </w:rPr>
              <w:footnoteReference w:id="7"/>
            </w:r>
            <w:r w:rsidR="00ED3D70" w:rsidRPr="00BC587F">
              <w:t>.</w:t>
            </w:r>
            <w:r w:rsidRPr="00BC587F">
              <w:t xml:space="preserve"> However, </w:t>
            </w:r>
            <w:r w:rsidR="0014798F" w:rsidRPr="00BC587F">
              <w:t xml:space="preserve">NIP </w:t>
            </w:r>
            <w:r w:rsidRPr="00BC587F">
              <w:t>format a</w:t>
            </w:r>
            <w:r w:rsidR="00E372C0" w:rsidRPr="00BC587F">
              <w:t>nd wording influences</w:t>
            </w:r>
            <w:r w:rsidRPr="00BC587F">
              <w:t xml:space="preserve"> consumer understanding</w:t>
            </w:r>
            <w:r w:rsidRPr="0054504F">
              <w:rPr>
                <w:vertAlign w:val="superscript"/>
              </w:rPr>
              <w:footnoteReference w:id="8"/>
            </w:r>
            <w:r w:rsidRPr="00BC587F">
              <w:t>.</w:t>
            </w:r>
          </w:p>
        </w:tc>
        <w:tc>
          <w:tcPr>
            <w:tcW w:w="3260" w:type="dxa"/>
            <w:vMerge w:val="restart"/>
            <w:shd w:val="clear" w:color="auto" w:fill="92D050"/>
          </w:tcPr>
          <w:p w14:paraId="724E8596" w14:textId="77777777" w:rsidR="009A08B9" w:rsidRPr="00B23961" w:rsidRDefault="009A08B9" w:rsidP="00C84941">
            <w:pPr>
              <w:pStyle w:val="Tabletext"/>
            </w:pPr>
            <w:r>
              <w:t>Option 4</w:t>
            </w:r>
            <w:r w:rsidRPr="00B23961">
              <w:t xml:space="preserve"> provides new information on a food label as few food manufacturers currently quantify the </w:t>
            </w:r>
            <w:proofErr w:type="gramStart"/>
            <w:r w:rsidRPr="00B23961">
              <w:t>amount</w:t>
            </w:r>
            <w:proofErr w:type="gramEnd"/>
            <w:r w:rsidRPr="00B23961">
              <w:t xml:space="preserve"> of added sugars in a food product.</w:t>
            </w:r>
          </w:p>
        </w:tc>
      </w:tr>
      <w:tr w:rsidR="009A08B9" w14:paraId="70646151" w14:textId="77777777" w:rsidTr="0054504F">
        <w:tc>
          <w:tcPr>
            <w:tcW w:w="1276" w:type="dxa"/>
            <w:vMerge/>
          </w:tcPr>
          <w:p w14:paraId="2CD34ADD" w14:textId="77777777" w:rsidR="009A08B9" w:rsidRPr="0054504F" w:rsidRDefault="009A08B9" w:rsidP="00C84941">
            <w:pPr>
              <w:pStyle w:val="Tabletext"/>
              <w:rPr>
                <w:rStyle w:val="Strong"/>
              </w:rPr>
            </w:pPr>
          </w:p>
        </w:tc>
        <w:tc>
          <w:tcPr>
            <w:tcW w:w="3261" w:type="dxa"/>
            <w:tcBorders>
              <w:top w:val="nil"/>
            </w:tcBorders>
            <w:shd w:val="clear" w:color="auto" w:fill="92D050"/>
          </w:tcPr>
          <w:p w14:paraId="2F531AE2" w14:textId="72FB137D" w:rsidR="009A08B9" w:rsidRPr="00B23961" w:rsidRDefault="00ED3D70" w:rsidP="00C84941">
            <w:pPr>
              <w:pStyle w:val="Tabletext"/>
            </w:pPr>
            <w:r>
              <w:t>D</w:t>
            </w:r>
            <w:r w:rsidR="009A08B9" w:rsidRPr="00B23961">
              <w:t>oes not over-emphasise added suga</w:t>
            </w:r>
            <w:r w:rsidR="005015B8">
              <w:t>rs above other risk nutrients.</w:t>
            </w:r>
          </w:p>
          <w:p w14:paraId="223B0AD9" w14:textId="2787FA20" w:rsidR="009A08B9" w:rsidRPr="00B23961" w:rsidRDefault="0014798F" w:rsidP="00C84941">
            <w:pPr>
              <w:pStyle w:val="Tabletext"/>
            </w:pPr>
            <w:r>
              <w:t>M</w:t>
            </w:r>
            <w:r w:rsidR="009A08B9" w:rsidRPr="00B23961">
              <w:t xml:space="preserve">inimal </w:t>
            </w:r>
            <w:r>
              <w:t>label change</w:t>
            </w:r>
            <w:r w:rsidR="009A08B9" w:rsidRPr="00B23961">
              <w:t xml:space="preserve"> and is unlikely to necessitate removal of other more holistic </w:t>
            </w:r>
            <w:r>
              <w:t>label information.</w:t>
            </w:r>
          </w:p>
        </w:tc>
        <w:tc>
          <w:tcPr>
            <w:tcW w:w="3118" w:type="dxa"/>
            <w:vMerge/>
            <w:shd w:val="clear" w:color="auto" w:fill="92D050"/>
          </w:tcPr>
          <w:p w14:paraId="4E1BE9E4" w14:textId="77777777" w:rsidR="009A08B9" w:rsidRPr="00B23961" w:rsidRDefault="009A08B9" w:rsidP="00C84941">
            <w:pPr>
              <w:pStyle w:val="Tabletext"/>
              <w:rPr>
                <w:sz w:val="20"/>
                <w:szCs w:val="20"/>
              </w:rPr>
            </w:pPr>
          </w:p>
        </w:tc>
        <w:tc>
          <w:tcPr>
            <w:tcW w:w="3402" w:type="dxa"/>
            <w:vMerge/>
            <w:shd w:val="clear" w:color="auto" w:fill="D8D4B9" w:themeFill="accent3" w:themeFillTint="66"/>
          </w:tcPr>
          <w:p w14:paraId="1FE8BF79" w14:textId="77777777" w:rsidR="009A08B9" w:rsidRPr="00B23961" w:rsidRDefault="009A08B9" w:rsidP="00C84941">
            <w:pPr>
              <w:pStyle w:val="Tabletext"/>
              <w:rPr>
                <w:sz w:val="20"/>
                <w:szCs w:val="20"/>
              </w:rPr>
            </w:pPr>
          </w:p>
        </w:tc>
        <w:tc>
          <w:tcPr>
            <w:tcW w:w="3260" w:type="dxa"/>
            <w:vMerge/>
            <w:shd w:val="clear" w:color="auto" w:fill="D8D4B9" w:themeFill="accent3" w:themeFillTint="66"/>
          </w:tcPr>
          <w:p w14:paraId="3F065129" w14:textId="77777777" w:rsidR="009A08B9" w:rsidRPr="00B23961" w:rsidRDefault="009A08B9" w:rsidP="00C84941">
            <w:pPr>
              <w:pStyle w:val="Tabletext"/>
              <w:rPr>
                <w:sz w:val="20"/>
                <w:szCs w:val="20"/>
              </w:rPr>
            </w:pPr>
          </w:p>
        </w:tc>
      </w:tr>
      <w:tr w:rsidR="009A08B9" w14:paraId="301C0FE7" w14:textId="77777777" w:rsidTr="006C1D19">
        <w:tc>
          <w:tcPr>
            <w:tcW w:w="1276" w:type="dxa"/>
          </w:tcPr>
          <w:p w14:paraId="55F64EF2" w14:textId="77777777" w:rsidR="009A08B9" w:rsidRPr="0054504F" w:rsidRDefault="009A08B9" w:rsidP="00C84941">
            <w:pPr>
              <w:pStyle w:val="Tabletext"/>
              <w:rPr>
                <w:rStyle w:val="Strong"/>
              </w:rPr>
            </w:pPr>
            <w:r w:rsidRPr="0054504F">
              <w:rPr>
                <w:rStyle w:val="Strong"/>
              </w:rPr>
              <w:t xml:space="preserve">Option 5 – Advisory labels for foods high in added sugars </w:t>
            </w:r>
          </w:p>
        </w:tc>
        <w:tc>
          <w:tcPr>
            <w:tcW w:w="3261" w:type="dxa"/>
            <w:tcBorders>
              <w:bottom w:val="single" w:sz="4" w:space="0" w:color="auto"/>
            </w:tcBorders>
            <w:shd w:val="clear" w:color="auto" w:fill="FF7C80"/>
          </w:tcPr>
          <w:p w14:paraId="4DD589F5" w14:textId="324177F9" w:rsidR="009A08B9" w:rsidRPr="00BC587F" w:rsidRDefault="0014798F" w:rsidP="00C84941">
            <w:pPr>
              <w:pStyle w:val="Tabletext"/>
            </w:pPr>
            <w:r w:rsidRPr="00BC587F">
              <w:t>F</w:t>
            </w:r>
            <w:r w:rsidR="009A08B9" w:rsidRPr="00BC587F">
              <w:t xml:space="preserve">oods containing added sugars below the threshold will not be required to display the advisory label. </w:t>
            </w:r>
            <w:r w:rsidRPr="00BC587F">
              <w:t>C</w:t>
            </w:r>
            <w:r w:rsidR="009A08B9" w:rsidRPr="00BC587F">
              <w:t>onsumers may not be able to identify foods containing added sugar (Australian dietary guidelines) or foods with little or no added sugars (New Zealand dietary guidelines).</w:t>
            </w:r>
          </w:p>
          <w:p w14:paraId="1AD16A97" w14:textId="1FAB6AF7" w:rsidR="0014798F" w:rsidRDefault="00ED3D70" w:rsidP="00C84941">
            <w:pPr>
              <w:pStyle w:val="Tabletext"/>
            </w:pPr>
            <w:r>
              <w:t>A</w:t>
            </w:r>
            <w:r w:rsidR="009A08B9" w:rsidRPr="00B23961">
              <w:t xml:space="preserve">dvisory label </w:t>
            </w:r>
            <w:r w:rsidR="0014798F">
              <w:t xml:space="preserve">for added sugars place a significant emphasis of sugars and do not consider </w:t>
            </w:r>
            <w:r w:rsidR="009A08B9" w:rsidRPr="00B23961">
              <w:t xml:space="preserve">other </w:t>
            </w:r>
            <w:r w:rsidR="009A08B9">
              <w:t xml:space="preserve">nutrients </w:t>
            </w:r>
            <w:r w:rsidR="0014798F">
              <w:t>s</w:t>
            </w:r>
            <w:r w:rsidR="00727948">
              <w:t>uch as sodium or saturated fat.</w:t>
            </w:r>
          </w:p>
          <w:p w14:paraId="453A2926" w14:textId="77777777" w:rsidR="009A08B9" w:rsidRDefault="0014798F" w:rsidP="00C84941">
            <w:pPr>
              <w:pStyle w:val="Tabletext"/>
            </w:pPr>
            <w:r>
              <w:t>M</w:t>
            </w:r>
            <w:r w:rsidR="009A08B9" w:rsidRPr="00B23961">
              <w:t>ay result in a lowe</w:t>
            </w:r>
            <w:r w:rsidR="00727948">
              <w:t>r uptake or removal of the HSR.</w:t>
            </w:r>
          </w:p>
          <w:p w14:paraId="52FFBE42" w14:textId="01AF82D0" w:rsidR="006C1D19" w:rsidRPr="006C1D19" w:rsidRDefault="006C1D19" w:rsidP="00C84941">
            <w:pPr>
              <w:pStyle w:val="Tabletext"/>
              <w:rPr>
                <w:sz w:val="72"/>
                <w:szCs w:val="72"/>
              </w:rPr>
            </w:pPr>
          </w:p>
        </w:tc>
        <w:tc>
          <w:tcPr>
            <w:tcW w:w="3118" w:type="dxa"/>
            <w:shd w:val="clear" w:color="auto" w:fill="FF7C80"/>
          </w:tcPr>
          <w:p w14:paraId="3832CF81" w14:textId="5A2A0688" w:rsidR="009A08B9" w:rsidRPr="00B23961" w:rsidRDefault="009A08B9" w:rsidP="00C84941">
            <w:pPr>
              <w:pStyle w:val="Tabletext"/>
            </w:pPr>
            <w:r>
              <w:t>Option 5</w:t>
            </w:r>
            <w:r w:rsidRPr="00B23961">
              <w:t xml:space="preserve"> provides some contextual information, as it provides an assessment of products that are high in added sugar</w:t>
            </w:r>
            <w:r>
              <w:t>s</w:t>
            </w:r>
            <w:r w:rsidRPr="00B23961">
              <w:t xml:space="preserve">, therefore removing consumer need to interpret </w:t>
            </w:r>
            <w:r w:rsidR="00727948">
              <w:t>information about added sugars.</w:t>
            </w:r>
          </w:p>
          <w:p w14:paraId="51191FEA" w14:textId="46222305" w:rsidR="009A08B9" w:rsidRPr="00B23961" w:rsidRDefault="009A08B9" w:rsidP="00C84941">
            <w:pPr>
              <w:pStyle w:val="Tabletext"/>
            </w:pPr>
            <w:r w:rsidRPr="00B23961">
              <w:t>However, comparison between products is limited to between those displaying and not displaying the advisory label.</w:t>
            </w:r>
          </w:p>
        </w:tc>
        <w:tc>
          <w:tcPr>
            <w:tcW w:w="3402" w:type="dxa"/>
            <w:shd w:val="clear" w:color="auto" w:fill="92D050"/>
          </w:tcPr>
          <w:p w14:paraId="733280E3" w14:textId="3FCCCC17" w:rsidR="009A08B9" w:rsidRPr="00B23961" w:rsidRDefault="009A08B9" w:rsidP="00C84941">
            <w:pPr>
              <w:pStyle w:val="Tabletext"/>
            </w:pPr>
            <w:r>
              <w:t>Option 5</w:t>
            </w:r>
            <w:r w:rsidRPr="00B23961">
              <w:t xml:space="preserve"> does not require numerical calculations or an interpretation against recommendations and therefore consumer understanding is expected to be very high.</w:t>
            </w:r>
          </w:p>
        </w:tc>
        <w:tc>
          <w:tcPr>
            <w:tcW w:w="3260" w:type="dxa"/>
            <w:shd w:val="clear" w:color="auto" w:fill="92D050"/>
          </w:tcPr>
          <w:p w14:paraId="73877EE5" w14:textId="7316AD27" w:rsidR="009A08B9" w:rsidRPr="00B23961" w:rsidRDefault="009A08B9" w:rsidP="00C84941">
            <w:pPr>
              <w:pStyle w:val="Tabletext"/>
            </w:pPr>
            <w:r>
              <w:t>Option 5</w:t>
            </w:r>
            <w:r w:rsidRPr="00B23961">
              <w:t xml:space="preserve"> provides new information about foods that are high in added sugar</w:t>
            </w:r>
            <w:r>
              <w:t>s</w:t>
            </w:r>
            <w:r w:rsidR="00727948">
              <w:t>.</w:t>
            </w:r>
          </w:p>
        </w:tc>
      </w:tr>
      <w:tr w:rsidR="009A08B9" w14:paraId="2AB0F961" w14:textId="77777777" w:rsidTr="006C1D19">
        <w:trPr>
          <w:trHeight w:val="489"/>
        </w:trPr>
        <w:tc>
          <w:tcPr>
            <w:tcW w:w="1276" w:type="dxa"/>
            <w:vMerge w:val="restart"/>
          </w:tcPr>
          <w:p w14:paraId="3F9ADC5F" w14:textId="77777777" w:rsidR="009A08B9" w:rsidRPr="00396B69" w:rsidRDefault="009A08B9" w:rsidP="00C84941">
            <w:pPr>
              <w:pStyle w:val="Tabletext"/>
              <w:rPr>
                <w:b/>
              </w:rPr>
            </w:pPr>
            <w:r w:rsidRPr="00396B69">
              <w:rPr>
                <w:b/>
              </w:rPr>
              <w:t xml:space="preserve">Option 6 – pictorial approaches to convey the </w:t>
            </w:r>
            <w:proofErr w:type="gramStart"/>
            <w:r w:rsidRPr="00396B69">
              <w:rPr>
                <w:b/>
              </w:rPr>
              <w:t>amount</w:t>
            </w:r>
            <w:proofErr w:type="gramEnd"/>
            <w:r w:rsidRPr="00396B69">
              <w:rPr>
                <w:b/>
              </w:rPr>
              <w:t xml:space="preserve"> of sugars in a serving of food</w:t>
            </w:r>
          </w:p>
        </w:tc>
        <w:tc>
          <w:tcPr>
            <w:tcW w:w="3261" w:type="dxa"/>
            <w:tcBorders>
              <w:bottom w:val="nil"/>
            </w:tcBorders>
            <w:shd w:val="clear" w:color="auto" w:fill="FFC000"/>
          </w:tcPr>
          <w:p w14:paraId="3304FEFB" w14:textId="5F0E0AAE" w:rsidR="009A08B9" w:rsidRPr="00BC587F" w:rsidRDefault="0014798F" w:rsidP="00C84941">
            <w:pPr>
              <w:pStyle w:val="Tabletext"/>
            </w:pPr>
            <w:r w:rsidRPr="00BC587F">
              <w:t>C</w:t>
            </w:r>
            <w:r w:rsidR="009A08B9" w:rsidRPr="00BC587F">
              <w:t>ould allow consumers to identify products containing added sugars (Australian dietary guidelines) and products with little or no added sugars (New Zealand dietary guidelines</w:t>
            </w:r>
            <w:r w:rsidR="00727948" w:rsidRPr="00BC587F">
              <w:t>).</w:t>
            </w:r>
          </w:p>
        </w:tc>
        <w:tc>
          <w:tcPr>
            <w:tcW w:w="3118" w:type="dxa"/>
            <w:vMerge w:val="restart"/>
            <w:shd w:val="clear" w:color="auto" w:fill="FFC000"/>
          </w:tcPr>
          <w:p w14:paraId="61B6AE2F" w14:textId="27346102" w:rsidR="009A08B9" w:rsidRPr="00B23961" w:rsidRDefault="00710145" w:rsidP="00C84941">
            <w:pPr>
              <w:pStyle w:val="Tabletext"/>
            </w:pPr>
            <w:r>
              <w:t xml:space="preserve">Depends on the pictorial approach taken. </w:t>
            </w:r>
            <w:r w:rsidR="009A08B9">
              <w:t>Option 6</w:t>
            </w:r>
            <w:r w:rsidR="009A08B9" w:rsidRPr="00B23961">
              <w:t xml:space="preserve"> provides some contextual information on added sugar</w:t>
            </w:r>
            <w:r w:rsidR="009A08B9">
              <w:t>s</w:t>
            </w:r>
            <w:r w:rsidR="009A08B9" w:rsidRPr="00B23961">
              <w:t xml:space="preserve"> or total sugar</w:t>
            </w:r>
            <w:r w:rsidR="009A08B9">
              <w:t>s</w:t>
            </w:r>
            <w:r w:rsidR="009A08B9" w:rsidRPr="00B23961">
              <w:t>, by representing it in a re</w:t>
            </w:r>
            <w:r w:rsidR="009A08B9">
              <w:t>latable format</w:t>
            </w:r>
            <w:r w:rsidR="00727948">
              <w:t>.</w:t>
            </w:r>
          </w:p>
          <w:p w14:paraId="52E07E3C" w14:textId="6155773A" w:rsidR="009A08B9" w:rsidRPr="00B23961" w:rsidRDefault="009A08B9" w:rsidP="00C84941">
            <w:pPr>
              <w:pStyle w:val="Tabletext"/>
            </w:pPr>
            <w:r>
              <w:t>Option 6</w:t>
            </w:r>
            <w:r w:rsidRPr="00B23961">
              <w:t xml:space="preserve"> </w:t>
            </w:r>
            <w:r>
              <w:t xml:space="preserve">supports consumers to compare products at the point of sale, and potentially </w:t>
            </w:r>
            <w:r w:rsidRPr="00B23961">
              <w:t xml:space="preserve">without even taking </w:t>
            </w:r>
            <w:r>
              <w:t xml:space="preserve">the product off the </w:t>
            </w:r>
            <w:proofErr w:type="gramStart"/>
            <w:r>
              <w:t>shelf,</w:t>
            </w:r>
            <w:r w:rsidRPr="00B23961">
              <w:t xml:space="preserve"> if</w:t>
            </w:r>
            <w:proofErr w:type="gramEnd"/>
            <w:r w:rsidRPr="00B23961">
              <w:t xml:space="preserve"> the label is highly visible and front-of-pack.</w:t>
            </w:r>
          </w:p>
        </w:tc>
        <w:tc>
          <w:tcPr>
            <w:tcW w:w="3402" w:type="dxa"/>
            <w:vMerge w:val="restart"/>
            <w:shd w:val="clear" w:color="auto" w:fill="92D050"/>
          </w:tcPr>
          <w:p w14:paraId="7A51BF3F" w14:textId="181F6346" w:rsidR="009A08B9" w:rsidRPr="00B23961" w:rsidRDefault="009A08B9" w:rsidP="00C84941">
            <w:pPr>
              <w:pStyle w:val="Tabletext"/>
            </w:pPr>
            <w:r>
              <w:t xml:space="preserve">Depending on the pictorial approach taken, the information may be </w:t>
            </w:r>
            <w:r w:rsidRPr="00B23961">
              <w:t>immediately apparent to consumers and relatable</w:t>
            </w:r>
            <w:r>
              <w:t xml:space="preserve">. </w:t>
            </w:r>
            <w:r w:rsidR="00E372C0" w:rsidRPr="00B23961">
              <w:t>Pictorial labelling, especially if in teaspoon form, is more accessible to a wide audience than more traditional forms of nutritional labelling</w:t>
            </w:r>
            <w:r w:rsidR="0014798F">
              <w:t xml:space="preserve"> as </w:t>
            </w:r>
            <w:r w:rsidR="0014798F" w:rsidRPr="00B23961">
              <w:t>requires less numeracy and litera</w:t>
            </w:r>
            <w:r w:rsidR="0014798F">
              <w:t>cy skills</w:t>
            </w:r>
            <w:r w:rsidR="00E372C0" w:rsidRPr="00B23961">
              <w:t xml:space="preserve">. </w:t>
            </w:r>
            <w:r w:rsidRPr="00B23961">
              <w:t>However,</w:t>
            </w:r>
            <w:r>
              <w:t xml:space="preserve"> </w:t>
            </w:r>
            <w:r w:rsidR="00E372C0">
              <w:t>this</w:t>
            </w:r>
            <w:r w:rsidRPr="00B23961">
              <w:t xml:space="preserve"> may also confuse consumers if the sugar</w:t>
            </w:r>
            <w:r>
              <w:t>s</w:t>
            </w:r>
            <w:r w:rsidRPr="00B23961">
              <w:t xml:space="preserve"> content is high and a high </w:t>
            </w:r>
            <w:r>
              <w:t xml:space="preserve">(good) </w:t>
            </w:r>
            <w:r w:rsidRPr="00B23961">
              <w:t>HSR is displayed alon</w:t>
            </w:r>
            <w:r w:rsidR="00727948">
              <w:t>gside it.</w:t>
            </w:r>
          </w:p>
        </w:tc>
        <w:tc>
          <w:tcPr>
            <w:tcW w:w="3260" w:type="dxa"/>
            <w:vMerge w:val="restart"/>
            <w:shd w:val="clear" w:color="auto" w:fill="92D050"/>
          </w:tcPr>
          <w:p w14:paraId="77E27E20" w14:textId="73167FC6" w:rsidR="00606F64" w:rsidRDefault="009A08B9" w:rsidP="00C84941">
            <w:pPr>
              <w:pStyle w:val="Tabletext"/>
            </w:pPr>
            <w:r w:rsidRPr="00B23961">
              <w:t xml:space="preserve">If the </w:t>
            </w:r>
            <w:r>
              <w:t xml:space="preserve">pictorial </w:t>
            </w:r>
            <w:r w:rsidRPr="00B23961">
              <w:t xml:space="preserve">approach for </w:t>
            </w:r>
            <w:r>
              <w:t xml:space="preserve">Option </w:t>
            </w:r>
            <w:r w:rsidR="00606F64">
              <w:t>6</w:t>
            </w:r>
            <w:r w:rsidR="00606F64" w:rsidRPr="00B23961">
              <w:t xml:space="preserve"> </w:t>
            </w:r>
            <w:r w:rsidRPr="00B23961">
              <w:t>related to or included added sugars, then it could provide new label information. Few food manufacturers quantify added sugar in a food product, and even f</w:t>
            </w:r>
            <w:r w:rsidR="00727948">
              <w:t>ewer do so in a pictorial form.</w:t>
            </w:r>
          </w:p>
          <w:p w14:paraId="2D22CA20" w14:textId="4EAA5743" w:rsidR="009A08B9" w:rsidRPr="00B23961" w:rsidRDefault="009A08B9" w:rsidP="00C84941">
            <w:pPr>
              <w:pStyle w:val="Tabletext"/>
            </w:pPr>
            <w:r w:rsidRPr="00B23961">
              <w:t xml:space="preserve">If </w:t>
            </w:r>
            <w:r>
              <w:t>Option 6</w:t>
            </w:r>
            <w:r w:rsidRPr="00B23961">
              <w:t xml:space="preserve"> instead illustrated total sugar</w:t>
            </w:r>
            <w:r>
              <w:t>s</w:t>
            </w:r>
            <w:r w:rsidRPr="00B23961">
              <w:t>, this would not offer new information.</w:t>
            </w:r>
          </w:p>
        </w:tc>
      </w:tr>
      <w:tr w:rsidR="009A08B9" w14:paraId="26C085A0" w14:textId="77777777" w:rsidTr="006C1D19">
        <w:trPr>
          <w:trHeight w:val="1146"/>
        </w:trPr>
        <w:tc>
          <w:tcPr>
            <w:tcW w:w="1276" w:type="dxa"/>
            <w:vMerge/>
          </w:tcPr>
          <w:p w14:paraId="625BCA37" w14:textId="77777777" w:rsidR="009A08B9" w:rsidRPr="00B23961" w:rsidRDefault="009A08B9" w:rsidP="00C84941">
            <w:pPr>
              <w:pStyle w:val="Tabletext"/>
            </w:pPr>
          </w:p>
        </w:tc>
        <w:tc>
          <w:tcPr>
            <w:tcW w:w="3261" w:type="dxa"/>
            <w:tcBorders>
              <w:top w:val="nil"/>
            </w:tcBorders>
            <w:shd w:val="clear" w:color="auto" w:fill="FFC000"/>
          </w:tcPr>
          <w:p w14:paraId="766980DC" w14:textId="7B7DBDE1" w:rsidR="009A08B9" w:rsidRPr="003C0EE4" w:rsidRDefault="0014798F" w:rsidP="00C84941">
            <w:pPr>
              <w:pStyle w:val="Tabletext"/>
            </w:pPr>
            <w:r>
              <w:t>P</w:t>
            </w:r>
            <w:r w:rsidR="009A08B9" w:rsidRPr="003C0EE4">
              <w:t>laces significant emphasis on sugar</w:t>
            </w:r>
            <w:r>
              <w:t>s which does not s</w:t>
            </w:r>
            <w:r w:rsidR="00727948">
              <w:t>upport a hole-of-diet approach.</w:t>
            </w:r>
          </w:p>
          <w:p w14:paraId="488172CE" w14:textId="22ED8286" w:rsidR="009A08B9" w:rsidRPr="003C0EE4" w:rsidRDefault="009A08B9" w:rsidP="00C84941">
            <w:pPr>
              <w:pStyle w:val="Tabletext"/>
            </w:pPr>
            <w:r>
              <w:t>Option 6</w:t>
            </w:r>
            <w:r w:rsidRPr="003C0EE4">
              <w:t xml:space="preserve"> has the potential to result in the removal of more holistic information from the food label,</w:t>
            </w:r>
            <w:r w:rsidR="00727948">
              <w:t xml:space="preserve"> such as the HSR.</w:t>
            </w:r>
          </w:p>
        </w:tc>
        <w:tc>
          <w:tcPr>
            <w:tcW w:w="3118" w:type="dxa"/>
            <w:vMerge/>
            <w:shd w:val="clear" w:color="auto" w:fill="FFC000"/>
          </w:tcPr>
          <w:p w14:paraId="291E1E7B" w14:textId="77777777" w:rsidR="009A08B9" w:rsidRPr="00B23961" w:rsidRDefault="009A08B9" w:rsidP="00C84941">
            <w:pPr>
              <w:pStyle w:val="Tabletext"/>
              <w:rPr>
                <w:sz w:val="20"/>
                <w:szCs w:val="20"/>
              </w:rPr>
            </w:pPr>
          </w:p>
        </w:tc>
        <w:tc>
          <w:tcPr>
            <w:tcW w:w="3402" w:type="dxa"/>
            <w:vMerge/>
            <w:shd w:val="clear" w:color="auto" w:fill="92D050"/>
          </w:tcPr>
          <w:p w14:paraId="03841FC4" w14:textId="77777777" w:rsidR="009A08B9" w:rsidRPr="00B23961" w:rsidRDefault="009A08B9" w:rsidP="00C84941">
            <w:pPr>
              <w:pStyle w:val="Tabletext"/>
              <w:rPr>
                <w:sz w:val="20"/>
                <w:szCs w:val="20"/>
              </w:rPr>
            </w:pPr>
          </w:p>
        </w:tc>
        <w:tc>
          <w:tcPr>
            <w:tcW w:w="3260" w:type="dxa"/>
            <w:vMerge/>
            <w:shd w:val="clear" w:color="auto" w:fill="92D050"/>
          </w:tcPr>
          <w:p w14:paraId="7EC355D3" w14:textId="77777777" w:rsidR="009A08B9" w:rsidRPr="00B23961" w:rsidRDefault="009A08B9" w:rsidP="00C84941">
            <w:pPr>
              <w:pStyle w:val="Tabletext"/>
              <w:rPr>
                <w:sz w:val="20"/>
                <w:szCs w:val="20"/>
              </w:rPr>
            </w:pPr>
          </w:p>
        </w:tc>
      </w:tr>
      <w:tr w:rsidR="009A08B9" w14:paraId="11424C53" w14:textId="77777777" w:rsidTr="0054504F">
        <w:tc>
          <w:tcPr>
            <w:tcW w:w="1276" w:type="dxa"/>
          </w:tcPr>
          <w:p w14:paraId="42D31C46" w14:textId="77777777" w:rsidR="009A08B9" w:rsidRPr="00396B69" w:rsidRDefault="009A08B9" w:rsidP="00C84941">
            <w:pPr>
              <w:pStyle w:val="Tabletext"/>
              <w:rPr>
                <w:b/>
              </w:rPr>
            </w:pPr>
            <w:r w:rsidRPr="00396B69">
              <w:rPr>
                <w:b/>
              </w:rPr>
              <w:t>Option 7: Digital linking to off label web-based information about added sugars content</w:t>
            </w:r>
          </w:p>
        </w:tc>
        <w:tc>
          <w:tcPr>
            <w:tcW w:w="3261" w:type="dxa"/>
            <w:shd w:val="clear" w:color="auto" w:fill="FFC000"/>
          </w:tcPr>
          <w:p w14:paraId="37F07868" w14:textId="0A3E254A" w:rsidR="009A08B9" w:rsidRPr="00C84941" w:rsidRDefault="0014798F" w:rsidP="00C84941">
            <w:pPr>
              <w:pStyle w:val="Tabletext"/>
            </w:pPr>
            <w:r w:rsidRPr="00C84941">
              <w:t>P</w:t>
            </w:r>
            <w:r w:rsidR="009A08B9" w:rsidRPr="00C84941">
              <w:t xml:space="preserve">otential to be consistent with advice from the dietary guidelines, however </w:t>
            </w:r>
            <w:r w:rsidRPr="00C84941">
              <w:t>this is dependent on</w:t>
            </w:r>
            <w:r w:rsidR="00727948" w:rsidRPr="00C84941">
              <w:t xml:space="preserve"> implementation details.</w:t>
            </w:r>
          </w:p>
          <w:p w14:paraId="262E94E8" w14:textId="0E4B9627" w:rsidR="009A08B9" w:rsidRPr="00C84941" w:rsidRDefault="009A08B9" w:rsidP="00C84941">
            <w:pPr>
              <w:pStyle w:val="Tabletext"/>
            </w:pPr>
            <w:r w:rsidRPr="00C84941">
              <w:t>The website information has the potential to provide holistic whole of diet information. However, the digital link (</w:t>
            </w:r>
            <w:proofErr w:type="gramStart"/>
            <w:r w:rsidRPr="00C84941">
              <w:t>e.g.</w:t>
            </w:r>
            <w:proofErr w:type="gramEnd"/>
            <w:r w:rsidRPr="00C84941">
              <w:t xml:space="preserve"> website or QR code) may occupy some of the limited space on a food label and necessitate removal of other more holistic food labelling information</w:t>
            </w:r>
            <w:r w:rsidR="00727948" w:rsidRPr="00C84941">
              <w:t>.</w:t>
            </w:r>
          </w:p>
        </w:tc>
        <w:tc>
          <w:tcPr>
            <w:tcW w:w="3118" w:type="dxa"/>
            <w:shd w:val="clear" w:color="auto" w:fill="FFC000"/>
          </w:tcPr>
          <w:p w14:paraId="6413468B" w14:textId="77777777" w:rsidR="009A08B9" w:rsidRPr="00C84941" w:rsidRDefault="009A08B9" w:rsidP="00C84941">
            <w:pPr>
              <w:pStyle w:val="Tabletext"/>
            </w:pPr>
            <w:r w:rsidRPr="00C84941">
              <w:t>There is potential for Option 7 to provide considerable contextual information given a website landing page does not have the same limited space restrictions as a food label.</w:t>
            </w:r>
          </w:p>
          <w:p w14:paraId="52864086" w14:textId="35F2D787" w:rsidR="009A08B9" w:rsidRPr="00C84941" w:rsidRDefault="009A08B9" w:rsidP="00C84941">
            <w:pPr>
              <w:pStyle w:val="Tabletext"/>
            </w:pPr>
            <w:r w:rsidRPr="00C84941">
              <w:t xml:space="preserve">It may be challenging for consumers to easily compare the sugars content of different food products if they need to </w:t>
            </w:r>
            <w:r w:rsidR="0014798F" w:rsidRPr="00C84941">
              <w:t>visit multiple websites.</w:t>
            </w:r>
          </w:p>
        </w:tc>
        <w:tc>
          <w:tcPr>
            <w:tcW w:w="3402" w:type="dxa"/>
            <w:shd w:val="clear" w:color="auto" w:fill="FF7C80"/>
          </w:tcPr>
          <w:p w14:paraId="54CC4B37" w14:textId="417EEC79" w:rsidR="009A08B9" w:rsidRPr="003C0EE4" w:rsidRDefault="009A08B9" w:rsidP="00C84941">
            <w:pPr>
              <w:pStyle w:val="Tabletext"/>
            </w:pPr>
            <w:r>
              <w:t>Option 7 relies on consumers having compatible smart phones, internet access and technological literacy and therefore may not be widely understood and accessible to all consumers and at the point of sale.</w:t>
            </w:r>
          </w:p>
        </w:tc>
        <w:tc>
          <w:tcPr>
            <w:tcW w:w="3260" w:type="dxa"/>
            <w:shd w:val="clear" w:color="auto" w:fill="FFC000"/>
          </w:tcPr>
          <w:p w14:paraId="2AC63740" w14:textId="36C65C29" w:rsidR="009A08B9" w:rsidRPr="003C0EE4" w:rsidRDefault="009A08B9" w:rsidP="00C84941">
            <w:pPr>
              <w:pStyle w:val="Tabletext"/>
            </w:pPr>
            <w:r>
              <w:t>Provided consumers have the skills and motivation to access the digital information, Option 7 has</w:t>
            </w:r>
            <w:r w:rsidRPr="003C0EE4">
              <w:t xml:space="preserve"> potential to present new information </w:t>
            </w:r>
            <w:r>
              <w:t>about sugars</w:t>
            </w:r>
            <w:r w:rsidR="00727948">
              <w:t>.</w:t>
            </w:r>
          </w:p>
        </w:tc>
      </w:tr>
    </w:tbl>
    <w:p w14:paraId="0DB80B6F" w14:textId="477F8F98" w:rsidR="009A08B9" w:rsidRPr="00BC587F" w:rsidRDefault="009A08B9" w:rsidP="00BC587F">
      <w:pPr>
        <w:sectPr w:rsidR="009A08B9" w:rsidRPr="00BC587F" w:rsidSect="00AB7D96">
          <w:pgSz w:w="16838" w:h="11906" w:orient="landscape" w:code="9"/>
          <w:pgMar w:top="1418" w:right="1418" w:bottom="1418" w:left="1418" w:header="709" w:footer="709" w:gutter="0"/>
          <w:cols w:space="708"/>
          <w:docGrid w:linePitch="360"/>
        </w:sectPr>
      </w:pPr>
    </w:p>
    <w:p w14:paraId="22C1B673" w14:textId="35E847AF" w:rsidR="0099521C" w:rsidRPr="00B44104" w:rsidRDefault="00EB309A" w:rsidP="00314A5D">
      <w:pPr>
        <w:pStyle w:val="Heading2"/>
      </w:pPr>
      <w:bookmarkStart w:id="34" w:name="_Toc2252866"/>
      <w:bookmarkStart w:id="35" w:name="_Toc3905539"/>
      <w:bookmarkStart w:id="36" w:name="_Toc6323587"/>
      <w:r w:rsidRPr="00B44104">
        <w:t>Benefit and i</w:t>
      </w:r>
      <w:r w:rsidR="00EA1888" w:rsidRPr="00B44104">
        <w:t>mpact analysis</w:t>
      </w:r>
      <w:bookmarkEnd w:id="34"/>
      <w:bookmarkEnd w:id="35"/>
      <w:bookmarkEnd w:id="36"/>
    </w:p>
    <w:p w14:paraId="089EE2DD" w14:textId="74D252E7" w:rsidR="00EA1888" w:rsidRPr="00BC587F" w:rsidRDefault="00EA1888" w:rsidP="00BC587F">
      <w:r w:rsidRPr="00BC587F">
        <w:t xml:space="preserve">A </w:t>
      </w:r>
      <w:proofErr w:type="gramStart"/>
      <w:r w:rsidRPr="00BC587F">
        <w:t>high level</w:t>
      </w:r>
      <w:proofErr w:type="gramEnd"/>
      <w:r w:rsidRPr="00BC587F">
        <w:t xml:space="preserve"> qualitative analysis of the </w:t>
      </w:r>
      <w:r w:rsidR="00EB309A" w:rsidRPr="00BC587F">
        <w:t xml:space="preserve">benefits and </w:t>
      </w:r>
      <w:r w:rsidR="009320D8" w:rsidRPr="00BC587F">
        <w:t>impacts</w:t>
      </w:r>
      <w:r w:rsidRPr="00BC587F">
        <w:t xml:space="preserve"> of the feasible options (Opti</w:t>
      </w:r>
      <w:r w:rsidR="00C20105" w:rsidRPr="00BC587F">
        <w:t>ons 3, 4, and 6) was undertaken</w:t>
      </w:r>
      <w:r w:rsidRPr="00BC587F">
        <w:t xml:space="preserve">. Feedback provided through the consultation process </w:t>
      </w:r>
      <w:r w:rsidR="008950DD" w:rsidRPr="00BC587F">
        <w:t xml:space="preserve">informed the </w:t>
      </w:r>
      <w:r w:rsidR="00EB309A" w:rsidRPr="00BC587F">
        <w:t xml:space="preserve">benefit and </w:t>
      </w:r>
      <w:r w:rsidR="004C37C0">
        <w:t xml:space="preserve">impact analysis. </w:t>
      </w:r>
      <w:r w:rsidR="004C37C0">
        <w:fldChar w:fldCharType="begin"/>
      </w:r>
      <w:r w:rsidR="004C37C0">
        <w:instrText xml:space="preserve"> REF _Ref6319690 \h </w:instrText>
      </w:r>
      <w:r w:rsidR="004C37C0">
        <w:fldChar w:fldCharType="separate"/>
      </w:r>
      <w:r w:rsidR="004C37C0">
        <w:t xml:space="preserve">Table </w:t>
      </w:r>
      <w:r w:rsidR="004C37C0">
        <w:rPr>
          <w:noProof/>
        </w:rPr>
        <w:t>5</w:t>
      </w:r>
      <w:r w:rsidR="004C37C0">
        <w:fldChar w:fldCharType="end"/>
      </w:r>
      <w:r w:rsidR="008950DD" w:rsidRPr="00BC587F">
        <w:t xml:space="preserve"> below summarises the </w:t>
      </w:r>
      <w:r w:rsidR="009320D8" w:rsidRPr="00BC587F">
        <w:t>impacts</w:t>
      </w:r>
      <w:r w:rsidR="00366406" w:rsidRPr="00BC587F">
        <w:t xml:space="preserve"> of the feasible options.</w:t>
      </w:r>
    </w:p>
    <w:p w14:paraId="05320441" w14:textId="71CD8565" w:rsidR="00C20105" w:rsidRDefault="004C37C0" w:rsidP="004C37C0">
      <w:pPr>
        <w:pStyle w:val="Caption"/>
      </w:pPr>
      <w:bookmarkStart w:id="37" w:name="_Ref6319690"/>
      <w:r>
        <w:t xml:space="preserve">Table </w:t>
      </w:r>
      <w:fldSimple w:instr=" SEQ Table \* ARABIC ">
        <w:r>
          <w:rPr>
            <w:noProof/>
          </w:rPr>
          <w:t>5</w:t>
        </w:r>
      </w:fldSimple>
      <w:bookmarkEnd w:id="37"/>
      <w:r>
        <w:t xml:space="preserve">. </w:t>
      </w:r>
      <w:r w:rsidR="009320D8">
        <w:t>Impacts of the</w:t>
      </w:r>
      <w:r w:rsidR="00C20105">
        <w:t xml:space="preserve"> feasible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0.5 is a summary of the benefits and impacts on the different stakeholder groups and areas of each of the feasible options. These groups include the food industry, the public health sector, healthy food choices and consumers. "/>
      </w:tblPr>
      <w:tblGrid>
        <w:gridCol w:w="4471"/>
        <w:gridCol w:w="3174"/>
        <w:gridCol w:w="3173"/>
        <w:gridCol w:w="3174"/>
      </w:tblGrid>
      <w:tr w:rsidR="00C20105" w:rsidRPr="005015B8" w14:paraId="2DB4724C" w14:textId="77777777" w:rsidTr="00AB590F">
        <w:tc>
          <w:tcPr>
            <w:tcW w:w="4524" w:type="dxa"/>
            <w:shd w:val="clear" w:color="auto" w:fill="D9D9D9" w:themeFill="background1" w:themeFillShade="D9"/>
          </w:tcPr>
          <w:p w14:paraId="6AD9D4D4" w14:textId="0DE56B68" w:rsidR="00C20105" w:rsidRPr="004F13AA" w:rsidRDefault="00C20105" w:rsidP="00C84941">
            <w:pPr>
              <w:pStyle w:val="Tableheader"/>
            </w:pPr>
            <w:r w:rsidRPr="004F13AA">
              <w:t>Benefit</w:t>
            </w:r>
            <w:r w:rsidR="009320D8" w:rsidRPr="004F13AA">
              <w:t>s</w:t>
            </w:r>
          </w:p>
        </w:tc>
        <w:tc>
          <w:tcPr>
            <w:tcW w:w="3195" w:type="dxa"/>
            <w:shd w:val="clear" w:color="auto" w:fill="D9D9D9" w:themeFill="background1" w:themeFillShade="D9"/>
          </w:tcPr>
          <w:p w14:paraId="41C6B117" w14:textId="1C2EA57E" w:rsidR="00C20105" w:rsidRPr="004F13AA" w:rsidRDefault="00C20105" w:rsidP="00C84941">
            <w:pPr>
              <w:pStyle w:val="Tableheader"/>
            </w:pPr>
            <w:r w:rsidRPr="004F13AA">
              <w:t xml:space="preserve">Option 3 </w:t>
            </w:r>
            <w:r w:rsidR="00CA717B" w:rsidRPr="004F13AA">
              <w:t xml:space="preserve">– Change to statement </w:t>
            </w:r>
            <w:r w:rsidRPr="004F13AA">
              <w:t>of ingredients</w:t>
            </w:r>
          </w:p>
        </w:tc>
        <w:tc>
          <w:tcPr>
            <w:tcW w:w="3195" w:type="dxa"/>
            <w:shd w:val="clear" w:color="auto" w:fill="D9D9D9" w:themeFill="background1" w:themeFillShade="D9"/>
          </w:tcPr>
          <w:p w14:paraId="7E84A4BB" w14:textId="77777777" w:rsidR="00C20105" w:rsidRPr="004F13AA" w:rsidRDefault="00C20105" w:rsidP="00C84941">
            <w:pPr>
              <w:pStyle w:val="Tableheader"/>
            </w:pPr>
            <w:r w:rsidRPr="004F13AA">
              <w:t>Option 4 – Added sugars quantified in the NIP</w:t>
            </w:r>
          </w:p>
        </w:tc>
        <w:tc>
          <w:tcPr>
            <w:tcW w:w="3196" w:type="dxa"/>
            <w:shd w:val="clear" w:color="auto" w:fill="D9D9D9" w:themeFill="background1" w:themeFillShade="D9"/>
          </w:tcPr>
          <w:p w14:paraId="41B090EC" w14:textId="77777777" w:rsidR="00C20105" w:rsidRPr="004F13AA" w:rsidRDefault="00C20105" w:rsidP="00C84941">
            <w:pPr>
              <w:pStyle w:val="Tableheader"/>
            </w:pPr>
            <w:r w:rsidRPr="004F13AA">
              <w:t xml:space="preserve">Option 6 – Pictorial approaches to convey the </w:t>
            </w:r>
            <w:proofErr w:type="gramStart"/>
            <w:r w:rsidRPr="004F13AA">
              <w:t>amount</w:t>
            </w:r>
            <w:proofErr w:type="gramEnd"/>
            <w:r w:rsidRPr="004F13AA">
              <w:t xml:space="preserve"> of sugars in a serving of food</w:t>
            </w:r>
          </w:p>
        </w:tc>
      </w:tr>
      <w:tr w:rsidR="00C20105" w:rsidRPr="00C20105" w14:paraId="1F92B898" w14:textId="77777777" w:rsidTr="00AB590F">
        <w:tc>
          <w:tcPr>
            <w:tcW w:w="4524" w:type="dxa"/>
          </w:tcPr>
          <w:p w14:paraId="7E9188CD" w14:textId="77777777" w:rsidR="00C20105" w:rsidRPr="005015B8" w:rsidRDefault="00C20105" w:rsidP="00C84941">
            <w:pPr>
              <w:rPr>
                <w:rStyle w:val="Strong"/>
              </w:rPr>
            </w:pPr>
            <w:r w:rsidRPr="005015B8">
              <w:rPr>
                <w:rStyle w:val="Strong"/>
              </w:rPr>
              <w:t>Information for consumers</w:t>
            </w:r>
          </w:p>
          <w:p w14:paraId="3E1EBFF6" w14:textId="56447A3B" w:rsidR="00C20105" w:rsidRPr="00A56F43" w:rsidRDefault="00C20105" w:rsidP="00C84941">
            <w:pPr>
              <w:pStyle w:val="Tabletext"/>
            </w:pPr>
            <w:r w:rsidRPr="00A56F43">
              <w:t>Benefit to consumers in Australia and New Zealand by providing additional contextual information in relation to sugars to better enable them to make informed choices in sup</w:t>
            </w:r>
            <w:r w:rsidR="00272DDD" w:rsidRPr="00A56F43">
              <w:t>port of the dietary guidelines.</w:t>
            </w:r>
          </w:p>
        </w:tc>
        <w:tc>
          <w:tcPr>
            <w:tcW w:w="3195" w:type="dxa"/>
          </w:tcPr>
          <w:p w14:paraId="3CB715C9" w14:textId="77777777" w:rsidR="00C20105" w:rsidRPr="009C594C" w:rsidRDefault="00C20105" w:rsidP="00DD3D9C">
            <w:pPr>
              <w:pStyle w:val="Tabletext"/>
              <w:numPr>
                <w:ilvl w:val="0"/>
                <w:numId w:val="13"/>
              </w:numPr>
            </w:pPr>
            <w:r w:rsidRPr="009C594C">
              <w:t>Supports consumers’ ability to understand what added sugars are, identify added sugars in the statement of ingredients and assess the relative contribution of added sugars to a food compared to other ingredients.</w:t>
            </w:r>
          </w:p>
        </w:tc>
        <w:tc>
          <w:tcPr>
            <w:tcW w:w="3195" w:type="dxa"/>
          </w:tcPr>
          <w:p w14:paraId="5C41D9F0" w14:textId="11B0EF66" w:rsidR="00C20105" w:rsidRPr="00272DDD" w:rsidRDefault="00C20105" w:rsidP="00DD3D9C">
            <w:pPr>
              <w:pStyle w:val="Tabletext"/>
              <w:numPr>
                <w:ilvl w:val="0"/>
                <w:numId w:val="13"/>
              </w:numPr>
            </w:pPr>
            <w:r w:rsidRPr="009C594C">
              <w:t xml:space="preserve">Supports consumers to assess the </w:t>
            </w:r>
            <w:proofErr w:type="gramStart"/>
            <w:r w:rsidRPr="009C594C">
              <w:t>amount</w:t>
            </w:r>
            <w:proofErr w:type="gramEnd"/>
            <w:r w:rsidRPr="009C594C">
              <w:t xml:space="preserve"> of added sugars in the food and compare products.</w:t>
            </w:r>
          </w:p>
        </w:tc>
        <w:tc>
          <w:tcPr>
            <w:tcW w:w="3196" w:type="dxa"/>
          </w:tcPr>
          <w:p w14:paraId="2F6A6433" w14:textId="1B8B94F0" w:rsidR="00C20105" w:rsidRPr="009C594C" w:rsidRDefault="00C20105" w:rsidP="00DD3D9C">
            <w:pPr>
              <w:pStyle w:val="Tabletext"/>
              <w:numPr>
                <w:ilvl w:val="0"/>
                <w:numId w:val="13"/>
              </w:numPr>
            </w:pPr>
            <w:r w:rsidRPr="009C594C">
              <w:t xml:space="preserve">Supports consumers to quickly assess the </w:t>
            </w:r>
            <w:proofErr w:type="gramStart"/>
            <w:r w:rsidRPr="009C594C">
              <w:t>amount</w:t>
            </w:r>
            <w:proofErr w:type="gramEnd"/>
            <w:r w:rsidRPr="009C594C">
              <w:t xml:space="preserve"> of added sugars in products and compare similar products without having</w:t>
            </w:r>
            <w:r w:rsidR="00272DDD">
              <w:t xml:space="preserve"> to read and interpret the NIP.</w:t>
            </w:r>
          </w:p>
        </w:tc>
      </w:tr>
      <w:tr w:rsidR="00C20105" w:rsidRPr="00C20105" w14:paraId="72BC76F5" w14:textId="77777777" w:rsidTr="00AB590F">
        <w:tc>
          <w:tcPr>
            <w:tcW w:w="4524" w:type="dxa"/>
          </w:tcPr>
          <w:p w14:paraId="5AC05E4F" w14:textId="4FEF449A" w:rsidR="00C20105" w:rsidRPr="005015B8" w:rsidRDefault="00924AAB" w:rsidP="00C84941">
            <w:pPr>
              <w:rPr>
                <w:rStyle w:val="Strong"/>
              </w:rPr>
            </w:pPr>
            <w:r w:rsidRPr="005015B8">
              <w:rPr>
                <w:rStyle w:val="Strong"/>
              </w:rPr>
              <w:t>Food r</w:t>
            </w:r>
            <w:r w:rsidR="00C20105" w:rsidRPr="005015B8">
              <w:rPr>
                <w:rStyle w:val="Strong"/>
              </w:rPr>
              <w:t>eformulation</w:t>
            </w:r>
          </w:p>
          <w:p w14:paraId="20EED44B" w14:textId="57E8BAB6" w:rsidR="00C20105" w:rsidRPr="00A56F43" w:rsidRDefault="00C20105" w:rsidP="00C84941">
            <w:pPr>
              <w:pStyle w:val="Tabletext"/>
            </w:pPr>
            <w:r w:rsidRPr="00A56F43">
              <w:t>Encouraging reformulation of products to reduce the sugars content.</w:t>
            </w:r>
            <w:r w:rsidR="00A91DBB" w:rsidRPr="00A56F43">
              <w:t xml:space="preserve"> Changes to the food supply can benefit the whole population rather than those with the education and skills to read a food label.</w:t>
            </w:r>
          </w:p>
        </w:tc>
        <w:tc>
          <w:tcPr>
            <w:tcW w:w="3195" w:type="dxa"/>
          </w:tcPr>
          <w:p w14:paraId="5C747881" w14:textId="19FE7955" w:rsidR="00C20105" w:rsidRPr="00637409" w:rsidRDefault="00637409" w:rsidP="00AA37B6">
            <w:pPr>
              <w:pStyle w:val="Tabletext"/>
              <w:numPr>
                <w:ilvl w:val="0"/>
                <w:numId w:val="13"/>
              </w:numPr>
            </w:pPr>
            <w:r w:rsidRPr="00920450">
              <w:t>If bracketed list, potential for manufacturers to reduce total amount of sugars so that sugars ‘move down’ in the statement of ingredients. If sugars are identified through asterisks or emboldening, there is potential for manufacturers to reduce the number of types of sugars rather than total sugars content.</w:t>
            </w:r>
          </w:p>
        </w:tc>
        <w:tc>
          <w:tcPr>
            <w:tcW w:w="3195" w:type="dxa"/>
          </w:tcPr>
          <w:p w14:paraId="5B09BE4A" w14:textId="142DD066" w:rsidR="00C20105" w:rsidRPr="00272DDD" w:rsidRDefault="00C20105" w:rsidP="00DD3D9C">
            <w:pPr>
              <w:pStyle w:val="Tabletext"/>
              <w:numPr>
                <w:ilvl w:val="0"/>
                <w:numId w:val="13"/>
              </w:numPr>
            </w:pPr>
            <w:r w:rsidRPr="009C594C">
              <w:t>Strong potential for reformulation of products to reduce the sugars content.</w:t>
            </w:r>
          </w:p>
        </w:tc>
        <w:tc>
          <w:tcPr>
            <w:tcW w:w="3196" w:type="dxa"/>
          </w:tcPr>
          <w:p w14:paraId="1FD613A5" w14:textId="77777777" w:rsidR="00C20105" w:rsidRPr="009C594C" w:rsidRDefault="00C20105" w:rsidP="00DD3D9C">
            <w:pPr>
              <w:pStyle w:val="Tabletext"/>
              <w:numPr>
                <w:ilvl w:val="0"/>
                <w:numId w:val="13"/>
              </w:numPr>
            </w:pPr>
            <w:r w:rsidRPr="009C594C">
              <w:t>Strong potential for reformulation of products to reduce the sugars content.</w:t>
            </w:r>
          </w:p>
        </w:tc>
      </w:tr>
      <w:tr w:rsidR="00C20105" w:rsidRPr="00C20105" w14:paraId="655C24C4" w14:textId="77777777" w:rsidTr="00AB590F">
        <w:trPr>
          <w:trHeight w:val="2678"/>
        </w:trPr>
        <w:tc>
          <w:tcPr>
            <w:tcW w:w="4524" w:type="dxa"/>
          </w:tcPr>
          <w:p w14:paraId="432C82ED" w14:textId="77777777" w:rsidR="00C20105" w:rsidRPr="005015B8" w:rsidRDefault="00C20105" w:rsidP="00C84941">
            <w:pPr>
              <w:rPr>
                <w:rStyle w:val="Strong"/>
              </w:rPr>
            </w:pPr>
            <w:r w:rsidRPr="005015B8">
              <w:rPr>
                <w:rStyle w:val="Strong"/>
              </w:rPr>
              <w:t>Support for the public health sector</w:t>
            </w:r>
          </w:p>
          <w:p w14:paraId="1DA7838F" w14:textId="77777777" w:rsidR="00C20105" w:rsidRPr="00A56F43" w:rsidRDefault="00C20105" w:rsidP="00C84941">
            <w:r w:rsidRPr="00A56F43">
              <w:t>Includes supporting:</w:t>
            </w:r>
          </w:p>
          <w:p w14:paraId="131BCFB5" w14:textId="77777777" w:rsidR="00A15975" w:rsidRPr="00A15975" w:rsidRDefault="008950DD" w:rsidP="00DD3D9C">
            <w:pPr>
              <w:pStyle w:val="Tabletext"/>
              <w:numPr>
                <w:ilvl w:val="0"/>
                <w:numId w:val="13"/>
              </w:numPr>
              <w:rPr>
                <w:lang w:val="en-GB"/>
              </w:rPr>
            </w:pPr>
            <w:r w:rsidRPr="00A15975">
              <w:rPr>
                <w:lang w:val="en-GB"/>
              </w:rPr>
              <w:t>P</w:t>
            </w:r>
            <w:r w:rsidR="00C20105" w:rsidRPr="00A15975">
              <w:rPr>
                <w:lang w:val="en-GB"/>
              </w:rPr>
              <w:t>rograms</w:t>
            </w:r>
            <w:r w:rsidRPr="00A15975">
              <w:rPr>
                <w:lang w:val="en-GB"/>
              </w:rPr>
              <w:t>, policies</w:t>
            </w:r>
            <w:r w:rsidR="00C20105" w:rsidRPr="00A15975">
              <w:rPr>
                <w:lang w:val="en-GB"/>
              </w:rPr>
              <w:t xml:space="preserve"> and campaigns that aim to promote the di</w:t>
            </w:r>
            <w:r w:rsidR="00A91DBB" w:rsidRPr="00A15975">
              <w:rPr>
                <w:lang w:val="en-GB"/>
              </w:rPr>
              <w:t xml:space="preserve">etary guidelines to the </w:t>
            </w:r>
            <w:proofErr w:type="gramStart"/>
            <w:r w:rsidR="00A91DBB" w:rsidRPr="00A15975">
              <w:rPr>
                <w:lang w:val="en-GB"/>
              </w:rPr>
              <w:t>public;</w:t>
            </w:r>
            <w:proofErr w:type="gramEnd"/>
          </w:p>
          <w:p w14:paraId="52E17C22" w14:textId="6CB91306" w:rsidR="00C20105" w:rsidRPr="00A15975" w:rsidRDefault="00C20105" w:rsidP="00DD3D9C">
            <w:pPr>
              <w:pStyle w:val="Tabletext"/>
              <w:numPr>
                <w:ilvl w:val="0"/>
                <w:numId w:val="13"/>
              </w:numPr>
              <w:rPr>
                <w:lang w:val="en-GB"/>
              </w:rPr>
            </w:pPr>
            <w:r w:rsidRPr="00A15975">
              <w:rPr>
                <w:lang w:val="en-GB"/>
              </w:rPr>
              <w:t>clinicians educating their patients</w:t>
            </w:r>
            <w:r w:rsidR="00A91DBB" w:rsidRPr="00A15975">
              <w:rPr>
                <w:lang w:val="en-GB"/>
              </w:rPr>
              <w:t>;</w:t>
            </w:r>
            <w:r w:rsidR="009C594C" w:rsidRPr="00A15975">
              <w:rPr>
                <w:lang w:val="en-GB"/>
              </w:rPr>
              <w:t xml:space="preserve"> and</w:t>
            </w:r>
          </w:p>
          <w:p w14:paraId="2F641545" w14:textId="61D65C88" w:rsidR="00C20105" w:rsidRPr="00C20105" w:rsidRDefault="00C20105" w:rsidP="00DD3D9C">
            <w:pPr>
              <w:pStyle w:val="Tabletext"/>
              <w:numPr>
                <w:ilvl w:val="0"/>
                <w:numId w:val="13"/>
              </w:numPr>
            </w:pPr>
            <w:r w:rsidRPr="00A15975">
              <w:rPr>
                <w:lang w:val="en-GB"/>
              </w:rPr>
              <w:t>work to monitor trends in food composition and consumption in relation to added sugars.</w:t>
            </w:r>
          </w:p>
        </w:tc>
        <w:tc>
          <w:tcPr>
            <w:tcW w:w="3195" w:type="dxa"/>
          </w:tcPr>
          <w:p w14:paraId="2D90C7A4" w14:textId="583AB722" w:rsidR="00C20105" w:rsidRPr="00C20105" w:rsidRDefault="00A91DBB" w:rsidP="00DD3D9C">
            <w:pPr>
              <w:pStyle w:val="Tabletext"/>
              <w:numPr>
                <w:ilvl w:val="0"/>
                <w:numId w:val="13"/>
              </w:numPr>
            </w:pPr>
            <w:r w:rsidRPr="00920450">
              <w:t>S</w:t>
            </w:r>
            <w:r w:rsidR="00C20105" w:rsidRPr="00920450">
              <w:t>upport</w:t>
            </w:r>
            <w:r w:rsidR="00EB309A" w:rsidRPr="00920450">
              <w:t>s</w:t>
            </w:r>
            <w:r w:rsidR="005015B8" w:rsidRPr="00920450">
              <w:t xml:space="preserve"> clinicians.</w:t>
            </w:r>
          </w:p>
          <w:p w14:paraId="2647B4AC" w14:textId="5C2D499C" w:rsidR="00C20105" w:rsidRPr="00C20105" w:rsidRDefault="00A91DBB" w:rsidP="00DD3D9C">
            <w:pPr>
              <w:pStyle w:val="Tabletext"/>
              <w:numPr>
                <w:ilvl w:val="0"/>
                <w:numId w:val="13"/>
              </w:numPr>
            </w:pPr>
            <w:r w:rsidRPr="00920450">
              <w:t>S</w:t>
            </w:r>
            <w:r w:rsidR="00C20105" w:rsidRPr="00920450">
              <w:t>upport</w:t>
            </w:r>
            <w:r w:rsidR="00EB309A" w:rsidRPr="00920450">
              <w:t>s</w:t>
            </w:r>
            <w:r w:rsidR="00C20105" w:rsidRPr="00920450">
              <w:t xml:space="preserve"> programs and campaigns that aim to promote the dietary guidelines to the public.</w:t>
            </w:r>
          </w:p>
        </w:tc>
        <w:tc>
          <w:tcPr>
            <w:tcW w:w="3195" w:type="dxa"/>
          </w:tcPr>
          <w:p w14:paraId="78A352EE" w14:textId="77777777" w:rsidR="003B1F66" w:rsidRPr="003B1F66" w:rsidRDefault="00A91DBB" w:rsidP="00DD3D9C">
            <w:pPr>
              <w:pStyle w:val="Tabletext"/>
              <w:numPr>
                <w:ilvl w:val="0"/>
                <w:numId w:val="13"/>
              </w:numPr>
            </w:pPr>
            <w:r w:rsidRPr="00920450">
              <w:t>S</w:t>
            </w:r>
            <w:r w:rsidR="00C20105" w:rsidRPr="00920450">
              <w:t>upport</w:t>
            </w:r>
            <w:r w:rsidR="00EB309A" w:rsidRPr="00920450">
              <w:t>s</w:t>
            </w:r>
            <w:r w:rsidR="00C20105" w:rsidRPr="00920450">
              <w:t xml:space="preserve"> clinicians.</w:t>
            </w:r>
          </w:p>
          <w:p w14:paraId="0D4EE368" w14:textId="666BAD3D" w:rsidR="00A91DBB" w:rsidRPr="003B1F66" w:rsidRDefault="00A91DBB" w:rsidP="00DD3D9C">
            <w:pPr>
              <w:pStyle w:val="Tabletext"/>
              <w:numPr>
                <w:ilvl w:val="0"/>
                <w:numId w:val="13"/>
              </w:numPr>
            </w:pPr>
            <w:r w:rsidRPr="00920450">
              <w:t>S</w:t>
            </w:r>
            <w:r w:rsidR="00C20105" w:rsidRPr="00920450">
              <w:t>upport</w:t>
            </w:r>
            <w:r w:rsidR="00EB309A" w:rsidRPr="00920450">
              <w:t>s</w:t>
            </w:r>
            <w:r w:rsidR="00C20105" w:rsidRPr="00920450">
              <w:t xml:space="preserve"> programs and campaigns that aim to promote the di</w:t>
            </w:r>
            <w:r w:rsidR="00181998">
              <w:t>etary guidelines to the public.</w:t>
            </w:r>
          </w:p>
          <w:p w14:paraId="7C5FA959" w14:textId="2B9F7CD8" w:rsidR="00C20105" w:rsidRPr="00920450" w:rsidRDefault="00C20105" w:rsidP="00DD3D9C">
            <w:pPr>
              <w:pStyle w:val="Tabletext"/>
              <w:numPr>
                <w:ilvl w:val="0"/>
                <w:numId w:val="13"/>
              </w:numPr>
            </w:pPr>
            <w:r w:rsidRPr="00920450">
              <w:t>Enables added sugars to be inco</w:t>
            </w:r>
            <w:r w:rsidR="00A91DBB" w:rsidRPr="00920450">
              <w:t>rporated into the HSR algorithm</w:t>
            </w:r>
            <w:r w:rsidRPr="00920450">
              <w:t>.</w:t>
            </w:r>
          </w:p>
          <w:p w14:paraId="3B8ADAC1" w14:textId="367E9A11" w:rsidR="00C20105" w:rsidRPr="00CA717B" w:rsidRDefault="00A91DBB" w:rsidP="00DD3D9C">
            <w:pPr>
              <w:pStyle w:val="Tabletext"/>
              <w:numPr>
                <w:ilvl w:val="0"/>
                <w:numId w:val="13"/>
              </w:numPr>
            </w:pPr>
            <w:r w:rsidRPr="00920450">
              <w:t>P</w:t>
            </w:r>
            <w:r w:rsidR="00C20105" w:rsidRPr="00920450">
              <w:t>rovide</w:t>
            </w:r>
            <w:r w:rsidRPr="00920450">
              <w:t>s</w:t>
            </w:r>
            <w:r w:rsidR="00C20105" w:rsidRPr="00920450">
              <w:t xml:space="preserve"> data to monitor and evaluate.</w:t>
            </w:r>
          </w:p>
        </w:tc>
        <w:tc>
          <w:tcPr>
            <w:tcW w:w="3196" w:type="dxa"/>
          </w:tcPr>
          <w:p w14:paraId="58F6F28E" w14:textId="76F56A63" w:rsidR="00C20105" w:rsidRPr="00920450" w:rsidRDefault="00A91DBB" w:rsidP="00DD3D9C">
            <w:pPr>
              <w:pStyle w:val="Tabletext"/>
              <w:numPr>
                <w:ilvl w:val="0"/>
                <w:numId w:val="13"/>
              </w:numPr>
            </w:pPr>
            <w:r w:rsidRPr="00920450">
              <w:t>S</w:t>
            </w:r>
            <w:r w:rsidR="00C20105" w:rsidRPr="00920450">
              <w:t>upport</w:t>
            </w:r>
            <w:r w:rsidR="00EB309A" w:rsidRPr="00920450">
              <w:t>s</w:t>
            </w:r>
            <w:r w:rsidR="00C20105" w:rsidRPr="00920450">
              <w:t xml:space="preserve"> clinicians.</w:t>
            </w:r>
          </w:p>
          <w:p w14:paraId="440A9753" w14:textId="3DE58048" w:rsidR="00C20105" w:rsidRPr="00920450" w:rsidRDefault="00A91DBB" w:rsidP="00DD3D9C">
            <w:pPr>
              <w:pStyle w:val="Tabletext"/>
              <w:numPr>
                <w:ilvl w:val="0"/>
                <w:numId w:val="13"/>
              </w:numPr>
            </w:pPr>
            <w:r w:rsidRPr="00920450">
              <w:t>S</w:t>
            </w:r>
            <w:r w:rsidR="00C20105" w:rsidRPr="00920450">
              <w:t>upport</w:t>
            </w:r>
            <w:r w:rsidR="00EB309A" w:rsidRPr="00920450">
              <w:t>s</w:t>
            </w:r>
            <w:r w:rsidR="00C20105" w:rsidRPr="00920450">
              <w:t xml:space="preserve"> programs and campaigns that aim to promote the dietary guidelines to the public.</w:t>
            </w:r>
          </w:p>
        </w:tc>
      </w:tr>
      <w:tr w:rsidR="00C20105" w:rsidRPr="00C20105" w14:paraId="65BA9178" w14:textId="77777777" w:rsidTr="00AB590F">
        <w:trPr>
          <w:trHeight w:val="1681"/>
        </w:trPr>
        <w:tc>
          <w:tcPr>
            <w:tcW w:w="4524" w:type="dxa"/>
          </w:tcPr>
          <w:p w14:paraId="1AFB5656" w14:textId="77777777" w:rsidR="00C20105" w:rsidRPr="005015B8" w:rsidRDefault="00C20105" w:rsidP="00C84941">
            <w:pPr>
              <w:rPr>
                <w:rStyle w:val="Strong"/>
              </w:rPr>
            </w:pPr>
            <w:r w:rsidRPr="005015B8">
              <w:rPr>
                <w:rStyle w:val="Strong"/>
              </w:rPr>
              <w:t>Healthy food choices</w:t>
            </w:r>
          </w:p>
          <w:p w14:paraId="372BE0A2" w14:textId="7F66A503" w:rsidR="00C20105" w:rsidRPr="00A56F43" w:rsidRDefault="00C20105" w:rsidP="00C84941">
            <w:r w:rsidRPr="00A56F43">
              <w:t>Providing information to support consumers to make food choices in l</w:t>
            </w:r>
            <w:r w:rsidR="00A91DBB" w:rsidRPr="00A56F43">
              <w:t>ine with the dietary guidelines</w:t>
            </w:r>
            <w:r w:rsidRPr="00A56F43">
              <w:t xml:space="preserve"> may contribute to supporting consumers </w:t>
            </w:r>
            <w:r w:rsidR="00272DDD" w:rsidRPr="00A56F43">
              <w:t>to make healthier food choices.</w:t>
            </w:r>
          </w:p>
        </w:tc>
        <w:tc>
          <w:tcPr>
            <w:tcW w:w="3195" w:type="dxa"/>
          </w:tcPr>
          <w:p w14:paraId="295573F4" w14:textId="083EC701" w:rsidR="009C594C" w:rsidRPr="00920450" w:rsidRDefault="00C20105" w:rsidP="00DD3D9C">
            <w:pPr>
              <w:pStyle w:val="Tabletext"/>
              <w:numPr>
                <w:ilvl w:val="0"/>
                <w:numId w:val="13"/>
              </w:numPr>
            </w:pPr>
            <w:r w:rsidRPr="00920450">
              <w:t>May support consumers to make healthier choices</w:t>
            </w:r>
            <w:r w:rsidR="009C594C" w:rsidRPr="00920450">
              <w:t>.</w:t>
            </w:r>
          </w:p>
        </w:tc>
        <w:tc>
          <w:tcPr>
            <w:tcW w:w="3195" w:type="dxa"/>
          </w:tcPr>
          <w:p w14:paraId="4E4E2DF5" w14:textId="7BE2AFC2" w:rsidR="00C20105" w:rsidRPr="00920450" w:rsidRDefault="00C20105" w:rsidP="00DD3D9C">
            <w:pPr>
              <w:pStyle w:val="Tabletext"/>
              <w:numPr>
                <w:ilvl w:val="0"/>
                <w:numId w:val="13"/>
              </w:numPr>
            </w:pPr>
            <w:r w:rsidRPr="00920450">
              <w:t>May support cons</w:t>
            </w:r>
            <w:r w:rsidR="009C594C" w:rsidRPr="00920450">
              <w:t>umers to make healthier choices</w:t>
            </w:r>
            <w:r w:rsidRPr="00920450">
              <w:t>.</w:t>
            </w:r>
          </w:p>
        </w:tc>
        <w:tc>
          <w:tcPr>
            <w:tcW w:w="3196" w:type="dxa"/>
          </w:tcPr>
          <w:p w14:paraId="5222AD09" w14:textId="77777777" w:rsidR="001406BB" w:rsidRPr="00920450" w:rsidRDefault="00C20105" w:rsidP="00DD3D9C">
            <w:pPr>
              <w:pStyle w:val="Tabletext"/>
              <w:numPr>
                <w:ilvl w:val="0"/>
                <w:numId w:val="13"/>
              </w:numPr>
            </w:pPr>
            <w:r w:rsidRPr="00920450">
              <w:t>May support consumers to make healthier choices.</w:t>
            </w:r>
          </w:p>
          <w:p w14:paraId="1E98C497" w14:textId="0CD49346" w:rsidR="00C20105" w:rsidRPr="00920450" w:rsidRDefault="00C20105" w:rsidP="00DD3D9C">
            <w:pPr>
              <w:pStyle w:val="Tabletext"/>
              <w:numPr>
                <w:ilvl w:val="0"/>
                <w:numId w:val="13"/>
              </w:numPr>
            </w:pPr>
            <w:r w:rsidRPr="00920450">
              <w:t>Accessible to all consumers due to the simplicity and visual nature of this option.</w:t>
            </w:r>
          </w:p>
        </w:tc>
      </w:tr>
      <w:tr w:rsidR="00C20105" w:rsidRPr="00C20105" w14:paraId="46AC7A5B" w14:textId="77777777" w:rsidTr="00AB590F">
        <w:tc>
          <w:tcPr>
            <w:tcW w:w="4524" w:type="dxa"/>
            <w:shd w:val="clear" w:color="auto" w:fill="D9D9D9" w:themeFill="background1" w:themeFillShade="D9"/>
          </w:tcPr>
          <w:p w14:paraId="416BA6C6" w14:textId="2268D4A0" w:rsidR="00C20105" w:rsidRPr="00381011" w:rsidRDefault="009320D8" w:rsidP="00C84941">
            <w:pPr>
              <w:rPr>
                <w:rStyle w:val="Strong"/>
              </w:rPr>
            </w:pPr>
            <w:r w:rsidRPr="00381011">
              <w:rPr>
                <w:rStyle w:val="Strong"/>
              </w:rPr>
              <w:t>Impacts</w:t>
            </w:r>
          </w:p>
        </w:tc>
        <w:tc>
          <w:tcPr>
            <w:tcW w:w="3195" w:type="dxa"/>
            <w:shd w:val="clear" w:color="auto" w:fill="D9D9D9" w:themeFill="background1" w:themeFillShade="D9"/>
          </w:tcPr>
          <w:p w14:paraId="59E9CF46" w14:textId="77777777" w:rsidR="00C20105" w:rsidRPr="0070624D" w:rsidRDefault="00C20105" w:rsidP="00C84941">
            <w:r w:rsidRPr="0070624D">
              <w:rPr>
                <w:rStyle w:val="Strong"/>
              </w:rPr>
              <w:t>Option 3</w:t>
            </w:r>
            <w:r w:rsidRPr="0070624D">
              <w:t xml:space="preserve"> – Change to statement of ingredients</w:t>
            </w:r>
          </w:p>
        </w:tc>
        <w:tc>
          <w:tcPr>
            <w:tcW w:w="3195" w:type="dxa"/>
            <w:shd w:val="clear" w:color="auto" w:fill="D9D9D9" w:themeFill="background1" w:themeFillShade="D9"/>
          </w:tcPr>
          <w:p w14:paraId="79C185FF" w14:textId="77777777" w:rsidR="00C20105" w:rsidRPr="0070624D" w:rsidRDefault="00C20105" w:rsidP="00C84941">
            <w:r w:rsidRPr="0070624D">
              <w:rPr>
                <w:rStyle w:val="Strong"/>
              </w:rPr>
              <w:t>Option 4</w:t>
            </w:r>
            <w:r w:rsidRPr="0070624D">
              <w:t xml:space="preserve"> – Added sugars quantified in the NIP</w:t>
            </w:r>
          </w:p>
        </w:tc>
        <w:tc>
          <w:tcPr>
            <w:tcW w:w="3196" w:type="dxa"/>
            <w:shd w:val="clear" w:color="auto" w:fill="D9D9D9" w:themeFill="background1" w:themeFillShade="D9"/>
          </w:tcPr>
          <w:p w14:paraId="103E721D" w14:textId="77777777" w:rsidR="00C20105" w:rsidRPr="0070624D" w:rsidRDefault="00C20105" w:rsidP="00C84941">
            <w:r w:rsidRPr="0070624D">
              <w:rPr>
                <w:rStyle w:val="Strong"/>
              </w:rPr>
              <w:t>Option 6</w:t>
            </w:r>
            <w:r w:rsidRPr="0070624D">
              <w:t xml:space="preserve"> – Pictorial approaches to convey the </w:t>
            </w:r>
            <w:proofErr w:type="gramStart"/>
            <w:r w:rsidRPr="0070624D">
              <w:t>amount</w:t>
            </w:r>
            <w:proofErr w:type="gramEnd"/>
            <w:r w:rsidRPr="0070624D">
              <w:t xml:space="preserve"> of sugars in a serving of food</w:t>
            </w:r>
          </w:p>
        </w:tc>
      </w:tr>
      <w:tr w:rsidR="00C20105" w:rsidRPr="00C20105" w14:paraId="6D5B098C" w14:textId="77777777" w:rsidTr="00AB590F">
        <w:tc>
          <w:tcPr>
            <w:tcW w:w="4524" w:type="dxa"/>
          </w:tcPr>
          <w:p w14:paraId="61DEDB42" w14:textId="3C3D596A" w:rsidR="00C20105" w:rsidRPr="005015B8" w:rsidRDefault="009320D8" w:rsidP="00C84941">
            <w:pPr>
              <w:rPr>
                <w:rStyle w:val="Strong"/>
              </w:rPr>
            </w:pPr>
            <w:r w:rsidRPr="005015B8">
              <w:rPr>
                <w:rStyle w:val="Strong"/>
              </w:rPr>
              <w:t>Impact on</w:t>
            </w:r>
            <w:r w:rsidR="00C20105" w:rsidRPr="005015B8">
              <w:rPr>
                <w:rStyle w:val="Strong"/>
              </w:rPr>
              <w:t xml:space="preserve"> the food industry</w:t>
            </w:r>
          </w:p>
          <w:p w14:paraId="3D8E69E3" w14:textId="05B1A3DF" w:rsidR="00C20105" w:rsidRPr="00A56F43" w:rsidRDefault="009C594C" w:rsidP="00C84941">
            <w:r w:rsidRPr="00A56F43">
              <w:t>C</w:t>
            </w:r>
            <w:r w:rsidR="00C20105" w:rsidRPr="00A56F43">
              <w:t xml:space="preserve">osts associated with labelling changes including label re-design, </w:t>
            </w:r>
            <w:r w:rsidRPr="00A56F43">
              <w:t xml:space="preserve">quantification of added sugars content, </w:t>
            </w:r>
            <w:r w:rsidR="00C20105" w:rsidRPr="00A56F43">
              <w:t>changing other elements of the label, printing costs,</w:t>
            </w:r>
            <w:r w:rsidR="00C20105" w:rsidRPr="00A56F43">
              <w:rPr>
                <w:lang w:val="en-GB"/>
              </w:rPr>
              <w:t xml:space="preserve"> </w:t>
            </w:r>
            <w:r w:rsidR="00C20105" w:rsidRPr="00A56F43">
              <w:t xml:space="preserve">changing record keeping systems, obtaining information from ingredient </w:t>
            </w:r>
            <w:proofErr w:type="gramStart"/>
            <w:r w:rsidR="00C20105" w:rsidRPr="00A56F43">
              <w:t>s</w:t>
            </w:r>
            <w:r w:rsidR="00272DDD" w:rsidRPr="00A56F43">
              <w:t>uppliers</w:t>
            </w:r>
            <w:proofErr w:type="gramEnd"/>
            <w:r w:rsidR="00272DDD" w:rsidRPr="00A56F43">
              <w:t xml:space="preserve"> and updating websites.</w:t>
            </w:r>
          </w:p>
          <w:p w14:paraId="40ECA78D" w14:textId="12068185" w:rsidR="00C20105" w:rsidRPr="00A56F43" w:rsidRDefault="00C20105" w:rsidP="00C84941">
            <w:pPr>
              <w:rPr>
                <w:b/>
              </w:rPr>
            </w:pPr>
            <w:r w:rsidRPr="00A56F43">
              <w:t>Includes a potential impact on trade opportunities</w:t>
            </w:r>
            <w:r w:rsidR="00637409" w:rsidRPr="00A56F43">
              <w:t xml:space="preserve"> as Australia and New Zealand labelling requirements may differ from international jurisdictions.</w:t>
            </w:r>
          </w:p>
        </w:tc>
        <w:tc>
          <w:tcPr>
            <w:tcW w:w="3195" w:type="dxa"/>
          </w:tcPr>
          <w:p w14:paraId="2E0919EF" w14:textId="4803F092" w:rsidR="009C594C" w:rsidRDefault="009C594C" w:rsidP="00DD3D9C">
            <w:pPr>
              <w:pStyle w:val="Tabletext"/>
              <w:numPr>
                <w:ilvl w:val="0"/>
                <w:numId w:val="13"/>
              </w:numPr>
            </w:pPr>
            <w:r>
              <w:t>M</w:t>
            </w:r>
            <w:r w:rsidRPr="009C594C">
              <w:t>inor changes to existing elements of the food label and are less likely to require a major label re-design</w:t>
            </w:r>
            <w:r>
              <w:t>.</w:t>
            </w:r>
          </w:p>
          <w:p w14:paraId="5C8DF631" w14:textId="3BE2909F" w:rsidR="00C20105" w:rsidRPr="00272DDD" w:rsidRDefault="00C20105" w:rsidP="00DD3D9C">
            <w:pPr>
              <w:pStyle w:val="Tabletext"/>
              <w:numPr>
                <w:ilvl w:val="0"/>
                <w:numId w:val="13"/>
              </w:numPr>
            </w:pPr>
            <w:r w:rsidRPr="00C20105">
              <w:t>May impact on trade opportunities.</w:t>
            </w:r>
          </w:p>
        </w:tc>
        <w:tc>
          <w:tcPr>
            <w:tcW w:w="3195" w:type="dxa"/>
          </w:tcPr>
          <w:p w14:paraId="4432476D" w14:textId="33793258" w:rsidR="009C594C" w:rsidRPr="009C594C" w:rsidRDefault="009C594C" w:rsidP="00DD3D9C">
            <w:pPr>
              <w:pStyle w:val="Tabletext"/>
              <w:numPr>
                <w:ilvl w:val="0"/>
                <w:numId w:val="13"/>
              </w:numPr>
            </w:pPr>
            <w:r w:rsidRPr="009C594C">
              <w:t>Minor changes to existing elements of the food label and are less likely to require a major label re-design.</w:t>
            </w:r>
          </w:p>
          <w:p w14:paraId="40F49A91" w14:textId="77777777" w:rsidR="00DD5445" w:rsidRPr="00DD5445" w:rsidRDefault="009C594C" w:rsidP="00DD3D9C">
            <w:pPr>
              <w:pStyle w:val="Tabletext"/>
              <w:numPr>
                <w:ilvl w:val="0"/>
                <w:numId w:val="13"/>
              </w:numPr>
            </w:pPr>
            <w:r w:rsidRPr="007F3209">
              <w:t>Costs associated with quantifying added sugars in foods.</w:t>
            </w:r>
          </w:p>
          <w:p w14:paraId="75930FB6" w14:textId="30C998B8" w:rsidR="00C20105" w:rsidRPr="00DD5445" w:rsidRDefault="00C20105" w:rsidP="00DD3D9C">
            <w:pPr>
              <w:pStyle w:val="Tabletext"/>
              <w:numPr>
                <w:ilvl w:val="0"/>
                <w:numId w:val="13"/>
              </w:numPr>
            </w:pPr>
            <w:r w:rsidRPr="007F3209">
              <w:t>May impact on trade opportunities.</w:t>
            </w:r>
          </w:p>
        </w:tc>
        <w:tc>
          <w:tcPr>
            <w:tcW w:w="3196" w:type="dxa"/>
          </w:tcPr>
          <w:p w14:paraId="1DC2367A" w14:textId="217DE011" w:rsidR="009C594C" w:rsidRDefault="009C594C" w:rsidP="00DD3D9C">
            <w:pPr>
              <w:pStyle w:val="Tabletext"/>
              <w:numPr>
                <w:ilvl w:val="0"/>
                <w:numId w:val="13"/>
              </w:numPr>
            </w:pPr>
            <w:r w:rsidRPr="009C594C">
              <w:t xml:space="preserve">High label re-design and associated costs due to label space occupied by pictorial approaches. </w:t>
            </w:r>
          </w:p>
          <w:p w14:paraId="7509BBF9" w14:textId="021BF7E8" w:rsidR="009C594C" w:rsidRPr="009C594C" w:rsidRDefault="009C594C" w:rsidP="00DD3D9C">
            <w:pPr>
              <w:pStyle w:val="Tabletext"/>
              <w:numPr>
                <w:ilvl w:val="0"/>
                <w:numId w:val="13"/>
              </w:numPr>
            </w:pPr>
            <w:r w:rsidRPr="00920450">
              <w:t>Costs associated with quantifying added sugars in foods.</w:t>
            </w:r>
          </w:p>
          <w:p w14:paraId="1BD8F5D1" w14:textId="6AACBE4A" w:rsidR="00C20105" w:rsidRPr="00272DDD" w:rsidRDefault="00C20105" w:rsidP="00DD3D9C">
            <w:pPr>
              <w:pStyle w:val="Tabletext"/>
              <w:numPr>
                <w:ilvl w:val="0"/>
                <w:numId w:val="13"/>
              </w:numPr>
            </w:pPr>
            <w:r w:rsidRPr="009C594C">
              <w:t>May impact on trade opportunities.</w:t>
            </w:r>
          </w:p>
        </w:tc>
      </w:tr>
      <w:tr w:rsidR="00C20105" w:rsidRPr="00C20105" w14:paraId="33BD66B6" w14:textId="77777777" w:rsidTr="00AB590F">
        <w:trPr>
          <w:trHeight w:val="1959"/>
        </w:trPr>
        <w:tc>
          <w:tcPr>
            <w:tcW w:w="4524" w:type="dxa"/>
          </w:tcPr>
          <w:p w14:paraId="588A29A8" w14:textId="77777777" w:rsidR="00C20105" w:rsidRPr="005015B8" w:rsidRDefault="00C20105" w:rsidP="00C84941">
            <w:pPr>
              <w:rPr>
                <w:rStyle w:val="Strong"/>
              </w:rPr>
            </w:pPr>
            <w:r w:rsidRPr="005015B8">
              <w:rPr>
                <w:rStyle w:val="Strong"/>
              </w:rPr>
              <w:t xml:space="preserve">Impacts on other elements of a food </w:t>
            </w:r>
            <w:proofErr w:type="gramStart"/>
            <w:r w:rsidRPr="005015B8">
              <w:rPr>
                <w:rStyle w:val="Strong"/>
              </w:rPr>
              <w:t>label</w:t>
            </w:r>
            <w:proofErr w:type="gramEnd"/>
          </w:p>
          <w:p w14:paraId="476CFE27" w14:textId="77777777" w:rsidR="00C20105" w:rsidRPr="00A56F43" w:rsidRDefault="00C20105" w:rsidP="00C84941">
            <w:pPr>
              <w:rPr>
                <w:b/>
              </w:rPr>
            </w:pPr>
            <w:r w:rsidRPr="00A56F43">
              <w:t>Given that a food label is a limited space, it is possible that new sugars information may impact on other voluntary elements of food label.</w:t>
            </w:r>
          </w:p>
        </w:tc>
        <w:tc>
          <w:tcPr>
            <w:tcW w:w="3195" w:type="dxa"/>
          </w:tcPr>
          <w:p w14:paraId="45FB4F49" w14:textId="00C946C9" w:rsidR="00C20105" w:rsidRPr="00272DDD" w:rsidRDefault="009C594C" w:rsidP="00DD3D9C">
            <w:pPr>
              <w:pStyle w:val="Tabletext"/>
              <w:numPr>
                <w:ilvl w:val="0"/>
                <w:numId w:val="13"/>
              </w:numPr>
            </w:pPr>
            <w:r w:rsidRPr="009C594C">
              <w:t>Minor changes to existing elements of the fo</w:t>
            </w:r>
            <w:r w:rsidR="005B7659">
              <w:t>od label and are least</w:t>
            </w:r>
            <w:r w:rsidRPr="009C594C">
              <w:t xml:space="preserve"> likely to impact</w:t>
            </w:r>
            <w:r w:rsidR="00C20105" w:rsidRPr="009C594C">
              <w:t xml:space="preserve"> on other elements of the food label.</w:t>
            </w:r>
          </w:p>
        </w:tc>
        <w:tc>
          <w:tcPr>
            <w:tcW w:w="3195" w:type="dxa"/>
          </w:tcPr>
          <w:p w14:paraId="5128BF8C" w14:textId="251947B2" w:rsidR="009C594C" w:rsidRPr="009C594C" w:rsidRDefault="009C594C" w:rsidP="00DD3D9C">
            <w:pPr>
              <w:pStyle w:val="Tabletext"/>
              <w:numPr>
                <w:ilvl w:val="0"/>
                <w:numId w:val="13"/>
              </w:numPr>
            </w:pPr>
            <w:r w:rsidRPr="009C594C">
              <w:t>Minor changes to existing elements of the fo</w:t>
            </w:r>
            <w:r w:rsidR="005B7659">
              <w:t>od label and un</w:t>
            </w:r>
            <w:r w:rsidRPr="009C594C">
              <w:t xml:space="preserve">likely to impact </w:t>
            </w:r>
            <w:r w:rsidR="00272DDD">
              <w:t>on other elements of the label.</w:t>
            </w:r>
          </w:p>
          <w:p w14:paraId="67D4DECA" w14:textId="74C92E74" w:rsidR="00C20105" w:rsidRPr="00ED18B4" w:rsidRDefault="00C20105" w:rsidP="00DD3D9C">
            <w:pPr>
              <w:pStyle w:val="Tabletext"/>
              <w:numPr>
                <w:ilvl w:val="0"/>
                <w:numId w:val="13"/>
              </w:numPr>
            </w:pPr>
            <w:r w:rsidRPr="00C20105">
              <w:t>May result in voluntary information from the NIP, being removed.</w:t>
            </w:r>
          </w:p>
        </w:tc>
        <w:tc>
          <w:tcPr>
            <w:tcW w:w="3196" w:type="dxa"/>
          </w:tcPr>
          <w:p w14:paraId="6C73DB9F" w14:textId="651F4E33" w:rsidR="00C20105" w:rsidRPr="00C20105" w:rsidRDefault="005B7659" w:rsidP="00DD3D9C">
            <w:pPr>
              <w:pStyle w:val="Tabletext"/>
              <w:numPr>
                <w:ilvl w:val="0"/>
                <w:numId w:val="13"/>
              </w:numPr>
            </w:pPr>
            <w:r>
              <w:t>M</w:t>
            </w:r>
            <w:r w:rsidR="00C20105" w:rsidRPr="00C20105">
              <w:t>ost likely to result in other information being removed from the food label</w:t>
            </w:r>
            <w:r>
              <w:t xml:space="preserve"> due </w:t>
            </w:r>
            <w:r w:rsidRPr="009C594C">
              <w:t>label space occupied by pictorial approaches</w:t>
            </w:r>
            <w:r>
              <w:t>.</w:t>
            </w:r>
          </w:p>
        </w:tc>
      </w:tr>
      <w:tr w:rsidR="00C20105" w:rsidRPr="00C20105" w14:paraId="67CB0899" w14:textId="77777777" w:rsidTr="00AB590F">
        <w:tc>
          <w:tcPr>
            <w:tcW w:w="4524" w:type="dxa"/>
          </w:tcPr>
          <w:p w14:paraId="041A2904" w14:textId="3EF26CF2" w:rsidR="00C20105" w:rsidRPr="005015B8" w:rsidRDefault="00C20105" w:rsidP="00C84941">
            <w:pPr>
              <w:rPr>
                <w:rStyle w:val="Strong"/>
              </w:rPr>
            </w:pPr>
            <w:r w:rsidRPr="005015B8">
              <w:rPr>
                <w:rStyle w:val="Strong"/>
              </w:rPr>
              <w:t xml:space="preserve">Impacts </w:t>
            </w:r>
            <w:r w:rsidR="00924AAB" w:rsidRPr="005015B8">
              <w:rPr>
                <w:rStyle w:val="Strong"/>
              </w:rPr>
              <w:t>on</w:t>
            </w:r>
            <w:r w:rsidRPr="005015B8">
              <w:rPr>
                <w:rStyle w:val="Strong"/>
              </w:rPr>
              <w:t xml:space="preserve"> Government </w:t>
            </w:r>
            <w:proofErr w:type="gramStart"/>
            <w:r w:rsidRPr="005015B8">
              <w:rPr>
                <w:rStyle w:val="Strong"/>
              </w:rPr>
              <w:t>regulators</w:t>
            </w:r>
            <w:proofErr w:type="gramEnd"/>
          </w:p>
          <w:p w14:paraId="61D9DC13" w14:textId="60B8CEAF" w:rsidR="00C20105" w:rsidRPr="00A56F43" w:rsidRDefault="005B7659" w:rsidP="00C84941">
            <w:r w:rsidRPr="00A56F43">
              <w:t xml:space="preserve">Impact on </w:t>
            </w:r>
            <w:r w:rsidR="00C20105" w:rsidRPr="00A56F43">
              <w:t xml:space="preserve">regulators responsible for </w:t>
            </w:r>
            <w:r w:rsidRPr="00A56F43">
              <w:t>enforcement of food labelling and/or consumer information</w:t>
            </w:r>
            <w:r w:rsidR="00C20105" w:rsidRPr="00A56F43">
              <w:t xml:space="preserve">. </w:t>
            </w:r>
            <w:r w:rsidR="0004070A" w:rsidRPr="00A56F43">
              <w:t>Approach for verifying a food’s added sugars content needs to be determined.</w:t>
            </w:r>
          </w:p>
        </w:tc>
        <w:tc>
          <w:tcPr>
            <w:tcW w:w="3195" w:type="dxa"/>
          </w:tcPr>
          <w:p w14:paraId="7DDCC03B" w14:textId="770016BE" w:rsidR="00C20105" w:rsidRDefault="00C20105" w:rsidP="00DD3D9C">
            <w:pPr>
              <w:pStyle w:val="Tabletext"/>
              <w:numPr>
                <w:ilvl w:val="0"/>
                <w:numId w:val="13"/>
              </w:numPr>
            </w:pPr>
            <w:r w:rsidRPr="00C20105">
              <w:t>May increase enforc</w:t>
            </w:r>
            <w:r w:rsidR="005B7659">
              <w:t>ement and compliance activities</w:t>
            </w:r>
            <w:r w:rsidRPr="00C20105">
              <w:t>.</w:t>
            </w:r>
          </w:p>
          <w:p w14:paraId="18C796E4" w14:textId="40B8217D" w:rsidR="00C20105" w:rsidRPr="00272DDD" w:rsidRDefault="0004070A" w:rsidP="00DD3D9C">
            <w:pPr>
              <w:pStyle w:val="Tabletext"/>
              <w:numPr>
                <w:ilvl w:val="0"/>
                <w:numId w:val="13"/>
              </w:numPr>
            </w:pPr>
            <w:r>
              <w:t xml:space="preserve">Not required to </w:t>
            </w:r>
            <w:r w:rsidRPr="00CE5647">
              <w:t>verify food’s added sugars content</w:t>
            </w:r>
            <w:r w:rsidR="00272DDD">
              <w:t>.</w:t>
            </w:r>
          </w:p>
        </w:tc>
        <w:tc>
          <w:tcPr>
            <w:tcW w:w="3195" w:type="dxa"/>
          </w:tcPr>
          <w:p w14:paraId="1DC4B9E2" w14:textId="5C1E454E" w:rsidR="00CE5647" w:rsidRPr="00CE5647" w:rsidRDefault="00CE5647" w:rsidP="00DD3D9C">
            <w:pPr>
              <w:pStyle w:val="Tabletext"/>
              <w:numPr>
                <w:ilvl w:val="0"/>
                <w:numId w:val="13"/>
              </w:numPr>
            </w:pPr>
            <w:r w:rsidRPr="00CE5647">
              <w:t xml:space="preserve">May increase enforcement and compliance activities. </w:t>
            </w:r>
          </w:p>
          <w:p w14:paraId="2D2ED1A6" w14:textId="6AB4BB99" w:rsidR="00C20105" w:rsidRPr="00272DDD" w:rsidRDefault="00CE5647" w:rsidP="00DD3D9C">
            <w:pPr>
              <w:pStyle w:val="Tabletext"/>
              <w:numPr>
                <w:ilvl w:val="0"/>
                <w:numId w:val="13"/>
              </w:numPr>
            </w:pPr>
            <w:r w:rsidRPr="00CE5647">
              <w:t>Required to verify food’s added sugars content.</w:t>
            </w:r>
          </w:p>
        </w:tc>
        <w:tc>
          <w:tcPr>
            <w:tcW w:w="3196" w:type="dxa"/>
          </w:tcPr>
          <w:p w14:paraId="6BC8CFCB" w14:textId="77777777" w:rsidR="00CE5647" w:rsidRPr="00CE5647" w:rsidRDefault="00C20105" w:rsidP="00DD3D9C">
            <w:pPr>
              <w:pStyle w:val="Tabletext"/>
              <w:numPr>
                <w:ilvl w:val="0"/>
                <w:numId w:val="13"/>
              </w:numPr>
            </w:pPr>
            <w:r w:rsidRPr="00CE5647">
              <w:t>May increase enforc</w:t>
            </w:r>
            <w:r w:rsidR="005B7659" w:rsidRPr="00CE5647">
              <w:t>ement and compliance activities</w:t>
            </w:r>
            <w:r w:rsidR="00CE5647" w:rsidRPr="00CE5647">
              <w:t>.</w:t>
            </w:r>
          </w:p>
          <w:p w14:paraId="07EB4537" w14:textId="0F9F05EC" w:rsidR="00CE5647" w:rsidRPr="00ED18B4" w:rsidRDefault="00CE5647" w:rsidP="00DD3D9C">
            <w:pPr>
              <w:pStyle w:val="Tabletext"/>
              <w:numPr>
                <w:ilvl w:val="0"/>
                <w:numId w:val="13"/>
              </w:numPr>
            </w:pPr>
            <w:r w:rsidRPr="00CE5647">
              <w:t>Depending on the approach taken, regulators may be required to verify food’s added sugars content.</w:t>
            </w:r>
          </w:p>
        </w:tc>
      </w:tr>
      <w:tr w:rsidR="00C20105" w:rsidRPr="00C20105" w14:paraId="21AE5A2A" w14:textId="77777777" w:rsidTr="00AB590F">
        <w:tc>
          <w:tcPr>
            <w:tcW w:w="4524" w:type="dxa"/>
          </w:tcPr>
          <w:p w14:paraId="7315C991" w14:textId="77777777" w:rsidR="00C20105" w:rsidRPr="005015B8" w:rsidRDefault="00C20105" w:rsidP="00C84941">
            <w:pPr>
              <w:tabs>
                <w:tab w:val="left" w:pos="915"/>
              </w:tabs>
              <w:rPr>
                <w:rStyle w:val="Strong"/>
              </w:rPr>
            </w:pPr>
            <w:r w:rsidRPr="005015B8">
              <w:rPr>
                <w:rStyle w:val="Strong"/>
              </w:rPr>
              <w:t xml:space="preserve">Impacts on consumer </w:t>
            </w:r>
            <w:proofErr w:type="gramStart"/>
            <w:r w:rsidRPr="005015B8">
              <w:rPr>
                <w:rStyle w:val="Strong"/>
              </w:rPr>
              <w:t>understanding</w:t>
            </w:r>
            <w:proofErr w:type="gramEnd"/>
          </w:p>
          <w:p w14:paraId="7805128B" w14:textId="6B4FE33B" w:rsidR="00C20105" w:rsidRPr="00A56F43" w:rsidRDefault="0004070A" w:rsidP="00C84941">
            <w:r w:rsidRPr="00A56F43">
              <w:t>Ma</w:t>
            </w:r>
            <w:r w:rsidR="00E4486B" w:rsidRPr="00A56F43">
              <w:t>y lead some consumers to place too much emphasis on added sugars at the expense of other negative nutrients.</w:t>
            </w:r>
          </w:p>
          <w:p w14:paraId="25E2C6C6" w14:textId="07A6C4A2" w:rsidR="00E4486B" w:rsidRPr="00A56F43" w:rsidRDefault="00E4486B" w:rsidP="00C84941">
            <w:pPr>
              <w:rPr>
                <w:rFonts w:cstheme="minorHAnsi"/>
              </w:rPr>
            </w:pPr>
            <w:r w:rsidRPr="00A56F43">
              <w:t xml:space="preserve">May lead consumers to believe that added sugars were chemically different to </w:t>
            </w:r>
            <w:r w:rsidR="0004070A" w:rsidRPr="00A56F43">
              <w:t xml:space="preserve">intrinsic </w:t>
            </w:r>
            <w:proofErr w:type="gramStart"/>
            <w:r w:rsidRPr="00A56F43">
              <w:t>sugars, or</w:t>
            </w:r>
            <w:proofErr w:type="gramEnd"/>
            <w:r w:rsidRPr="00A56F43">
              <w:t xml:space="preserve"> have a different energy (kilojoule) content.</w:t>
            </w:r>
          </w:p>
        </w:tc>
        <w:tc>
          <w:tcPr>
            <w:tcW w:w="3195" w:type="dxa"/>
          </w:tcPr>
          <w:p w14:paraId="07F06097" w14:textId="730D1E5A" w:rsidR="00C20105" w:rsidRPr="00C20105" w:rsidRDefault="00E4486B" w:rsidP="00DD3D9C">
            <w:pPr>
              <w:pStyle w:val="Tabletext"/>
              <w:numPr>
                <w:ilvl w:val="0"/>
                <w:numId w:val="13"/>
              </w:numPr>
            </w:pPr>
            <w:r>
              <w:t>Added sugars emphasised more</w:t>
            </w:r>
            <w:r w:rsidR="00C84941">
              <w:t xml:space="preserve"> than sodium and saturated fat.</w:t>
            </w:r>
          </w:p>
          <w:p w14:paraId="3360328A" w14:textId="127A6ED6" w:rsidR="00C20105" w:rsidRPr="00272DDD" w:rsidRDefault="00E4486B" w:rsidP="00DD3D9C">
            <w:pPr>
              <w:pStyle w:val="Tabletext"/>
              <w:numPr>
                <w:ilvl w:val="0"/>
                <w:numId w:val="13"/>
              </w:numPr>
            </w:pPr>
            <w:r>
              <w:t>M</w:t>
            </w:r>
            <w:r w:rsidR="00C20105" w:rsidRPr="00C20105">
              <w:t>ay also cause confusion with allergen labelling.</w:t>
            </w:r>
          </w:p>
        </w:tc>
        <w:tc>
          <w:tcPr>
            <w:tcW w:w="3195" w:type="dxa"/>
          </w:tcPr>
          <w:p w14:paraId="1FAD1CE3" w14:textId="063BAEF4" w:rsidR="00E4486B" w:rsidRPr="00E4486B" w:rsidRDefault="00E4486B" w:rsidP="00DD3D9C">
            <w:pPr>
              <w:pStyle w:val="Tabletext"/>
              <w:numPr>
                <w:ilvl w:val="0"/>
                <w:numId w:val="13"/>
              </w:numPr>
            </w:pPr>
            <w:r w:rsidRPr="00E4486B">
              <w:t xml:space="preserve">Potential for consumer confusion </w:t>
            </w:r>
            <w:r>
              <w:t>about foods’ total sugars content</w:t>
            </w:r>
            <w:r w:rsidR="00272DDD">
              <w:t>.</w:t>
            </w:r>
          </w:p>
          <w:p w14:paraId="5CF73EF1" w14:textId="6124DC0D" w:rsidR="00C20105" w:rsidRPr="00920450" w:rsidRDefault="00E4486B" w:rsidP="00DD3D9C">
            <w:pPr>
              <w:pStyle w:val="Tabletext"/>
              <w:numPr>
                <w:ilvl w:val="0"/>
                <w:numId w:val="13"/>
              </w:numPr>
            </w:pPr>
            <w:r>
              <w:t>Added sugars not emphasised more</w:t>
            </w:r>
            <w:r w:rsidR="00272DDD">
              <w:t xml:space="preserve"> than sodium and saturated fat.</w:t>
            </w:r>
          </w:p>
        </w:tc>
        <w:tc>
          <w:tcPr>
            <w:tcW w:w="3196" w:type="dxa"/>
          </w:tcPr>
          <w:p w14:paraId="0B88FF14" w14:textId="516FF9DC" w:rsidR="00C20105" w:rsidRPr="00920450" w:rsidRDefault="00E4486B" w:rsidP="00DD3D9C">
            <w:pPr>
              <w:pStyle w:val="Tabletext"/>
              <w:numPr>
                <w:ilvl w:val="0"/>
                <w:numId w:val="13"/>
              </w:numPr>
            </w:pPr>
            <w:r w:rsidRPr="00DD5445">
              <w:t>Added sugars strongly emphasised more than sodium and saturated fat.</w:t>
            </w:r>
          </w:p>
        </w:tc>
      </w:tr>
    </w:tbl>
    <w:p w14:paraId="5FEFAF4B" w14:textId="647F408B" w:rsidR="00C20105" w:rsidRPr="00BC587F" w:rsidRDefault="00C20105" w:rsidP="00BC587F">
      <w:pPr>
        <w:sectPr w:rsidR="00C20105" w:rsidRPr="00BC587F" w:rsidSect="00AB7D96">
          <w:pgSz w:w="16838" w:h="11906" w:orient="landscape" w:code="9"/>
          <w:pgMar w:top="1418" w:right="1418" w:bottom="1418" w:left="1418" w:header="709" w:footer="709" w:gutter="0"/>
          <w:cols w:space="708"/>
          <w:docGrid w:linePitch="360"/>
        </w:sectPr>
      </w:pPr>
    </w:p>
    <w:p w14:paraId="31A38495" w14:textId="084A9584" w:rsidR="00ED18B4" w:rsidRPr="00B44104" w:rsidRDefault="00E23ED5" w:rsidP="00314A5D">
      <w:pPr>
        <w:pStyle w:val="Heading2"/>
      </w:pPr>
      <w:bookmarkStart w:id="38" w:name="_Toc2252867"/>
      <w:bookmarkStart w:id="39" w:name="_Toc3905540"/>
      <w:bookmarkStart w:id="40" w:name="_Toc6323588"/>
      <w:r w:rsidRPr="00B44104">
        <w:t>Food p</w:t>
      </w:r>
      <w:r w:rsidR="00ED18B4" w:rsidRPr="00B44104">
        <w:t xml:space="preserve">roducts for which the feasible options would </w:t>
      </w:r>
      <w:proofErr w:type="gramStart"/>
      <w:r w:rsidR="00ED18B4" w:rsidRPr="00B44104">
        <w:t>apply</w:t>
      </w:r>
      <w:bookmarkEnd w:id="38"/>
      <w:bookmarkEnd w:id="39"/>
      <w:bookmarkEnd w:id="40"/>
      <w:proofErr w:type="gramEnd"/>
    </w:p>
    <w:p w14:paraId="1DBF1092" w14:textId="25F0D524" w:rsidR="00EB309A" w:rsidRPr="00BC587F" w:rsidRDefault="00EB309A" w:rsidP="00BC587F">
      <w:r w:rsidRPr="00BC587F">
        <w:t>Some foods make a greater contribution to intakes of added sugars. Option 3 (statement of ingredients) and Option 4 (added sugars in the NIP) should apply to all foods as the statement of ingredients and NIP are already required on most food labels in a consistent format to allow comparison of food products. Changing these labelling elements for sugars on some foods, but not all, may be confusing to consumers and restrict the opportunity for compare products. Stakeholder support was strongest for applying Opti</w:t>
      </w:r>
      <w:r w:rsidR="005015B8" w:rsidRPr="00BC587F">
        <w:t>on 3 and Option 4 to all foods.</w:t>
      </w:r>
    </w:p>
    <w:p w14:paraId="1D8DAD23" w14:textId="00108A4C" w:rsidR="00E23ED5" w:rsidRPr="00BC587F" w:rsidRDefault="00E23ED5" w:rsidP="00BC587F">
      <w:r w:rsidRPr="00BC587F">
        <w:t>For Option 6</w:t>
      </w:r>
      <w:r w:rsidR="002E75FE" w:rsidRPr="00BC587F">
        <w:t xml:space="preserve"> (pictorial approaches)</w:t>
      </w:r>
      <w:r w:rsidRPr="00BC587F">
        <w:t xml:space="preserve">, there was strong support from non-industry stakeholders to apply Option 6 only to </w:t>
      </w:r>
      <w:r w:rsidR="00CB045C" w:rsidRPr="00BC587F">
        <w:t>sugary beverages</w:t>
      </w:r>
      <w:r w:rsidR="00224E44" w:rsidRPr="00BC587F">
        <w:t xml:space="preserve"> </w:t>
      </w:r>
      <w:r w:rsidR="00CB045C" w:rsidRPr="00BC587F">
        <w:t xml:space="preserve">/ </w:t>
      </w:r>
      <w:r w:rsidRPr="00BC587F">
        <w:t xml:space="preserve">sugar-sweetened beverages. </w:t>
      </w:r>
      <w:r w:rsidR="00DB3D8E" w:rsidRPr="00BC587F">
        <w:t>The reason</w:t>
      </w:r>
      <w:r w:rsidR="00ED73C7" w:rsidRPr="00BC587F">
        <w:t>s</w:t>
      </w:r>
      <w:r w:rsidR="00DB3D8E" w:rsidRPr="00BC587F">
        <w:t xml:space="preserve"> for this position </w:t>
      </w:r>
      <w:r w:rsidR="00CB045C" w:rsidRPr="00BC587F">
        <w:t>were</w:t>
      </w:r>
      <w:r w:rsidR="00DB3D8E" w:rsidRPr="00BC587F">
        <w:t>:</w:t>
      </w:r>
    </w:p>
    <w:p w14:paraId="509F47DD" w14:textId="6DC14845" w:rsidR="00DB3D8E" w:rsidRPr="00C84941" w:rsidRDefault="00DB3D8E" w:rsidP="00DD3D9C">
      <w:pPr>
        <w:pStyle w:val="ListParagraph"/>
        <w:numPr>
          <w:ilvl w:val="0"/>
          <w:numId w:val="9"/>
        </w:numPr>
      </w:pPr>
      <w:r w:rsidRPr="00C84941">
        <w:t>low uptake of the HSR star icon across non-alcoholic beverage products and therefore lower risk that</w:t>
      </w:r>
      <w:r w:rsidR="00ED73C7" w:rsidRPr="00C84941">
        <w:t xml:space="preserve"> pictorial labelling would comp</w:t>
      </w:r>
      <w:r w:rsidRPr="00C84941">
        <w:t>ete for space with the HSR and potential conflict between the two labelling approaches; and</w:t>
      </w:r>
    </w:p>
    <w:p w14:paraId="79AAA71E" w14:textId="1DBB50B3" w:rsidR="00DB3D8E" w:rsidRPr="00C84941" w:rsidRDefault="00DB3D8E" w:rsidP="00DD3D9C">
      <w:pPr>
        <w:pStyle w:val="ListParagraph"/>
        <w:numPr>
          <w:ilvl w:val="0"/>
          <w:numId w:val="9"/>
        </w:numPr>
      </w:pPr>
      <w:r w:rsidRPr="00C84941">
        <w:t xml:space="preserve">there is less risk that the pictorial labels would detract consumers’ attention from other nutrients such as sodium and saturated fat as these nutrients are less relevant for </w:t>
      </w:r>
      <w:r w:rsidR="00CB045C" w:rsidRPr="00C84941">
        <w:t>sugary beverages</w:t>
      </w:r>
      <w:r w:rsidR="00224E44" w:rsidRPr="00C84941">
        <w:t xml:space="preserve"> </w:t>
      </w:r>
      <w:r w:rsidR="00CB045C" w:rsidRPr="00C84941">
        <w:t xml:space="preserve">/ </w:t>
      </w:r>
      <w:r w:rsidR="00272DDD" w:rsidRPr="00C84941">
        <w:t xml:space="preserve">sugar-sweetened </w:t>
      </w:r>
      <w:proofErr w:type="gramStart"/>
      <w:r w:rsidR="00272DDD" w:rsidRPr="00C84941">
        <w:t>beverages</w:t>
      </w:r>
      <w:proofErr w:type="gramEnd"/>
    </w:p>
    <w:p w14:paraId="32D95368" w14:textId="7EB4FA92" w:rsidR="00DB3D8E" w:rsidRPr="00BC587F" w:rsidRDefault="00DB3D8E" w:rsidP="00BC587F">
      <w:r w:rsidRPr="00BC587F">
        <w:t>This suggestion warrant</w:t>
      </w:r>
      <w:r w:rsidR="00924AAB" w:rsidRPr="00BC587F">
        <w:t>ed</w:t>
      </w:r>
      <w:r w:rsidRPr="00BC587F">
        <w:t xml:space="preserve"> further consideration as many of</w:t>
      </w:r>
      <w:r w:rsidR="00402B2F" w:rsidRPr="00BC587F">
        <w:t xml:space="preserve"> the potential</w:t>
      </w:r>
      <w:r w:rsidRPr="00BC587F">
        <w:t xml:space="preserve"> negative impacts of Option 6 can be reduced if Option 6 is applied only to </w:t>
      </w:r>
      <w:r w:rsidR="00CB045C" w:rsidRPr="00BC587F">
        <w:t>sugary beverages</w:t>
      </w:r>
      <w:r w:rsidR="00224E44" w:rsidRPr="00BC587F">
        <w:t xml:space="preserve"> </w:t>
      </w:r>
      <w:r w:rsidR="00CB045C" w:rsidRPr="00BC587F">
        <w:t xml:space="preserve">/ </w:t>
      </w:r>
      <w:r w:rsidRPr="00BC587F">
        <w:t xml:space="preserve">sugar-sweetened beverages and these beverages are the main source of added sugars in the diet and there is strong evidence </w:t>
      </w:r>
      <w:r w:rsidR="00CB045C" w:rsidRPr="00BC587F">
        <w:t>they</w:t>
      </w:r>
      <w:r w:rsidRPr="00BC587F">
        <w:t xml:space="preserve"> are positively associated with body weight or obesity.</w:t>
      </w:r>
    </w:p>
    <w:p w14:paraId="6DACFA43" w14:textId="24F97A6C" w:rsidR="00DB3D8E" w:rsidRPr="00BC587F" w:rsidRDefault="00DB3D8E" w:rsidP="00BC587F">
      <w:r w:rsidRPr="00BC587F">
        <w:t xml:space="preserve">Submissions from the food industry provided suggestions for food product categories that should be excluded from sugars labelling. Categories suggested included alcoholic beverages and ‘special purpose foods’ under </w:t>
      </w:r>
      <w:r w:rsidR="002E75FE" w:rsidRPr="00BC587F">
        <w:t>P</w:t>
      </w:r>
      <w:r w:rsidRPr="00BC587F">
        <w:t xml:space="preserve">art 2.9 of the Australia and New Zealand Food Standards Code. The issue of exemptions for </w:t>
      </w:r>
      <w:proofErr w:type="gramStart"/>
      <w:r w:rsidRPr="00BC587F">
        <w:t>particular foods</w:t>
      </w:r>
      <w:proofErr w:type="gramEnd"/>
      <w:r w:rsidRPr="00BC587F">
        <w:t xml:space="preserve"> or food categories will be considered further as pa</w:t>
      </w:r>
      <w:r w:rsidR="00F25EF3" w:rsidRPr="00BC587F">
        <w:t xml:space="preserve">rt of the implementation of any </w:t>
      </w:r>
      <w:r w:rsidRPr="00BC587F">
        <w:t>option(s).</w:t>
      </w:r>
    </w:p>
    <w:p w14:paraId="5A4F4DC3" w14:textId="77777777" w:rsidR="0050630A" w:rsidRPr="00B44104" w:rsidRDefault="0050630A" w:rsidP="00314A5D">
      <w:pPr>
        <w:pStyle w:val="Heading2"/>
      </w:pPr>
      <w:bookmarkStart w:id="41" w:name="_Toc2252868"/>
      <w:bookmarkStart w:id="42" w:name="_Toc3905541"/>
      <w:bookmarkStart w:id="43" w:name="_Toc6323589"/>
      <w:r w:rsidRPr="00B44104">
        <w:t>Combinations of the feasible options</w:t>
      </w:r>
      <w:bookmarkEnd w:id="41"/>
      <w:bookmarkEnd w:id="42"/>
      <w:bookmarkEnd w:id="43"/>
    </w:p>
    <w:p w14:paraId="0F5B2D56" w14:textId="43F6D06E" w:rsidR="0050630A" w:rsidRPr="00BC587F" w:rsidRDefault="0050630A" w:rsidP="00BC587F">
      <w:r w:rsidRPr="00BC587F">
        <w:t xml:space="preserve">Combining Option 4 with Option 3 was not seen to enhance the effectiveness of Option 4. If added sugars are quantified in the </w:t>
      </w:r>
      <w:proofErr w:type="gramStart"/>
      <w:r w:rsidRPr="00BC587F">
        <w:t>NIP</w:t>
      </w:r>
      <w:proofErr w:type="gramEnd"/>
      <w:r w:rsidRPr="00BC587F">
        <w:t xml:space="preserve"> there would be no need to more clearly identify added sugars in the ingredients list</w:t>
      </w:r>
      <w:r w:rsidR="002E75FE" w:rsidRPr="00BC587F">
        <w:t xml:space="preserve"> to achieve the desired outcome of this work</w:t>
      </w:r>
      <w:r w:rsidR="00272DDD" w:rsidRPr="00BC587F">
        <w:t>.</w:t>
      </w:r>
    </w:p>
    <w:p w14:paraId="5C8F63CF" w14:textId="066BCBCC" w:rsidR="0050630A" w:rsidRPr="00BC587F" w:rsidRDefault="0050630A" w:rsidP="00BC587F">
      <w:r w:rsidRPr="00BC587F">
        <w:t xml:space="preserve">Combining Option 4 with Option 6 offers the potential to improve consumer understanding and increase access to sugars information to consumers with poor numeracy skills. However, the risks associated with the prominence and focus on sugars with Option 6 remain. If Option 6 applies only to </w:t>
      </w:r>
      <w:r w:rsidR="00CB045C" w:rsidRPr="00BC587F">
        <w:t>sugary beverages</w:t>
      </w:r>
      <w:r w:rsidR="00224E44" w:rsidRPr="00BC587F">
        <w:t xml:space="preserve"> </w:t>
      </w:r>
      <w:r w:rsidR="00CB045C" w:rsidRPr="00BC587F">
        <w:t xml:space="preserve">/ </w:t>
      </w:r>
      <w:r w:rsidRPr="00BC587F">
        <w:t>sugar-sweetened beverages, then this combination offers potential.</w:t>
      </w:r>
    </w:p>
    <w:p w14:paraId="11BDCA16" w14:textId="6F4C524C" w:rsidR="00DB3D8E" w:rsidRPr="00B44104" w:rsidRDefault="00924AAB" w:rsidP="00314A5D">
      <w:pPr>
        <w:pStyle w:val="Heading2"/>
      </w:pPr>
      <w:bookmarkStart w:id="44" w:name="_Toc2252869"/>
      <w:bookmarkStart w:id="45" w:name="_Toc3905542"/>
      <w:bookmarkStart w:id="46" w:name="_Toc6323590"/>
      <w:r w:rsidRPr="00B44104">
        <w:t>Net benefit</w:t>
      </w:r>
      <w:bookmarkEnd w:id="44"/>
      <w:bookmarkEnd w:id="45"/>
      <w:bookmarkEnd w:id="46"/>
    </w:p>
    <w:p w14:paraId="4654398E" w14:textId="666D5311" w:rsidR="00924AAB" w:rsidRPr="00BC587F" w:rsidRDefault="00924AAB" w:rsidP="00BC587F">
      <w:r w:rsidRPr="00BC587F">
        <w:t xml:space="preserve">A high-level qualitative analysis of the </w:t>
      </w:r>
      <w:r w:rsidR="009320D8" w:rsidRPr="00BC587F">
        <w:t>impacts</w:t>
      </w:r>
      <w:r w:rsidRPr="00BC587F">
        <w:t xml:space="preserve"> was undertaken to determine which of the feasible options is likely to have the greatest net benefit. Because feedback from the consultation indicated there is merit in considering Option 6 if it is applied only to </w:t>
      </w:r>
      <w:r w:rsidR="00CB045C" w:rsidRPr="00BC587F">
        <w:t>sugary beverages</w:t>
      </w:r>
      <w:r w:rsidR="00224E44" w:rsidRPr="00BC587F">
        <w:t xml:space="preserve"> </w:t>
      </w:r>
      <w:r w:rsidR="00CB045C" w:rsidRPr="00BC587F">
        <w:t xml:space="preserve">/ </w:t>
      </w:r>
      <w:r w:rsidRPr="00BC587F">
        <w:t>sugar-sweetened beverages, this option was therefore also assessed.</w:t>
      </w:r>
    </w:p>
    <w:p w14:paraId="3F3B63F9" w14:textId="2D1D87AF" w:rsidR="00924AAB" w:rsidRPr="00BC587F" w:rsidRDefault="00924AAB" w:rsidP="00BC587F">
      <w:r w:rsidRPr="00BC587F">
        <w:t xml:space="preserve">A quantitative economic analysis of the costs and benefits was not </w:t>
      </w:r>
      <w:proofErr w:type="gramStart"/>
      <w:r w:rsidRPr="00BC587F">
        <w:t>undertaken,</w:t>
      </w:r>
      <w:proofErr w:type="gramEnd"/>
      <w:r w:rsidRPr="00BC587F">
        <w:t xml:space="preserve"> however it is anticipated this would be performed </w:t>
      </w:r>
      <w:r w:rsidR="00236617" w:rsidRPr="00BC587F">
        <w:t>before implementation of any changes to food labelling in relation to sugars.</w:t>
      </w:r>
      <w:r w:rsidRPr="00BC587F">
        <w:t xml:space="preserve"> No weighting was given to the analysis </w:t>
      </w:r>
      <w:r w:rsidR="009320D8" w:rsidRPr="00BC587F">
        <w:t xml:space="preserve">of the impacts </w:t>
      </w:r>
      <w:r w:rsidR="00EB309A" w:rsidRPr="00BC587F">
        <w:t xml:space="preserve">as it </w:t>
      </w:r>
      <w:r w:rsidRPr="00BC587F">
        <w:t>is only a high-level assessment of the feasible option</w:t>
      </w:r>
      <w:r w:rsidR="00272DDD" w:rsidRPr="00BC587F">
        <w:t>s.</w:t>
      </w:r>
    </w:p>
    <w:p w14:paraId="79B4BFBE" w14:textId="233A8F72" w:rsidR="00924AAB" w:rsidRPr="00BC587F" w:rsidRDefault="00924AAB" w:rsidP="00BC587F">
      <w:r w:rsidRPr="00BC587F">
        <w:t xml:space="preserve">A score between 1 and 3 was assigned to each of the costs and benefits for the feasible options; a score of 3 represented a </w:t>
      </w:r>
      <w:r w:rsidR="004C37C0">
        <w:t xml:space="preserve">strong cost or benefit. </w:t>
      </w:r>
      <w:r w:rsidR="004C37C0">
        <w:fldChar w:fldCharType="begin"/>
      </w:r>
      <w:r w:rsidR="004C37C0">
        <w:instrText xml:space="preserve"> REF _Ref6319736 \h </w:instrText>
      </w:r>
      <w:r w:rsidR="004C37C0">
        <w:fldChar w:fldCharType="separate"/>
      </w:r>
      <w:r w:rsidR="004C37C0">
        <w:t xml:space="preserve">Table </w:t>
      </w:r>
      <w:r w:rsidR="004C37C0">
        <w:rPr>
          <w:noProof/>
        </w:rPr>
        <w:t>6</w:t>
      </w:r>
      <w:r w:rsidR="004C37C0">
        <w:fldChar w:fldCharType="end"/>
      </w:r>
      <w:r w:rsidR="00272DDD" w:rsidRPr="00BC587F">
        <w:t xml:space="preserve"> presents the assigned scores.</w:t>
      </w:r>
    </w:p>
    <w:p w14:paraId="530B0BBB" w14:textId="31885956" w:rsidR="00924AAB" w:rsidRPr="00BC587F" w:rsidRDefault="00924AAB" w:rsidP="00BC587F">
      <w:r w:rsidRPr="00BC587F">
        <w:t>This</w:t>
      </w:r>
      <w:r w:rsidR="009320D8" w:rsidRPr="00BC587F">
        <w:t xml:space="preserve"> high-level</w:t>
      </w:r>
      <w:r w:rsidRPr="00BC587F">
        <w:t xml:space="preserve"> </w:t>
      </w:r>
      <w:r w:rsidR="00236617" w:rsidRPr="00BC587F">
        <w:t xml:space="preserve">qualitative </w:t>
      </w:r>
      <w:r w:rsidR="00EB309A" w:rsidRPr="00BC587F">
        <w:t xml:space="preserve">benefit and </w:t>
      </w:r>
      <w:r w:rsidR="009320D8" w:rsidRPr="00BC587F">
        <w:t>impact</w:t>
      </w:r>
      <w:r w:rsidRPr="00BC587F">
        <w:t xml:space="preserve"> analysis indicated that Option 4 and Option 6 (applied only to </w:t>
      </w:r>
      <w:r w:rsidR="00CB045C" w:rsidRPr="00BC587F">
        <w:t>sugary beverages</w:t>
      </w:r>
      <w:r w:rsidR="00224E44" w:rsidRPr="00BC587F">
        <w:t xml:space="preserve"> </w:t>
      </w:r>
      <w:r w:rsidR="00CB045C" w:rsidRPr="00BC587F">
        <w:t xml:space="preserve">/ </w:t>
      </w:r>
      <w:r w:rsidRPr="00BC587F">
        <w:t>sugar-sweetened beverages) offer</w:t>
      </w:r>
      <w:r w:rsidR="00EB309A" w:rsidRPr="00BC587F">
        <w:t>s</w:t>
      </w:r>
      <w:r w:rsidRPr="00BC587F">
        <w:t xml:space="preserve"> the greatest net benefit as the cost</w:t>
      </w:r>
      <w:r w:rsidR="00272DDD" w:rsidRPr="00BC587F">
        <w:t>s do not outweigh the benefits.</w:t>
      </w:r>
    </w:p>
    <w:p w14:paraId="69CDE045" w14:textId="7FEBB1EE" w:rsidR="00924AAB" w:rsidRPr="00800AE4" w:rsidRDefault="004C37C0" w:rsidP="004C37C0">
      <w:pPr>
        <w:pStyle w:val="Caption"/>
      </w:pPr>
      <w:bookmarkStart w:id="47" w:name="_Ref6319736"/>
      <w:r>
        <w:t xml:space="preserve">Table </w:t>
      </w:r>
      <w:fldSimple w:instr=" SEQ Table \* ARABIC ">
        <w:r>
          <w:rPr>
            <w:noProof/>
          </w:rPr>
          <w:t>6</w:t>
        </w:r>
      </w:fldSimple>
      <w:bookmarkEnd w:id="47"/>
      <w:r>
        <w:t xml:space="preserve">. </w:t>
      </w:r>
      <w:r w:rsidR="00924AAB" w:rsidRPr="00924AAB">
        <w:rPr>
          <w:noProof/>
        </w:rPr>
        <w:t xml:space="preserve">Assessment of </w:t>
      </w:r>
      <w:r w:rsidR="009320D8">
        <w:rPr>
          <w:noProof/>
        </w:rPr>
        <w:t>impacts</w:t>
      </w:r>
      <w:r w:rsidR="00924AAB" w:rsidRPr="00924AAB">
        <w:rPr>
          <w:noProof/>
        </w:rPr>
        <w:t xml:space="preserve"> of the feasible</w:t>
      </w:r>
      <w:r w:rsidR="00924AAB" w:rsidRPr="00F55738">
        <w:rPr>
          <w:noProof/>
        </w:rPr>
        <w:t xml:space="preserve"> options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0.6 is an assessment of impacts and benefits of the feasible options. There are five columns, 1 blank, 2 Option 3, 3 Option 4, 4 Option 6 is applied to all foods and 5 Option 6 is applied to sugary or sugar-sweetened beverages only."/>
      </w:tblPr>
      <w:tblGrid>
        <w:gridCol w:w="2174"/>
        <w:gridCol w:w="1560"/>
        <w:gridCol w:w="1560"/>
        <w:gridCol w:w="1560"/>
        <w:gridCol w:w="1560"/>
      </w:tblGrid>
      <w:tr w:rsidR="00924AAB" w14:paraId="3ED3BDD1" w14:textId="77777777" w:rsidTr="00C84941">
        <w:trPr>
          <w:tblHeader/>
        </w:trPr>
        <w:tc>
          <w:tcPr>
            <w:tcW w:w="2174" w:type="dxa"/>
            <w:tcBorders>
              <w:top w:val="single" w:sz="4" w:space="0" w:color="auto"/>
              <w:left w:val="single" w:sz="4" w:space="0" w:color="auto"/>
              <w:bottom w:val="single" w:sz="4" w:space="0" w:color="auto"/>
              <w:right w:val="single" w:sz="4" w:space="0" w:color="auto"/>
            </w:tcBorders>
          </w:tcPr>
          <w:p w14:paraId="1A21A105" w14:textId="77777777" w:rsidR="00924AAB" w:rsidRPr="00006031" w:rsidRDefault="00924AAB" w:rsidP="00C84941">
            <w:pPr>
              <w:pStyle w:val="Tableheader"/>
            </w:pPr>
          </w:p>
        </w:tc>
        <w:tc>
          <w:tcPr>
            <w:tcW w:w="1560" w:type="dxa"/>
            <w:tcBorders>
              <w:top w:val="single" w:sz="4" w:space="0" w:color="auto"/>
              <w:left w:val="single" w:sz="4" w:space="0" w:color="auto"/>
              <w:bottom w:val="single" w:sz="4" w:space="0" w:color="auto"/>
              <w:right w:val="single" w:sz="4" w:space="0" w:color="auto"/>
            </w:tcBorders>
            <w:vAlign w:val="center"/>
          </w:tcPr>
          <w:p w14:paraId="64658985" w14:textId="3304F56D" w:rsidR="00924AAB" w:rsidRPr="004F13AA" w:rsidRDefault="00924AAB" w:rsidP="00C84941">
            <w:pPr>
              <w:pStyle w:val="Tableheader"/>
            </w:pPr>
            <w:r w:rsidRPr="004F13AA">
              <w:t>Option 3</w:t>
            </w:r>
            <w:r w:rsidR="00272DDD" w:rsidRPr="004F13AA">
              <w:t xml:space="preserve"> </w:t>
            </w:r>
            <w:r w:rsidRPr="004F13AA">
              <w:t>(</w:t>
            </w:r>
            <w:r w:rsidR="00C65DAE" w:rsidRPr="004F13AA">
              <w:t>S</w:t>
            </w:r>
            <w:r w:rsidRPr="004F13AA">
              <w:t>tatement of ingredients)</w:t>
            </w:r>
          </w:p>
        </w:tc>
        <w:tc>
          <w:tcPr>
            <w:tcW w:w="1560" w:type="dxa"/>
            <w:tcBorders>
              <w:top w:val="single" w:sz="4" w:space="0" w:color="auto"/>
              <w:left w:val="single" w:sz="4" w:space="0" w:color="auto"/>
              <w:bottom w:val="single" w:sz="4" w:space="0" w:color="auto"/>
              <w:right w:val="single" w:sz="4" w:space="0" w:color="auto"/>
            </w:tcBorders>
            <w:vAlign w:val="center"/>
          </w:tcPr>
          <w:p w14:paraId="591DD470" w14:textId="6EFEFC52" w:rsidR="00924AAB" w:rsidRPr="004F13AA" w:rsidRDefault="00924AAB" w:rsidP="00C84941">
            <w:pPr>
              <w:pStyle w:val="Tableheader"/>
            </w:pPr>
            <w:r w:rsidRPr="004F13AA">
              <w:t>Option 4</w:t>
            </w:r>
            <w:r w:rsidR="00272DDD" w:rsidRPr="004F13AA">
              <w:t xml:space="preserve"> </w:t>
            </w:r>
            <w:r w:rsidRPr="004F13AA">
              <w:t>(Added sugars quantified in the NIP)</w:t>
            </w:r>
          </w:p>
        </w:tc>
        <w:tc>
          <w:tcPr>
            <w:tcW w:w="1560" w:type="dxa"/>
            <w:tcBorders>
              <w:top w:val="single" w:sz="4" w:space="0" w:color="auto"/>
              <w:left w:val="single" w:sz="4" w:space="0" w:color="auto"/>
              <w:bottom w:val="single" w:sz="4" w:space="0" w:color="auto"/>
              <w:right w:val="single" w:sz="4" w:space="0" w:color="auto"/>
            </w:tcBorders>
            <w:vAlign w:val="center"/>
          </w:tcPr>
          <w:p w14:paraId="0092E2E9" w14:textId="519914E6" w:rsidR="00924AAB" w:rsidRPr="004F13AA" w:rsidRDefault="00924AAB" w:rsidP="00C84941">
            <w:pPr>
              <w:pStyle w:val="Tableheader"/>
            </w:pPr>
            <w:r w:rsidRPr="004F13AA">
              <w:t>Option 6</w:t>
            </w:r>
            <w:r w:rsidR="00272DDD" w:rsidRPr="004F13AA">
              <w:t xml:space="preserve"> (Pictorial approaches - </w:t>
            </w:r>
            <w:r w:rsidRPr="004F13AA">
              <w:t>if applied to all foods)</w:t>
            </w:r>
          </w:p>
        </w:tc>
        <w:tc>
          <w:tcPr>
            <w:tcW w:w="1560" w:type="dxa"/>
            <w:tcBorders>
              <w:top w:val="single" w:sz="4" w:space="0" w:color="auto"/>
              <w:left w:val="single" w:sz="4" w:space="0" w:color="auto"/>
              <w:bottom w:val="single" w:sz="4" w:space="0" w:color="auto"/>
              <w:right w:val="single" w:sz="4" w:space="0" w:color="auto"/>
            </w:tcBorders>
            <w:vAlign w:val="center"/>
          </w:tcPr>
          <w:p w14:paraId="0C1C902D" w14:textId="5AA33429" w:rsidR="00924AAB" w:rsidRPr="004F13AA" w:rsidRDefault="00924AAB" w:rsidP="00C84941">
            <w:pPr>
              <w:pStyle w:val="Tableheader"/>
            </w:pPr>
            <w:r w:rsidRPr="004F13AA">
              <w:t>Option 6</w:t>
            </w:r>
            <w:r w:rsidR="00272DDD" w:rsidRPr="004F13AA">
              <w:t xml:space="preserve"> (Pictorial approaches - </w:t>
            </w:r>
            <w:r w:rsidRPr="004F13AA">
              <w:t xml:space="preserve">if applied only to </w:t>
            </w:r>
            <w:r w:rsidR="00CB045C" w:rsidRPr="004F13AA">
              <w:t xml:space="preserve">sugary or </w:t>
            </w:r>
            <w:r w:rsidRPr="004F13AA">
              <w:t>sugar-sweetened beverages)</w:t>
            </w:r>
          </w:p>
        </w:tc>
      </w:tr>
      <w:tr w:rsidR="00924AAB" w14:paraId="7D15A945" w14:textId="77777777" w:rsidTr="00597D82">
        <w:tc>
          <w:tcPr>
            <w:tcW w:w="2174" w:type="dxa"/>
            <w:tcBorders>
              <w:top w:val="single" w:sz="4" w:space="0" w:color="auto"/>
            </w:tcBorders>
            <w:shd w:val="clear" w:color="auto" w:fill="D9D9D9" w:themeFill="background1" w:themeFillShade="D9"/>
          </w:tcPr>
          <w:p w14:paraId="5C25C43E" w14:textId="77777777" w:rsidR="00924AAB" w:rsidRPr="00BC587F" w:rsidRDefault="00924AAB" w:rsidP="00C84941">
            <w:pPr>
              <w:pStyle w:val="Tabletext"/>
            </w:pPr>
            <w:r w:rsidRPr="00BC587F">
              <w:t>Benefits</w:t>
            </w:r>
          </w:p>
        </w:tc>
        <w:tc>
          <w:tcPr>
            <w:tcW w:w="1560" w:type="dxa"/>
            <w:tcBorders>
              <w:top w:val="single" w:sz="4" w:space="0" w:color="auto"/>
            </w:tcBorders>
            <w:shd w:val="clear" w:color="auto" w:fill="D9D9D9" w:themeFill="background1" w:themeFillShade="D9"/>
          </w:tcPr>
          <w:p w14:paraId="2FE6616E" w14:textId="77777777" w:rsidR="00924AAB" w:rsidRPr="00006031" w:rsidRDefault="00924AAB" w:rsidP="00C84941">
            <w:pPr>
              <w:pStyle w:val="Tabletext"/>
              <w:rPr>
                <w:rFonts w:cstheme="minorHAnsi"/>
              </w:rPr>
            </w:pPr>
          </w:p>
        </w:tc>
        <w:tc>
          <w:tcPr>
            <w:tcW w:w="1560" w:type="dxa"/>
            <w:tcBorders>
              <w:top w:val="single" w:sz="4" w:space="0" w:color="auto"/>
            </w:tcBorders>
            <w:shd w:val="clear" w:color="auto" w:fill="D9D9D9" w:themeFill="background1" w:themeFillShade="D9"/>
          </w:tcPr>
          <w:p w14:paraId="343489CF" w14:textId="77777777" w:rsidR="00924AAB" w:rsidRPr="00006031" w:rsidRDefault="00924AAB" w:rsidP="00C84941">
            <w:pPr>
              <w:pStyle w:val="Tabletext"/>
              <w:rPr>
                <w:rFonts w:cstheme="minorHAnsi"/>
              </w:rPr>
            </w:pPr>
          </w:p>
        </w:tc>
        <w:tc>
          <w:tcPr>
            <w:tcW w:w="1560" w:type="dxa"/>
            <w:tcBorders>
              <w:top w:val="single" w:sz="4" w:space="0" w:color="auto"/>
            </w:tcBorders>
            <w:shd w:val="clear" w:color="auto" w:fill="D9D9D9" w:themeFill="background1" w:themeFillShade="D9"/>
          </w:tcPr>
          <w:p w14:paraId="5E97A3A9" w14:textId="77777777" w:rsidR="00924AAB" w:rsidRPr="00006031" w:rsidRDefault="00924AAB" w:rsidP="00C84941">
            <w:pPr>
              <w:pStyle w:val="Tabletext"/>
              <w:rPr>
                <w:rFonts w:cstheme="minorHAnsi"/>
              </w:rPr>
            </w:pPr>
          </w:p>
        </w:tc>
        <w:tc>
          <w:tcPr>
            <w:tcW w:w="1560" w:type="dxa"/>
            <w:tcBorders>
              <w:top w:val="single" w:sz="4" w:space="0" w:color="auto"/>
            </w:tcBorders>
            <w:shd w:val="clear" w:color="auto" w:fill="D9D9D9" w:themeFill="background1" w:themeFillShade="D9"/>
          </w:tcPr>
          <w:p w14:paraId="7A6E85F3" w14:textId="77777777" w:rsidR="00924AAB" w:rsidRPr="00006031" w:rsidRDefault="00924AAB" w:rsidP="00C84941">
            <w:pPr>
              <w:pStyle w:val="Tabletext"/>
              <w:rPr>
                <w:rFonts w:cstheme="minorHAnsi"/>
              </w:rPr>
            </w:pPr>
          </w:p>
        </w:tc>
      </w:tr>
      <w:tr w:rsidR="00924AAB" w14:paraId="281E98F7" w14:textId="77777777" w:rsidTr="00BD28C6">
        <w:tc>
          <w:tcPr>
            <w:tcW w:w="2174" w:type="dxa"/>
          </w:tcPr>
          <w:p w14:paraId="430BAEC8" w14:textId="77777777" w:rsidR="00924AAB" w:rsidRPr="00006031" w:rsidRDefault="00924AAB" w:rsidP="00C84941">
            <w:pPr>
              <w:pStyle w:val="Tabletext"/>
            </w:pPr>
            <w:r w:rsidRPr="00006031">
              <w:t>Information for consumers</w:t>
            </w:r>
          </w:p>
        </w:tc>
        <w:tc>
          <w:tcPr>
            <w:tcW w:w="1560" w:type="dxa"/>
          </w:tcPr>
          <w:p w14:paraId="323D0C18" w14:textId="77777777" w:rsidR="00924AAB" w:rsidRPr="00BC587F" w:rsidRDefault="00924AAB" w:rsidP="00C84941">
            <w:pPr>
              <w:pStyle w:val="Tabletext"/>
            </w:pPr>
            <w:r w:rsidRPr="00BC587F">
              <w:t>1</w:t>
            </w:r>
          </w:p>
        </w:tc>
        <w:tc>
          <w:tcPr>
            <w:tcW w:w="1560" w:type="dxa"/>
          </w:tcPr>
          <w:p w14:paraId="6B05BB99" w14:textId="77777777" w:rsidR="00924AAB" w:rsidRPr="00BC587F" w:rsidRDefault="00924AAB" w:rsidP="00C84941">
            <w:pPr>
              <w:pStyle w:val="Tabletext"/>
            </w:pPr>
            <w:r w:rsidRPr="00BC587F">
              <w:t>2</w:t>
            </w:r>
          </w:p>
        </w:tc>
        <w:tc>
          <w:tcPr>
            <w:tcW w:w="1560" w:type="dxa"/>
          </w:tcPr>
          <w:p w14:paraId="55FAD657" w14:textId="77777777" w:rsidR="00924AAB" w:rsidRPr="00BC587F" w:rsidRDefault="00924AAB" w:rsidP="00C84941">
            <w:pPr>
              <w:pStyle w:val="Tabletext"/>
            </w:pPr>
            <w:r w:rsidRPr="00BC587F">
              <w:t>3</w:t>
            </w:r>
          </w:p>
        </w:tc>
        <w:tc>
          <w:tcPr>
            <w:tcW w:w="1560" w:type="dxa"/>
          </w:tcPr>
          <w:p w14:paraId="12FDA7E4" w14:textId="77777777" w:rsidR="00924AAB" w:rsidRPr="00BC587F" w:rsidRDefault="00924AAB" w:rsidP="00C84941">
            <w:pPr>
              <w:pStyle w:val="Tabletext"/>
            </w:pPr>
            <w:r w:rsidRPr="00BC587F">
              <w:t>3</w:t>
            </w:r>
          </w:p>
        </w:tc>
      </w:tr>
      <w:tr w:rsidR="00924AAB" w14:paraId="5FD4B125" w14:textId="77777777" w:rsidTr="00BD28C6">
        <w:tc>
          <w:tcPr>
            <w:tcW w:w="2174" w:type="dxa"/>
          </w:tcPr>
          <w:p w14:paraId="38DF0BFB" w14:textId="77777777" w:rsidR="00924AAB" w:rsidRPr="00BC587F" w:rsidRDefault="00924AAB" w:rsidP="00C84941">
            <w:pPr>
              <w:pStyle w:val="Tabletext"/>
            </w:pPr>
            <w:r w:rsidRPr="00BC587F">
              <w:t>Food reformulation</w:t>
            </w:r>
          </w:p>
        </w:tc>
        <w:tc>
          <w:tcPr>
            <w:tcW w:w="1560" w:type="dxa"/>
          </w:tcPr>
          <w:p w14:paraId="5FDB6443" w14:textId="77777777" w:rsidR="00924AAB" w:rsidRPr="00BC587F" w:rsidRDefault="00924AAB" w:rsidP="00C84941">
            <w:pPr>
              <w:pStyle w:val="Tabletext"/>
            </w:pPr>
            <w:r w:rsidRPr="00BC587F">
              <w:t>1</w:t>
            </w:r>
          </w:p>
        </w:tc>
        <w:tc>
          <w:tcPr>
            <w:tcW w:w="1560" w:type="dxa"/>
          </w:tcPr>
          <w:p w14:paraId="7EA25480" w14:textId="77777777" w:rsidR="00924AAB" w:rsidRPr="00BC587F" w:rsidRDefault="00924AAB" w:rsidP="00C84941">
            <w:pPr>
              <w:pStyle w:val="Tabletext"/>
            </w:pPr>
            <w:r w:rsidRPr="00BC587F">
              <w:t>3</w:t>
            </w:r>
          </w:p>
        </w:tc>
        <w:tc>
          <w:tcPr>
            <w:tcW w:w="1560" w:type="dxa"/>
          </w:tcPr>
          <w:p w14:paraId="34909D80" w14:textId="77777777" w:rsidR="00924AAB" w:rsidRPr="00BC587F" w:rsidRDefault="00924AAB" w:rsidP="00C84941">
            <w:pPr>
              <w:pStyle w:val="Tabletext"/>
            </w:pPr>
            <w:r w:rsidRPr="00BC587F">
              <w:t>3</w:t>
            </w:r>
          </w:p>
        </w:tc>
        <w:tc>
          <w:tcPr>
            <w:tcW w:w="1560" w:type="dxa"/>
          </w:tcPr>
          <w:p w14:paraId="2AF6F9AA" w14:textId="77777777" w:rsidR="00924AAB" w:rsidRPr="00BC587F" w:rsidRDefault="00924AAB" w:rsidP="00C84941">
            <w:pPr>
              <w:pStyle w:val="Tabletext"/>
            </w:pPr>
            <w:r w:rsidRPr="00BC587F">
              <w:t>2</w:t>
            </w:r>
          </w:p>
        </w:tc>
      </w:tr>
      <w:tr w:rsidR="00924AAB" w14:paraId="7FFE489A" w14:textId="77777777" w:rsidTr="00BD28C6">
        <w:tc>
          <w:tcPr>
            <w:tcW w:w="2174" w:type="dxa"/>
          </w:tcPr>
          <w:p w14:paraId="7D9CAFBB" w14:textId="77777777" w:rsidR="00924AAB" w:rsidRPr="00BC587F" w:rsidRDefault="00924AAB" w:rsidP="00C84941">
            <w:pPr>
              <w:pStyle w:val="Tabletext"/>
            </w:pPr>
            <w:r w:rsidRPr="00BC587F">
              <w:t>Public health sector</w:t>
            </w:r>
          </w:p>
        </w:tc>
        <w:tc>
          <w:tcPr>
            <w:tcW w:w="1560" w:type="dxa"/>
          </w:tcPr>
          <w:p w14:paraId="7F0E8A39" w14:textId="77777777" w:rsidR="00924AAB" w:rsidRPr="00BC587F" w:rsidRDefault="00924AAB" w:rsidP="00C84941">
            <w:pPr>
              <w:pStyle w:val="Tabletext"/>
            </w:pPr>
            <w:r w:rsidRPr="00BC587F">
              <w:t>1</w:t>
            </w:r>
          </w:p>
        </w:tc>
        <w:tc>
          <w:tcPr>
            <w:tcW w:w="1560" w:type="dxa"/>
          </w:tcPr>
          <w:p w14:paraId="6BD99F1F" w14:textId="77777777" w:rsidR="00924AAB" w:rsidRPr="00BC587F" w:rsidRDefault="00924AAB" w:rsidP="00C84941">
            <w:pPr>
              <w:pStyle w:val="Tabletext"/>
            </w:pPr>
            <w:r w:rsidRPr="00BC587F">
              <w:t>3</w:t>
            </w:r>
          </w:p>
        </w:tc>
        <w:tc>
          <w:tcPr>
            <w:tcW w:w="1560" w:type="dxa"/>
          </w:tcPr>
          <w:p w14:paraId="16BA5031" w14:textId="77777777" w:rsidR="00924AAB" w:rsidRPr="00BC587F" w:rsidRDefault="00924AAB" w:rsidP="00C84941">
            <w:pPr>
              <w:pStyle w:val="Tabletext"/>
            </w:pPr>
            <w:r w:rsidRPr="00BC587F">
              <w:t>2</w:t>
            </w:r>
          </w:p>
        </w:tc>
        <w:tc>
          <w:tcPr>
            <w:tcW w:w="1560" w:type="dxa"/>
          </w:tcPr>
          <w:p w14:paraId="04A318E2" w14:textId="77777777" w:rsidR="00924AAB" w:rsidRPr="00BC587F" w:rsidRDefault="00924AAB" w:rsidP="00C84941">
            <w:pPr>
              <w:pStyle w:val="Tabletext"/>
            </w:pPr>
            <w:r w:rsidRPr="00BC587F">
              <w:t>2</w:t>
            </w:r>
          </w:p>
        </w:tc>
      </w:tr>
      <w:tr w:rsidR="00924AAB" w14:paraId="37E78D10" w14:textId="77777777" w:rsidTr="00BD28C6">
        <w:tc>
          <w:tcPr>
            <w:tcW w:w="2174" w:type="dxa"/>
          </w:tcPr>
          <w:p w14:paraId="5934261E" w14:textId="77777777" w:rsidR="00924AAB" w:rsidRPr="00BC587F" w:rsidRDefault="00924AAB" w:rsidP="00C84941">
            <w:pPr>
              <w:pStyle w:val="Tabletext"/>
            </w:pPr>
            <w:r w:rsidRPr="00BC587F">
              <w:t>Healthy food choices</w:t>
            </w:r>
          </w:p>
        </w:tc>
        <w:tc>
          <w:tcPr>
            <w:tcW w:w="1560" w:type="dxa"/>
          </w:tcPr>
          <w:p w14:paraId="40A73593" w14:textId="77777777" w:rsidR="00924AAB" w:rsidRPr="00BC587F" w:rsidRDefault="00924AAB" w:rsidP="00C84941">
            <w:pPr>
              <w:pStyle w:val="Tabletext"/>
            </w:pPr>
            <w:r w:rsidRPr="00BC587F">
              <w:t>2</w:t>
            </w:r>
          </w:p>
        </w:tc>
        <w:tc>
          <w:tcPr>
            <w:tcW w:w="1560" w:type="dxa"/>
          </w:tcPr>
          <w:p w14:paraId="69BF18B9" w14:textId="77777777" w:rsidR="00924AAB" w:rsidRPr="00BC587F" w:rsidRDefault="00924AAB" w:rsidP="00C84941">
            <w:pPr>
              <w:pStyle w:val="Tabletext"/>
            </w:pPr>
            <w:r w:rsidRPr="00BC587F">
              <w:t>2</w:t>
            </w:r>
          </w:p>
        </w:tc>
        <w:tc>
          <w:tcPr>
            <w:tcW w:w="1560" w:type="dxa"/>
          </w:tcPr>
          <w:p w14:paraId="6324669E" w14:textId="77777777" w:rsidR="00924AAB" w:rsidRPr="00BC587F" w:rsidRDefault="00924AAB" w:rsidP="00C84941">
            <w:pPr>
              <w:pStyle w:val="Tabletext"/>
            </w:pPr>
            <w:r w:rsidRPr="00BC587F">
              <w:t>3</w:t>
            </w:r>
          </w:p>
        </w:tc>
        <w:tc>
          <w:tcPr>
            <w:tcW w:w="1560" w:type="dxa"/>
          </w:tcPr>
          <w:p w14:paraId="0681AD71" w14:textId="77777777" w:rsidR="00924AAB" w:rsidRPr="00BC587F" w:rsidRDefault="00924AAB" w:rsidP="00C84941">
            <w:pPr>
              <w:pStyle w:val="Tabletext"/>
            </w:pPr>
            <w:r w:rsidRPr="00BC587F">
              <w:t>3</w:t>
            </w:r>
          </w:p>
        </w:tc>
      </w:tr>
      <w:tr w:rsidR="00924AAB" w:rsidRPr="00704EB8" w14:paraId="77E94C71" w14:textId="77777777" w:rsidTr="00BD28C6">
        <w:tc>
          <w:tcPr>
            <w:tcW w:w="2174" w:type="dxa"/>
          </w:tcPr>
          <w:p w14:paraId="491B5D74" w14:textId="77777777" w:rsidR="00924AAB" w:rsidRPr="00704EB8" w:rsidRDefault="00924AAB" w:rsidP="00C84941">
            <w:pPr>
              <w:pStyle w:val="Tabletext"/>
              <w:rPr>
                <w:rStyle w:val="Emphasis"/>
              </w:rPr>
            </w:pPr>
            <w:r w:rsidRPr="00704EB8">
              <w:rPr>
                <w:rStyle w:val="Emphasis"/>
              </w:rPr>
              <w:t>Sum of benefits</w:t>
            </w:r>
          </w:p>
        </w:tc>
        <w:tc>
          <w:tcPr>
            <w:tcW w:w="1560" w:type="dxa"/>
          </w:tcPr>
          <w:p w14:paraId="39DCFF49" w14:textId="77777777" w:rsidR="00924AAB" w:rsidRPr="00704EB8" w:rsidRDefault="00924AAB" w:rsidP="00C84941">
            <w:pPr>
              <w:pStyle w:val="Tabletext"/>
              <w:rPr>
                <w:rStyle w:val="Emphasis"/>
              </w:rPr>
            </w:pPr>
            <w:r w:rsidRPr="00704EB8">
              <w:rPr>
                <w:rStyle w:val="Emphasis"/>
              </w:rPr>
              <w:t>5</w:t>
            </w:r>
          </w:p>
        </w:tc>
        <w:tc>
          <w:tcPr>
            <w:tcW w:w="1560" w:type="dxa"/>
          </w:tcPr>
          <w:p w14:paraId="6E3A6CAF" w14:textId="77777777" w:rsidR="00924AAB" w:rsidRPr="00704EB8" w:rsidRDefault="00924AAB" w:rsidP="00C84941">
            <w:pPr>
              <w:pStyle w:val="Tabletext"/>
              <w:rPr>
                <w:rStyle w:val="Emphasis"/>
              </w:rPr>
            </w:pPr>
            <w:r w:rsidRPr="00704EB8">
              <w:rPr>
                <w:rStyle w:val="Emphasis"/>
              </w:rPr>
              <w:t>10</w:t>
            </w:r>
          </w:p>
        </w:tc>
        <w:tc>
          <w:tcPr>
            <w:tcW w:w="1560" w:type="dxa"/>
          </w:tcPr>
          <w:p w14:paraId="52685542" w14:textId="77777777" w:rsidR="00924AAB" w:rsidRPr="00704EB8" w:rsidRDefault="00924AAB" w:rsidP="00C84941">
            <w:pPr>
              <w:pStyle w:val="Tabletext"/>
              <w:rPr>
                <w:rStyle w:val="Emphasis"/>
              </w:rPr>
            </w:pPr>
            <w:r w:rsidRPr="00704EB8">
              <w:rPr>
                <w:rStyle w:val="Emphasis"/>
              </w:rPr>
              <w:t>11</w:t>
            </w:r>
          </w:p>
        </w:tc>
        <w:tc>
          <w:tcPr>
            <w:tcW w:w="1560" w:type="dxa"/>
          </w:tcPr>
          <w:p w14:paraId="079B9D2C" w14:textId="77777777" w:rsidR="00924AAB" w:rsidRPr="00704EB8" w:rsidRDefault="00924AAB" w:rsidP="00C84941">
            <w:pPr>
              <w:pStyle w:val="Tabletext"/>
              <w:rPr>
                <w:rStyle w:val="Emphasis"/>
              </w:rPr>
            </w:pPr>
            <w:r w:rsidRPr="00704EB8">
              <w:rPr>
                <w:rStyle w:val="Emphasis"/>
              </w:rPr>
              <w:t>10</w:t>
            </w:r>
          </w:p>
        </w:tc>
      </w:tr>
      <w:tr w:rsidR="00924AAB" w14:paraId="510B8264" w14:textId="77777777" w:rsidTr="00597D82">
        <w:tc>
          <w:tcPr>
            <w:tcW w:w="2174" w:type="dxa"/>
            <w:shd w:val="clear" w:color="auto" w:fill="D9D9D9" w:themeFill="background1" w:themeFillShade="D9"/>
          </w:tcPr>
          <w:p w14:paraId="4C267260" w14:textId="46F2B406" w:rsidR="00924AAB" w:rsidRPr="00BC587F" w:rsidRDefault="009320D8" w:rsidP="00C84941">
            <w:pPr>
              <w:pStyle w:val="Tabletext"/>
            </w:pPr>
            <w:r w:rsidRPr="00BC587F">
              <w:t>Impacts</w:t>
            </w:r>
          </w:p>
        </w:tc>
        <w:tc>
          <w:tcPr>
            <w:tcW w:w="1560" w:type="dxa"/>
            <w:shd w:val="clear" w:color="auto" w:fill="D9D9D9" w:themeFill="background1" w:themeFillShade="D9"/>
          </w:tcPr>
          <w:p w14:paraId="79FEB94B" w14:textId="77777777" w:rsidR="00924AAB" w:rsidRPr="00006031" w:rsidRDefault="00924AAB" w:rsidP="00C84941">
            <w:pPr>
              <w:pStyle w:val="Tabletext"/>
              <w:rPr>
                <w:rFonts w:cstheme="minorHAnsi"/>
              </w:rPr>
            </w:pPr>
          </w:p>
        </w:tc>
        <w:tc>
          <w:tcPr>
            <w:tcW w:w="1560" w:type="dxa"/>
            <w:shd w:val="clear" w:color="auto" w:fill="D9D9D9" w:themeFill="background1" w:themeFillShade="D9"/>
          </w:tcPr>
          <w:p w14:paraId="3C176C14" w14:textId="77777777" w:rsidR="00924AAB" w:rsidRPr="00006031" w:rsidRDefault="00924AAB" w:rsidP="00C84941">
            <w:pPr>
              <w:pStyle w:val="Tabletext"/>
              <w:rPr>
                <w:rFonts w:cstheme="minorHAnsi"/>
              </w:rPr>
            </w:pPr>
          </w:p>
        </w:tc>
        <w:tc>
          <w:tcPr>
            <w:tcW w:w="1560" w:type="dxa"/>
            <w:shd w:val="clear" w:color="auto" w:fill="D9D9D9" w:themeFill="background1" w:themeFillShade="D9"/>
          </w:tcPr>
          <w:p w14:paraId="699A2297" w14:textId="77777777" w:rsidR="00924AAB" w:rsidRPr="00006031" w:rsidRDefault="00924AAB" w:rsidP="00C84941">
            <w:pPr>
              <w:pStyle w:val="Tabletext"/>
              <w:rPr>
                <w:rFonts w:cstheme="minorHAnsi"/>
              </w:rPr>
            </w:pPr>
          </w:p>
        </w:tc>
        <w:tc>
          <w:tcPr>
            <w:tcW w:w="1560" w:type="dxa"/>
            <w:shd w:val="clear" w:color="auto" w:fill="D9D9D9" w:themeFill="background1" w:themeFillShade="D9"/>
          </w:tcPr>
          <w:p w14:paraId="592DE733" w14:textId="77777777" w:rsidR="00924AAB" w:rsidRPr="00006031" w:rsidRDefault="00924AAB" w:rsidP="00C84941">
            <w:pPr>
              <w:pStyle w:val="Tabletext"/>
              <w:rPr>
                <w:rFonts w:cstheme="minorHAnsi"/>
              </w:rPr>
            </w:pPr>
          </w:p>
        </w:tc>
      </w:tr>
      <w:tr w:rsidR="00924AAB" w14:paraId="16756604" w14:textId="77777777" w:rsidTr="00BD28C6">
        <w:tc>
          <w:tcPr>
            <w:tcW w:w="2174" w:type="dxa"/>
          </w:tcPr>
          <w:p w14:paraId="419621A0" w14:textId="218951E2" w:rsidR="00924AAB" w:rsidRPr="00006031" w:rsidRDefault="009320D8" w:rsidP="00C84941">
            <w:pPr>
              <w:pStyle w:val="Tabletext"/>
            </w:pPr>
            <w:r>
              <w:t>Impact on</w:t>
            </w:r>
            <w:r w:rsidR="00924AAB" w:rsidRPr="00006031">
              <w:t xml:space="preserve"> food industry</w:t>
            </w:r>
          </w:p>
        </w:tc>
        <w:tc>
          <w:tcPr>
            <w:tcW w:w="1560" w:type="dxa"/>
          </w:tcPr>
          <w:p w14:paraId="3794D529" w14:textId="77777777" w:rsidR="00924AAB" w:rsidRPr="00BC587F" w:rsidRDefault="00924AAB" w:rsidP="00C84941">
            <w:pPr>
              <w:pStyle w:val="Tabletext"/>
            </w:pPr>
            <w:r w:rsidRPr="00BC587F">
              <w:t>1</w:t>
            </w:r>
          </w:p>
        </w:tc>
        <w:tc>
          <w:tcPr>
            <w:tcW w:w="1560" w:type="dxa"/>
          </w:tcPr>
          <w:p w14:paraId="63C25E28" w14:textId="77777777" w:rsidR="00924AAB" w:rsidRPr="00BC587F" w:rsidRDefault="00924AAB" w:rsidP="00C84941">
            <w:pPr>
              <w:pStyle w:val="Tabletext"/>
            </w:pPr>
            <w:r w:rsidRPr="00BC587F">
              <w:t>2</w:t>
            </w:r>
          </w:p>
        </w:tc>
        <w:tc>
          <w:tcPr>
            <w:tcW w:w="1560" w:type="dxa"/>
          </w:tcPr>
          <w:p w14:paraId="32A323B0" w14:textId="77777777" w:rsidR="00924AAB" w:rsidRPr="00BC587F" w:rsidRDefault="00924AAB" w:rsidP="00C84941">
            <w:pPr>
              <w:pStyle w:val="Tabletext"/>
            </w:pPr>
            <w:r w:rsidRPr="00BC587F">
              <w:t>3</w:t>
            </w:r>
          </w:p>
        </w:tc>
        <w:tc>
          <w:tcPr>
            <w:tcW w:w="1560" w:type="dxa"/>
          </w:tcPr>
          <w:p w14:paraId="379CD3C8" w14:textId="77777777" w:rsidR="00924AAB" w:rsidRPr="00BC587F" w:rsidRDefault="00924AAB" w:rsidP="00C84941">
            <w:pPr>
              <w:pStyle w:val="Tabletext"/>
            </w:pPr>
            <w:r w:rsidRPr="00BC587F">
              <w:t>1</w:t>
            </w:r>
          </w:p>
        </w:tc>
      </w:tr>
      <w:tr w:rsidR="00924AAB" w14:paraId="21EAED7E" w14:textId="77777777" w:rsidTr="00BD28C6">
        <w:tc>
          <w:tcPr>
            <w:tcW w:w="2174" w:type="dxa"/>
          </w:tcPr>
          <w:p w14:paraId="30D7706F" w14:textId="77777777" w:rsidR="00924AAB" w:rsidRPr="00BC587F" w:rsidRDefault="00924AAB" w:rsidP="00C84941">
            <w:pPr>
              <w:pStyle w:val="Tabletext"/>
            </w:pPr>
            <w:r w:rsidRPr="00BC587F">
              <w:t>Impacts on food label</w:t>
            </w:r>
          </w:p>
        </w:tc>
        <w:tc>
          <w:tcPr>
            <w:tcW w:w="1560" w:type="dxa"/>
          </w:tcPr>
          <w:p w14:paraId="54012904" w14:textId="77777777" w:rsidR="00924AAB" w:rsidRPr="00BC587F" w:rsidRDefault="00924AAB" w:rsidP="00C84941">
            <w:pPr>
              <w:pStyle w:val="Tabletext"/>
            </w:pPr>
            <w:r w:rsidRPr="00BC587F">
              <w:t>1</w:t>
            </w:r>
          </w:p>
        </w:tc>
        <w:tc>
          <w:tcPr>
            <w:tcW w:w="1560" w:type="dxa"/>
          </w:tcPr>
          <w:p w14:paraId="4B8F5E5C" w14:textId="77777777" w:rsidR="00924AAB" w:rsidRPr="00BC587F" w:rsidRDefault="00924AAB" w:rsidP="00C84941">
            <w:pPr>
              <w:pStyle w:val="Tabletext"/>
            </w:pPr>
            <w:r w:rsidRPr="00BC587F">
              <w:t>1</w:t>
            </w:r>
          </w:p>
        </w:tc>
        <w:tc>
          <w:tcPr>
            <w:tcW w:w="1560" w:type="dxa"/>
          </w:tcPr>
          <w:p w14:paraId="5623DC71" w14:textId="77777777" w:rsidR="00924AAB" w:rsidRPr="00BC587F" w:rsidRDefault="00924AAB" w:rsidP="00C84941">
            <w:pPr>
              <w:pStyle w:val="Tabletext"/>
            </w:pPr>
            <w:r w:rsidRPr="00BC587F">
              <w:t>3</w:t>
            </w:r>
          </w:p>
        </w:tc>
        <w:tc>
          <w:tcPr>
            <w:tcW w:w="1560" w:type="dxa"/>
          </w:tcPr>
          <w:p w14:paraId="38CCBFE8" w14:textId="77777777" w:rsidR="00924AAB" w:rsidRPr="00BC587F" w:rsidRDefault="00924AAB" w:rsidP="00C84941">
            <w:pPr>
              <w:pStyle w:val="Tabletext"/>
            </w:pPr>
            <w:r w:rsidRPr="00BC587F">
              <w:t>2</w:t>
            </w:r>
          </w:p>
        </w:tc>
      </w:tr>
      <w:tr w:rsidR="00924AAB" w14:paraId="3E8DABCE" w14:textId="77777777" w:rsidTr="00BD28C6">
        <w:tc>
          <w:tcPr>
            <w:tcW w:w="2174" w:type="dxa"/>
          </w:tcPr>
          <w:p w14:paraId="4CA5B5D1" w14:textId="77777777" w:rsidR="00924AAB" w:rsidRPr="00006031" w:rsidRDefault="00924AAB" w:rsidP="00C84941">
            <w:pPr>
              <w:pStyle w:val="Tabletext"/>
            </w:pPr>
            <w:r w:rsidRPr="00006031">
              <w:t>Impacts on food regulators</w:t>
            </w:r>
          </w:p>
        </w:tc>
        <w:tc>
          <w:tcPr>
            <w:tcW w:w="1560" w:type="dxa"/>
          </w:tcPr>
          <w:p w14:paraId="0C3CF1DD" w14:textId="77777777" w:rsidR="00924AAB" w:rsidRPr="00BC587F" w:rsidRDefault="00924AAB" w:rsidP="00C84941">
            <w:pPr>
              <w:pStyle w:val="Tabletext"/>
            </w:pPr>
            <w:r w:rsidRPr="00BC587F">
              <w:t>1</w:t>
            </w:r>
          </w:p>
        </w:tc>
        <w:tc>
          <w:tcPr>
            <w:tcW w:w="1560" w:type="dxa"/>
          </w:tcPr>
          <w:p w14:paraId="19176415" w14:textId="77777777" w:rsidR="00924AAB" w:rsidRPr="00BC587F" w:rsidRDefault="00924AAB" w:rsidP="00C84941">
            <w:pPr>
              <w:pStyle w:val="Tabletext"/>
            </w:pPr>
            <w:r w:rsidRPr="00BC587F">
              <w:t>2</w:t>
            </w:r>
          </w:p>
        </w:tc>
        <w:tc>
          <w:tcPr>
            <w:tcW w:w="1560" w:type="dxa"/>
          </w:tcPr>
          <w:p w14:paraId="31674755" w14:textId="77777777" w:rsidR="00924AAB" w:rsidRPr="00BC587F" w:rsidRDefault="00924AAB" w:rsidP="00C84941">
            <w:pPr>
              <w:pStyle w:val="Tabletext"/>
            </w:pPr>
            <w:r w:rsidRPr="00BC587F">
              <w:t>2</w:t>
            </w:r>
          </w:p>
        </w:tc>
        <w:tc>
          <w:tcPr>
            <w:tcW w:w="1560" w:type="dxa"/>
          </w:tcPr>
          <w:p w14:paraId="62284937" w14:textId="77777777" w:rsidR="00924AAB" w:rsidRPr="00BC587F" w:rsidRDefault="00924AAB" w:rsidP="00C84941">
            <w:pPr>
              <w:pStyle w:val="Tabletext"/>
            </w:pPr>
            <w:r w:rsidRPr="00BC587F">
              <w:t>2</w:t>
            </w:r>
          </w:p>
        </w:tc>
      </w:tr>
      <w:tr w:rsidR="00924AAB" w14:paraId="506217A5" w14:textId="77777777" w:rsidTr="00BD28C6">
        <w:tc>
          <w:tcPr>
            <w:tcW w:w="2174" w:type="dxa"/>
          </w:tcPr>
          <w:p w14:paraId="5C04DC18" w14:textId="77777777" w:rsidR="00924AAB" w:rsidRPr="00BC587F" w:rsidRDefault="00924AAB" w:rsidP="00C84941">
            <w:pPr>
              <w:pStyle w:val="Tabletext"/>
            </w:pPr>
            <w:r w:rsidRPr="00BC587F">
              <w:t>Impacts on consumer understanding</w:t>
            </w:r>
          </w:p>
        </w:tc>
        <w:tc>
          <w:tcPr>
            <w:tcW w:w="1560" w:type="dxa"/>
          </w:tcPr>
          <w:p w14:paraId="417C71E4" w14:textId="77777777" w:rsidR="00924AAB" w:rsidRPr="00BC587F" w:rsidRDefault="00924AAB" w:rsidP="00C84941">
            <w:pPr>
              <w:pStyle w:val="Tabletext"/>
            </w:pPr>
            <w:r w:rsidRPr="00BC587F">
              <w:t>3</w:t>
            </w:r>
          </w:p>
        </w:tc>
        <w:tc>
          <w:tcPr>
            <w:tcW w:w="1560" w:type="dxa"/>
          </w:tcPr>
          <w:p w14:paraId="5E2A0441" w14:textId="77777777" w:rsidR="00924AAB" w:rsidRPr="00BC587F" w:rsidRDefault="00924AAB" w:rsidP="00C84941">
            <w:pPr>
              <w:pStyle w:val="Tabletext"/>
            </w:pPr>
            <w:r w:rsidRPr="00BC587F">
              <w:t>1</w:t>
            </w:r>
          </w:p>
        </w:tc>
        <w:tc>
          <w:tcPr>
            <w:tcW w:w="1560" w:type="dxa"/>
          </w:tcPr>
          <w:p w14:paraId="0CF215F2" w14:textId="77777777" w:rsidR="00924AAB" w:rsidRPr="00BC587F" w:rsidRDefault="00924AAB" w:rsidP="00C84941">
            <w:pPr>
              <w:pStyle w:val="Tabletext"/>
            </w:pPr>
            <w:r w:rsidRPr="00BC587F">
              <w:t>3</w:t>
            </w:r>
          </w:p>
        </w:tc>
        <w:tc>
          <w:tcPr>
            <w:tcW w:w="1560" w:type="dxa"/>
          </w:tcPr>
          <w:p w14:paraId="3E40A0B5" w14:textId="77777777" w:rsidR="00924AAB" w:rsidRPr="00BC587F" w:rsidRDefault="00924AAB" w:rsidP="00C84941">
            <w:pPr>
              <w:pStyle w:val="Tabletext"/>
            </w:pPr>
            <w:r w:rsidRPr="00BC587F">
              <w:t>2</w:t>
            </w:r>
          </w:p>
        </w:tc>
      </w:tr>
      <w:tr w:rsidR="00924AAB" w14:paraId="261263F2" w14:textId="77777777" w:rsidTr="00BD28C6">
        <w:tc>
          <w:tcPr>
            <w:tcW w:w="2174" w:type="dxa"/>
          </w:tcPr>
          <w:p w14:paraId="5E31F140" w14:textId="77777777" w:rsidR="00924AAB" w:rsidRPr="00704EB8" w:rsidRDefault="00924AAB" w:rsidP="00C84941">
            <w:pPr>
              <w:pStyle w:val="Tabletext"/>
              <w:rPr>
                <w:rStyle w:val="Emphasis"/>
              </w:rPr>
            </w:pPr>
            <w:r w:rsidRPr="00704EB8">
              <w:rPr>
                <w:rStyle w:val="Emphasis"/>
              </w:rPr>
              <w:t>Sum of costs</w:t>
            </w:r>
          </w:p>
        </w:tc>
        <w:tc>
          <w:tcPr>
            <w:tcW w:w="1560" w:type="dxa"/>
          </w:tcPr>
          <w:p w14:paraId="3D011C10" w14:textId="77777777" w:rsidR="00924AAB" w:rsidRPr="00704EB8" w:rsidRDefault="00924AAB" w:rsidP="00C84941">
            <w:pPr>
              <w:pStyle w:val="Tabletext"/>
              <w:rPr>
                <w:rStyle w:val="Emphasis"/>
              </w:rPr>
            </w:pPr>
            <w:r w:rsidRPr="00704EB8">
              <w:rPr>
                <w:rStyle w:val="Emphasis"/>
              </w:rPr>
              <w:t>6</w:t>
            </w:r>
          </w:p>
        </w:tc>
        <w:tc>
          <w:tcPr>
            <w:tcW w:w="1560" w:type="dxa"/>
          </w:tcPr>
          <w:p w14:paraId="6E9E564B" w14:textId="77777777" w:rsidR="00924AAB" w:rsidRPr="00704EB8" w:rsidRDefault="00924AAB" w:rsidP="00C84941">
            <w:pPr>
              <w:pStyle w:val="Tabletext"/>
              <w:rPr>
                <w:rStyle w:val="Emphasis"/>
              </w:rPr>
            </w:pPr>
            <w:r w:rsidRPr="00704EB8">
              <w:rPr>
                <w:rStyle w:val="Emphasis"/>
              </w:rPr>
              <w:t>6</w:t>
            </w:r>
          </w:p>
        </w:tc>
        <w:tc>
          <w:tcPr>
            <w:tcW w:w="1560" w:type="dxa"/>
          </w:tcPr>
          <w:p w14:paraId="4B617C33" w14:textId="77777777" w:rsidR="00924AAB" w:rsidRPr="00704EB8" w:rsidRDefault="00924AAB" w:rsidP="00C84941">
            <w:pPr>
              <w:pStyle w:val="Tabletext"/>
              <w:rPr>
                <w:rStyle w:val="Emphasis"/>
              </w:rPr>
            </w:pPr>
            <w:r w:rsidRPr="00704EB8">
              <w:rPr>
                <w:rStyle w:val="Emphasis"/>
              </w:rPr>
              <w:t>11</w:t>
            </w:r>
          </w:p>
        </w:tc>
        <w:tc>
          <w:tcPr>
            <w:tcW w:w="1560" w:type="dxa"/>
          </w:tcPr>
          <w:p w14:paraId="75E67B3A" w14:textId="77777777" w:rsidR="00924AAB" w:rsidRPr="00704EB8" w:rsidRDefault="00924AAB" w:rsidP="00C84941">
            <w:pPr>
              <w:pStyle w:val="Tabletext"/>
              <w:rPr>
                <w:rStyle w:val="Emphasis"/>
              </w:rPr>
            </w:pPr>
            <w:r w:rsidRPr="00704EB8">
              <w:rPr>
                <w:rStyle w:val="Emphasis"/>
              </w:rPr>
              <w:t>7</w:t>
            </w:r>
          </w:p>
        </w:tc>
      </w:tr>
      <w:tr w:rsidR="00924AAB" w14:paraId="2D2E16A7" w14:textId="77777777" w:rsidTr="00597D82">
        <w:trPr>
          <w:trHeight w:val="172"/>
        </w:trPr>
        <w:tc>
          <w:tcPr>
            <w:tcW w:w="2174" w:type="dxa"/>
            <w:shd w:val="clear" w:color="auto" w:fill="D9D9D9" w:themeFill="background1" w:themeFillShade="D9"/>
          </w:tcPr>
          <w:p w14:paraId="2A9108C4" w14:textId="77777777" w:rsidR="00924AAB" w:rsidRPr="00704EB8" w:rsidRDefault="00924AAB" w:rsidP="00C84941">
            <w:pPr>
              <w:pStyle w:val="Tabletext"/>
              <w:rPr>
                <w:rStyle w:val="Emphasis"/>
              </w:rPr>
            </w:pPr>
            <w:r w:rsidRPr="00704EB8">
              <w:rPr>
                <w:rStyle w:val="Emphasis"/>
              </w:rPr>
              <w:t>Net benefit</w:t>
            </w:r>
          </w:p>
        </w:tc>
        <w:tc>
          <w:tcPr>
            <w:tcW w:w="1560" w:type="dxa"/>
            <w:shd w:val="clear" w:color="auto" w:fill="D9D9D9" w:themeFill="background1" w:themeFillShade="D9"/>
          </w:tcPr>
          <w:p w14:paraId="190A167B" w14:textId="77777777" w:rsidR="00924AAB" w:rsidRPr="00704EB8" w:rsidRDefault="00924AAB" w:rsidP="00C84941">
            <w:pPr>
              <w:pStyle w:val="Tabletext"/>
              <w:rPr>
                <w:rStyle w:val="Emphasis"/>
              </w:rPr>
            </w:pPr>
            <w:r w:rsidRPr="00704EB8">
              <w:rPr>
                <w:rStyle w:val="Emphasis"/>
              </w:rPr>
              <w:t>-1</w:t>
            </w:r>
          </w:p>
        </w:tc>
        <w:tc>
          <w:tcPr>
            <w:tcW w:w="1560" w:type="dxa"/>
            <w:shd w:val="clear" w:color="auto" w:fill="D9D9D9" w:themeFill="background1" w:themeFillShade="D9"/>
          </w:tcPr>
          <w:p w14:paraId="330D26E7" w14:textId="77777777" w:rsidR="00924AAB" w:rsidRPr="00704EB8" w:rsidRDefault="00924AAB" w:rsidP="00C84941">
            <w:pPr>
              <w:pStyle w:val="Tabletext"/>
              <w:rPr>
                <w:rStyle w:val="Emphasis"/>
              </w:rPr>
            </w:pPr>
            <w:r w:rsidRPr="00704EB8">
              <w:rPr>
                <w:rStyle w:val="Emphasis"/>
              </w:rPr>
              <w:t>+4</w:t>
            </w:r>
          </w:p>
        </w:tc>
        <w:tc>
          <w:tcPr>
            <w:tcW w:w="1560" w:type="dxa"/>
            <w:shd w:val="clear" w:color="auto" w:fill="D9D9D9" w:themeFill="background1" w:themeFillShade="D9"/>
          </w:tcPr>
          <w:p w14:paraId="1A9A4AEE" w14:textId="77777777" w:rsidR="00924AAB" w:rsidRPr="00704EB8" w:rsidRDefault="00924AAB" w:rsidP="00C84941">
            <w:pPr>
              <w:pStyle w:val="Tabletext"/>
              <w:rPr>
                <w:rStyle w:val="Emphasis"/>
              </w:rPr>
            </w:pPr>
            <w:r w:rsidRPr="00704EB8">
              <w:rPr>
                <w:rStyle w:val="Emphasis"/>
              </w:rPr>
              <w:t>0</w:t>
            </w:r>
          </w:p>
        </w:tc>
        <w:tc>
          <w:tcPr>
            <w:tcW w:w="1560" w:type="dxa"/>
            <w:shd w:val="clear" w:color="auto" w:fill="D9D9D9" w:themeFill="background1" w:themeFillShade="D9"/>
          </w:tcPr>
          <w:p w14:paraId="2C394C3A" w14:textId="77777777" w:rsidR="00924AAB" w:rsidRPr="00704EB8" w:rsidRDefault="00924AAB" w:rsidP="00C84941">
            <w:pPr>
              <w:pStyle w:val="Tabletext"/>
              <w:rPr>
                <w:rStyle w:val="Emphasis"/>
              </w:rPr>
            </w:pPr>
            <w:r w:rsidRPr="00704EB8">
              <w:rPr>
                <w:rStyle w:val="Emphasis"/>
              </w:rPr>
              <w:t>+3</w:t>
            </w:r>
          </w:p>
        </w:tc>
      </w:tr>
    </w:tbl>
    <w:p w14:paraId="27E4AC47" w14:textId="26341B42" w:rsidR="006B33B9" w:rsidRDefault="00F25EF3" w:rsidP="00314A5D">
      <w:pPr>
        <w:pStyle w:val="Heading2"/>
      </w:pPr>
      <w:bookmarkStart w:id="48" w:name="_Toc3905543"/>
      <w:bookmarkStart w:id="49" w:name="_Toc6323591"/>
      <w:r>
        <w:t>Option</w:t>
      </w:r>
      <w:r w:rsidR="003E42EE">
        <w:t xml:space="preserve"> with greatest potential</w:t>
      </w:r>
      <w:bookmarkEnd w:id="48"/>
      <w:bookmarkEnd w:id="49"/>
    </w:p>
    <w:p w14:paraId="0AB1E089" w14:textId="48AFC756" w:rsidR="006B33B9" w:rsidRPr="00BC587F" w:rsidRDefault="006B33B9" w:rsidP="00BC587F">
      <w:r w:rsidRPr="00BC587F">
        <w:t xml:space="preserve">This </w:t>
      </w:r>
      <w:r w:rsidR="002E75FE" w:rsidRPr="00BC587F">
        <w:t xml:space="preserve">preliminary </w:t>
      </w:r>
      <w:r w:rsidRPr="00BC587F">
        <w:t xml:space="preserve">analysis of the policy options has identified that Option 4 </w:t>
      </w:r>
      <w:r w:rsidR="002E75FE" w:rsidRPr="00BC587F">
        <w:t>has the greatest potential</w:t>
      </w:r>
      <w:r w:rsidRPr="00BC587F">
        <w:t xml:space="preserve"> as it best meets the desired outcome and pr</w:t>
      </w:r>
      <w:r w:rsidR="005015B8" w:rsidRPr="00BC587F">
        <w:t>ovides a positive net benefit.</w:t>
      </w:r>
    </w:p>
    <w:p w14:paraId="64FF98D8" w14:textId="197B30F0" w:rsidR="006B33B9" w:rsidRPr="00BC587F" w:rsidRDefault="006B33B9" w:rsidP="00BC587F">
      <w:r w:rsidRPr="00BC587F">
        <w:t>Costs associated with Option 4 are minimised as it draws on an existing element of the food label, the NIP, so therefore it is unlikely to necessitate major label redesign costs for industry or confuse consumers by overly emphasising added sugars at the expense</w:t>
      </w:r>
      <w:r w:rsidR="005015B8" w:rsidRPr="00BC587F">
        <w:t xml:space="preserve"> of other nutrients of concern.</w:t>
      </w:r>
    </w:p>
    <w:p w14:paraId="3C9795B3" w14:textId="21EDF0E8" w:rsidR="006B33B9" w:rsidRPr="00BC587F" w:rsidRDefault="006B33B9" w:rsidP="00BC587F">
      <w:r w:rsidRPr="00BC587F">
        <w:t xml:space="preserve">Applying Option 6 to only </w:t>
      </w:r>
      <w:r w:rsidR="00CB045C" w:rsidRPr="00BC587F">
        <w:t>sugary beverages</w:t>
      </w:r>
      <w:r w:rsidR="00224E44" w:rsidRPr="00BC587F">
        <w:t xml:space="preserve"> </w:t>
      </w:r>
      <w:r w:rsidR="00CB045C" w:rsidRPr="00BC587F">
        <w:t xml:space="preserve">/ </w:t>
      </w:r>
      <w:r w:rsidRPr="00BC587F">
        <w:t>sugar-sweetened beverages warrants further consideration. As one of t</w:t>
      </w:r>
      <w:r w:rsidR="00CA717B" w:rsidRPr="00BC587F">
        <w:t>he justifications for applying O</w:t>
      </w:r>
      <w:r w:rsidRPr="00BC587F">
        <w:t xml:space="preserve">ption 6 only to </w:t>
      </w:r>
      <w:r w:rsidR="00CB045C" w:rsidRPr="00BC587F">
        <w:t>sugary beverages</w:t>
      </w:r>
      <w:r w:rsidR="00224E44" w:rsidRPr="00BC587F">
        <w:t xml:space="preserve"> </w:t>
      </w:r>
      <w:r w:rsidR="00CB045C" w:rsidRPr="00BC587F">
        <w:t xml:space="preserve">/ </w:t>
      </w:r>
      <w:r w:rsidRPr="00BC587F">
        <w:t>sugar-sweetened beverages was the low coverage of the HSR star icon on beverages, it is recommended this option be considered further following the recommendations from the HSR five-year review and the Forum’s response.</w:t>
      </w:r>
    </w:p>
    <w:p w14:paraId="7FD77557" w14:textId="6E996395" w:rsidR="006B33B9" w:rsidRPr="00CB626B" w:rsidRDefault="006B33B9" w:rsidP="00314A5D">
      <w:pPr>
        <w:pStyle w:val="Heading2"/>
      </w:pPr>
      <w:bookmarkStart w:id="50" w:name="_Toc2252871"/>
      <w:bookmarkStart w:id="51" w:name="_Toc3905544"/>
      <w:bookmarkStart w:id="52" w:name="_Toc6323592"/>
      <w:r w:rsidRPr="00CB626B">
        <w:t>Implementation</w:t>
      </w:r>
      <w:bookmarkEnd w:id="50"/>
      <w:bookmarkEnd w:id="51"/>
      <w:bookmarkEnd w:id="52"/>
    </w:p>
    <w:p w14:paraId="0B0A9567" w14:textId="47B44931" w:rsidR="006B33B9" w:rsidRPr="00BC587F" w:rsidRDefault="002E75FE" w:rsidP="00BC587F">
      <w:r w:rsidRPr="00BC587F">
        <w:t xml:space="preserve">This policy paper represents a preliminary analysis of potential options for labelling of sugars on packaged foods and drinks. </w:t>
      </w:r>
      <w:r w:rsidR="006625BA" w:rsidRPr="00BC587F">
        <w:t>F</w:t>
      </w:r>
      <w:r w:rsidR="006B33B9" w:rsidRPr="00BC587F">
        <w:t xml:space="preserve">urther consultation and analysis </w:t>
      </w:r>
      <w:proofErr w:type="gramStart"/>
      <w:r w:rsidR="006B33B9" w:rsidRPr="00BC587F">
        <w:t>is</w:t>
      </w:r>
      <w:proofErr w:type="gramEnd"/>
      <w:r w:rsidR="006B33B9" w:rsidRPr="00BC587F">
        <w:t xml:space="preserve"> required to consider the full costs and impacts of Option 4 and implementation details. </w:t>
      </w:r>
      <w:r w:rsidR="006625BA" w:rsidRPr="00BC587F">
        <w:t>FSANZ is best placed to undertake this work and i</w:t>
      </w:r>
      <w:r w:rsidR="006B33B9" w:rsidRPr="00BC587F">
        <w:t xml:space="preserve">t is recommended that the Forum request FSANZ to review nutrition labelling for </w:t>
      </w:r>
      <w:r w:rsidR="001E6B9C" w:rsidRPr="00BC587F">
        <w:t xml:space="preserve">added </w:t>
      </w:r>
      <w:r w:rsidR="006B33B9" w:rsidRPr="00BC587F">
        <w:t xml:space="preserve">sugars </w:t>
      </w:r>
      <w:proofErr w:type="gramStart"/>
      <w:r w:rsidR="006B33B9" w:rsidRPr="00BC587F">
        <w:t>in light of</w:t>
      </w:r>
      <w:proofErr w:type="gramEnd"/>
      <w:r w:rsidR="006B33B9" w:rsidRPr="00BC587F">
        <w:t xml:space="preserve"> the </w:t>
      </w:r>
      <w:r w:rsidRPr="00BC587F">
        <w:t xml:space="preserve">analysis and conclusions </w:t>
      </w:r>
      <w:r w:rsidR="006B33B9" w:rsidRPr="00BC587F">
        <w:t>in this report.</w:t>
      </w:r>
    </w:p>
    <w:p w14:paraId="30123C54" w14:textId="452C2EE1" w:rsidR="006B33B9" w:rsidRPr="00BC587F" w:rsidRDefault="006B33B9" w:rsidP="00BC587F">
      <w:r w:rsidRPr="00BC587F">
        <w:t xml:space="preserve">Under the legislated requirements in the </w:t>
      </w:r>
      <w:r w:rsidRPr="00AB590F">
        <w:rPr>
          <w:i/>
        </w:rPr>
        <w:t>FSANZ Act 1991</w:t>
      </w:r>
      <w:r w:rsidR="00EB309A" w:rsidRPr="00BC587F">
        <w:t>,</w:t>
      </w:r>
      <w:r w:rsidRPr="00BC587F">
        <w:t xml:space="preserve"> FSANZ is required to consider whether the costs to the community, government and/or industry outweigh the benefits; and that there are no othe</w:t>
      </w:r>
      <w:r w:rsidR="005015B8" w:rsidRPr="00BC587F">
        <w:t>r more cost-effective measures.</w:t>
      </w:r>
    </w:p>
    <w:p w14:paraId="46A126ED" w14:textId="52B432D5" w:rsidR="006B33B9" w:rsidRPr="00BC587F" w:rsidRDefault="006B33B9" w:rsidP="00BC587F">
      <w:r w:rsidRPr="00BC587F">
        <w:t xml:space="preserve">In </w:t>
      </w:r>
      <w:r w:rsidR="005345F5" w:rsidRPr="00BC587F">
        <w:t>reviewing</w:t>
      </w:r>
      <w:r w:rsidRPr="00BC587F">
        <w:t xml:space="preserve"> </w:t>
      </w:r>
      <w:r w:rsidR="001E6B9C" w:rsidRPr="00BC587F">
        <w:t>nutrition labelling for added sugars</w:t>
      </w:r>
      <w:r w:rsidRPr="00BC587F">
        <w:t xml:space="preserve"> it is recommended that FSANZ consider:</w:t>
      </w:r>
    </w:p>
    <w:p w14:paraId="2F5F25B8" w14:textId="46FC13F4" w:rsidR="006B33B9" w:rsidRPr="00C84941" w:rsidRDefault="006B33B9" w:rsidP="00C84941">
      <w:pPr>
        <w:pStyle w:val="Bullets"/>
      </w:pPr>
      <w:r w:rsidRPr="00C84941">
        <w:t>consumer understanding of added sugars</w:t>
      </w:r>
      <w:r w:rsidR="005345F5" w:rsidRPr="00C84941">
        <w:t>,</w:t>
      </w:r>
    </w:p>
    <w:p w14:paraId="7036D297" w14:textId="74AEAC25" w:rsidR="006B33B9" w:rsidRPr="00C84941" w:rsidRDefault="006B33B9" w:rsidP="00C84941">
      <w:pPr>
        <w:pStyle w:val="Bullets"/>
      </w:pPr>
      <w:r w:rsidRPr="00C84941">
        <w:t>NIP layout and formatting</w:t>
      </w:r>
      <w:r w:rsidR="001E6B9C" w:rsidRPr="00C84941">
        <w:t xml:space="preserve"> that could</w:t>
      </w:r>
      <w:r w:rsidRPr="00C84941">
        <w:t xml:space="preserve"> support consumer understanding and interpretation of added sugars information,</w:t>
      </w:r>
    </w:p>
    <w:p w14:paraId="0239E764" w14:textId="1F0541A5" w:rsidR="006B33B9" w:rsidRPr="00C84941" w:rsidRDefault="006B33B9" w:rsidP="00C84941">
      <w:pPr>
        <w:pStyle w:val="Bullets"/>
      </w:pPr>
      <w:r w:rsidRPr="00C84941">
        <w:t xml:space="preserve">implementation and technical issues such as which sugars </w:t>
      </w:r>
      <w:proofErr w:type="gramStart"/>
      <w:r w:rsidRPr="00C84941">
        <w:t>are</w:t>
      </w:r>
      <w:r w:rsidR="005015B8" w:rsidRPr="00C84941">
        <w:t xml:space="preserve"> considered to be</w:t>
      </w:r>
      <w:proofErr w:type="gramEnd"/>
      <w:r w:rsidR="005015B8" w:rsidRPr="00C84941">
        <w:t xml:space="preserve"> added sugars,</w:t>
      </w:r>
    </w:p>
    <w:p w14:paraId="026E969D" w14:textId="77777777" w:rsidR="006B33B9" w:rsidRPr="00C84941" w:rsidRDefault="006B33B9" w:rsidP="00C84941">
      <w:pPr>
        <w:pStyle w:val="Bullets"/>
      </w:pPr>
      <w:r w:rsidRPr="00C84941">
        <w:t xml:space="preserve">ensuring that the sugars which </w:t>
      </w:r>
      <w:proofErr w:type="gramStart"/>
      <w:r w:rsidRPr="00C84941">
        <w:t>are considered to be</w:t>
      </w:r>
      <w:proofErr w:type="gramEnd"/>
      <w:r w:rsidRPr="00C84941">
        <w:t xml:space="preserve"> added sugars is unambiguous, comprehensive and based on evidence,</w:t>
      </w:r>
    </w:p>
    <w:p w14:paraId="6794A9C0" w14:textId="2DB0BB96" w:rsidR="006B33B9" w:rsidRPr="00C84941" w:rsidRDefault="006B33B9" w:rsidP="00C84941">
      <w:pPr>
        <w:pStyle w:val="Bullets"/>
      </w:pPr>
      <w:r w:rsidRPr="00C84941">
        <w:t xml:space="preserve">methods for calculating and quantifying added sugars, and tools and support for industry and regulators to quantify added sugars </w:t>
      </w:r>
      <w:r w:rsidR="00ED73C7" w:rsidRPr="00C84941">
        <w:t>in foods</w:t>
      </w:r>
      <w:r w:rsidRPr="00C84941">
        <w:t>,</w:t>
      </w:r>
    </w:p>
    <w:p w14:paraId="4D411BBD" w14:textId="77777777" w:rsidR="006B33B9" w:rsidRPr="00C84941" w:rsidRDefault="006B33B9" w:rsidP="00C84941">
      <w:pPr>
        <w:pStyle w:val="Bullets"/>
      </w:pPr>
      <w:r w:rsidRPr="00C84941">
        <w:t>potential changes to claims such as ‘no added sugar’ in the Code to ensure there are no inconsistencies in the Code or consumer confusion in relation to sugars labelling,</w:t>
      </w:r>
    </w:p>
    <w:p w14:paraId="55D1F08F" w14:textId="77777777" w:rsidR="006B33B9" w:rsidRPr="00C84941" w:rsidRDefault="006B33B9" w:rsidP="00C84941">
      <w:pPr>
        <w:pStyle w:val="Bullets"/>
      </w:pPr>
      <w:r w:rsidRPr="00C84941">
        <w:t>the most appropriate regulatory approach (</w:t>
      </w:r>
      <w:proofErr w:type="gramStart"/>
      <w:r w:rsidRPr="00C84941">
        <w:t>e.g.</w:t>
      </w:r>
      <w:proofErr w:type="gramEnd"/>
      <w:r w:rsidRPr="00C84941">
        <w:t xml:space="preserve"> mandatory or voluntary labelling),</w:t>
      </w:r>
    </w:p>
    <w:p w14:paraId="7206820D" w14:textId="3B4D4D82" w:rsidR="006B33B9" w:rsidRPr="00C84941" w:rsidRDefault="001E6B9C" w:rsidP="00C84941">
      <w:pPr>
        <w:pStyle w:val="Bullets"/>
      </w:pPr>
      <w:r w:rsidRPr="00C84941">
        <w:t xml:space="preserve">potential </w:t>
      </w:r>
      <w:r w:rsidR="006B33B9" w:rsidRPr="00C84941">
        <w:t xml:space="preserve">impacts on trade, including whether a </w:t>
      </w:r>
      <w:proofErr w:type="gramStart"/>
      <w:r w:rsidR="006B33B9" w:rsidRPr="00C84941">
        <w:t>technical barriers</w:t>
      </w:r>
      <w:proofErr w:type="gramEnd"/>
      <w:r w:rsidR="006B33B9" w:rsidRPr="00C84941">
        <w:t xml:space="preserve"> to trade notification is required,</w:t>
      </w:r>
    </w:p>
    <w:p w14:paraId="78BD6791" w14:textId="5A05F943" w:rsidR="006B33B9" w:rsidRPr="00C84941" w:rsidRDefault="006B33B9" w:rsidP="00C84941">
      <w:pPr>
        <w:pStyle w:val="Bullets"/>
      </w:pPr>
      <w:r w:rsidRPr="00C84941">
        <w:t xml:space="preserve">relevant transition periods and alignment of transition periods </w:t>
      </w:r>
      <w:r w:rsidR="00ED73C7" w:rsidRPr="00C84941">
        <w:t>for changes to</w:t>
      </w:r>
      <w:r w:rsidRPr="00C84941">
        <w:t xml:space="preserve"> other labelling standards (where relevant),</w:t>
      </w:r>
      <w:r w:rsidR="00ED73C7" w:rsidRPr="00C84941">
        <w:t xml:space="preserve"> </w:t>
      </w:r>
      <w:r w:rsidR="006625BA" w:rsidRPr="00C84941">
        <w:t>and</w:t>
      </w:r>
    </w:p>
    <w:p w14:paraId="153B2E46" w14:textId="75BB5F41" w:rsidR="006B33B9" w:rsidRDefault="006B33B9" w:rsidP="00C84941">
      <w:pPr>
        <w:pStyle w:val="Bullets"/>
      </w:pPr>
      <w:r w:rsidRPr="00C84941">
        <w:t>exemptions fo</w:t>
      </w:r>
      <w:r w:rsidR="00ED73C7" w:rsidRPr="00C84941">
        <w:t xml:space="preserve">r particular product categories </w:t>
      </w:r>
      <w:proofErr w:type="gramStart"/>
      <w:r w:rsidRPr="00C84941">
        <w:t>where</w:t>
      </w:r>
      <w:proofErr w:type="gramEnd"/>
      <w:r w:rsidR="00ED73C7" w:rsidRPr="00C84941">
        <w:t>,</w:t>
      </w:r>
      <w:r w:rsidRPr="00C84941">
        <w:t xml:space="preserve"> </w:t>
      </w:r>
      <w:r w:rsidR="00ED73C7" w:rsidRPr="00C84941">
        <w:t xml:space="preserve">for example, </w:t>
      </w:r>
      <w:r w:rsidRPr="00C84941">
        <w:t xml:space="preserve">declarations of added sugars may be inappropriate, confusing </w:t>
      </w:r>
      <w:r>
        <w:t>or misleading to consumers</w:t>
      </w:r>
      <w:r w:rsidR="005015B8">
        <w:t>.</w:t>
      </w:r>
    </w:p>
    <w:p w14:paraId="12EC9B29" w14:textId="77777777" w:rsidR="006B33B9" w:rsidRPr="00BC587F" w:rsidRDefault="006B33B9" w:rsidP="00BC587F">
      <w:r w:rsidRPr="00BC587F">
        <w:t>If Option 6 is to be considered further, key issues to consider are:</w:t>
      </w:r>
    </w:p>
    <w:p w14:paraId="32C20BD2" w14:textId="4E8BDE57" w:rsidR="006625BA" w:rsidRPr="005015B8" w:rsidRDefault="006625BA" w:rsidP="00C84941">
      <w:pPr>
        <w:pStyle w:val="Bullets"/>
      </w:pPr>
      <w:r w:rsidRPr="005015B8">
        <w:t>outcomes of the HSR review in relation to beverages</w:t>
      </w:r>
      <w:r w:rsidR="00244D89" w:rsidRPr="005015B8">
        <w:t>,</w:t>
      </w:r>
    </w:p>
    <w:p w14:paraId="79D8FFD4" w14:textId="06F44D22" w:rsidR="00A14533" w:rsidRPr="005015B8" w:rsidRDefault="00AD446A" w:rsidP="00C84941">
      <w:pPr>
        <w:pStyle w:val="Bullets"/>
      </w:pPr>
      <w:r w:rsidRPr="005015B8">
        <w:t>w</w:t>
      </w:r>
      <w:r w:rsidR="00A14533" w:rsidRPr="005015B8">
        <w:t xml:space="preserve">hich beverages </w:t>
      </w:r>
      <w:proofErr w:type="gramStart"/>
      <w:r w:rsidR="00A14533" w:rsidRPr="005015B8">
        <w:t>are considered to be</w:t>
      </w:r>
      <w:proofErr w:type="gramEnd"/>
      <w:r w:rsidR="00A14533" w:rsidRPr="005015B8">
        <w:t xml:space="preserve"> sugary beverages and sugar-sweetened beverages,</w:t>
      </w:r>
    </w:p>
    <w:p w14:paraId="70264BEB" w14:textId="08445CAF" w:rsidR="006B33B9" w:rsidRPr="005015B8" w:rsidRDefault="006B33B9" w:rsidP="00C84941">
      <w:pPr>
        <w:pStyle w:val="Bullets"/>
      </w:pPr>
      <w:r w:rsidRPr="005015B8">
        <w:t xml:space="preserve">whether the </w:t>
      </w:r>
      <w:r w:rsidR="00CB045C" w:rsidRPr="005015B8">
        <w:t>pictorial labels should be applied to sugary beverages</w:t>
      </w:r>
      <w:r w:rsidR="00224E44" w:rsidRPr="005015B8">
        <w:t xml:space="preserve"> </w:t>
      </w:r>
      <w:r w:rsidR="00CB045C" w:rsidRPr="005015B8">
        <w:t xml:space="preserve">/ sugar-sweetened beverages, or the </w:t>
      </w:r>
      <w:r w:rsidRPr="005015B8">
        <w:t xml:space="preserve">broader category of beverages </w:t>
      </w:r>
      <w:r w:rsidR="00CB045C" w:rsidRPr="005015B8">
        <w:t>(</w:t>
      </w:r>
      <w:r w:rsidRPr="005015B8">
        <w:t>to enable comparison</w:t>
      </w:r>
      <w:r w:rsidR="00CB045C" w:rsidRPr="005015B8">
        <w:t>)</w:t>
      </w:r>
      <w:r w:rsidRPr="005015B8">
        <w:t>,</w:t>
      </w:r>
    </w:p>
    <w:p w14:paraId="083B5F33" w14:textId="77777777" w:rsidR="006B33B9" w:rsidRPr="005015B8" w:rsidRDefault="006B33B9" w:rsidP="00C84941">
      <w:pPr>
        <w:pStyle w:val="Bullets"/>
      </w:pPr>
      <w:r w:rsidRPr="005015B8">
        <w:t>whether the pictorial labels would present total or added sugars, and</w:t>
      </w:r>
    </w:p>
    <w:p w14:paraId="325B116B" w14:textId="5ED127E5" w:rsidR="006B33B9" w:rsidRPr="00AB7D96" w:rsidRDefault="006B33B9" w:rsidP="00C84941">
      <w:pPr>
        <w:pStyle w:val="Bullets"/>
      </w:pPr>
      <w:r w:rsidRPr="005015B8">
        <w:t>consumer</w:t>
      </w:r>
      <w:r w:rsidR="006625BA" w:rsidRPr="005015B8">
        <w:t>s’</w:t>
      </w:r>
      <w:r w:rsidRPr="005015B8">
        <w:t xml:space="preserve"> understanding of pictorial labels</w:t>
      </w:r>
      <w:r w:rsidR="005015B8">
        <w:t>.</w:t>
      </w:r>
      <w:r w:rsidRPr="00AB7D96">
        <w:br w:type="page"/>
      </w:r>
    </w:p>
    <w:p w14:paraId="638FE5A0" w14:textId="61B9D815" w:rsidR="00316D3C" w:rsidRPr="00CB626B" w:rsidRDefault="00316D3C" w:rsidP="00314A5D">
      <w:pPr>
        <w:pStyle w:val="Heading1nonumbers"/>
      </w:pPr>
      <w:bookmarkStart w:id="53" w:name="_Toc6323593"/>
      <w:r w:rsidRPr="00CB626B">
        <w:t>Introduction</w:t>
      </w:r>
      <w:bookmarkEnd w:id="5"/>
      <w:bookmarkEnd w:id="53"/>
    </w:p>
    <w:p w14:paraId="226920FD" w14:textId="77777777" w:rsidR="00316D3C" w:rsidRPr="00CB626B" w:rsidRDefault="00316D3C" w:rsidP="00314A5D">
      <w:pPr>
        <w:pStyle w:val="Heading2"/>
        <w:rPr>
          <w:lang w:eastAsia="zh-CN" w:bidi="th-TH"/>
        </w:rPr>
      </w:pPr>
      <w:bookmarkStart w:id="54" w:name="_Toc3905546"/>
      <w:bookmarkStart w:id="55" w:name="_Toc6323594"/>
      <w:r w:rsidRPr="00CB626B">
        <w:rPr>
          <w:lang w:eastAsia="zh-CN" w:bidi="th-TH"/>
        </w:rPr>
        <w:t>Purpose of this paper</w:t>
      </w:r>
      <w:bookmarkEnd w:id="54"/>
      <w:bookmarkEnd w:id="55"/>
    </w:p>
    <w:p w14:paraId="0FC1433E" w14:textId="27A3B914" w:rsidR="00CF78D5" w:rsidRPr="00A16691" w:rsidRDefault="00316D3C" w:rsidP="00BC587F">
      <w:pPr>
        <w:rPr>
          <w:lang w:eastAsia="zh-CN" w:bidi="th-TH"/>
        </w:rPr>
      </w:pPr>
      <w:r w:rsidRPr="00CB626B">
        <w:rPr>
          <w:lang w:eastAsia="zh-CN" w:bidi="th-TH"/>
        </w:rPr>
        <w:t xml:space="preserve">This </w:t>
      </w:r>
      <w:r w:rsidR="00CC7FB4">
        <w:rPr>
          <w:lang w:eastAsia="zh-CN" w:bidi="th-TH"/>
        </w:rPr>
        <w:t>Policy Paper</w:t>
      </w:r>
      <w:r w:rsidRPr="00CB626B">
        <w:rPr>
          <w:lang w:eastAsia="zh-CN" w:bidi="th-TH"/>
        </w:rPr>
        <w:t xml:space="preserve"> has been prepared </w:t>
      </w:r>
      <w:r w:rsidR="0030677C" w:rsidRPr="00CB626B">
        <w:rPr>
          <w:lang w:eastAsia="zh-CN" w:bidi="th-TH"/>
        </w:rPr>
        <w:t xml:space="preserve">by the Food Regulation Standing Committee (FRSC) </w:t>
      </w:r>
      <w:r w:rsidR="0099521C">
        <w:rPr>
          <w:lang w:eastAsia="zh-CN" w:bidi="th-TH"/>
        </w:rPr>
        <w:t xml:space="preserve">to provide advice </w:t>
      </w:r>
      <w:r w:rsidR="005C33CC">
        <w:rPr>
          <w:lang w:eastAsia="zh-CN" w:bidi="th-TH"/>
        </w:rPr>
        <w:t xml:space="preserve">to the </w:t>
      </w:r>
      <w:r w:rsidRPr="00CB626B">
        <w:rPr>
          <w:lang w:eastAsia="zh-CN" w:bidi="th-TH"/>
        </w:rPr>
        <w:t xml:space="preserve">Australia and New Zealand Ministerial Forum on Food Regulation (the Forum) </w:t>
      </w:r>
      <w:r w:rsidR="005C33CC">
        <w:rPr>
          <w:lang w:eastAsia="zh-CN" w:bidi="th-TH"/>
        </w:rPr>
        <w:t>on</w:t>
      </w:r>
      <w:r w:rsidRPr="00CB626B">
        <w:rPr>
          <w:lang w:eastAsia="zh-CN" w:bidi="th-TH"/>
        </w:rPr>
        <w:t xml:space="preserve"> </w:t>
      </w:r>
      <w:r w:rsidR="005C33CC">
        <w:rPr>
          <w:lang w:eastAsia="zh-CN" w:bidi="th-TH"/>
        </w:rPr>
        <w:t>policy option</w:t>
      </w:r>
      <w:r w:rsidR="0099521C">
        <w:rPr>
          <w:lang w:eastAsia="zh-CN" w:bidi="th-TH"/>
        </w:rPr>
        <w:t>s</w:t>
      </w:r>
      <w:r w:rsidR="005C33CC">
        <w:rPr>
          <w:lang w:eastAsia="zh-CN" w:bidi="th-TH"/>
        </w:rPr>
        <w:t xml:space="preserve"> </w:t>
      </w:r>
      <w:r w:rsidR="00870342" w:rsidRPr="00CB626B">
        <w:rPr>
          <w:lang w:eastAsia="zh-CN" w:bidi="th-TH"/>
        </w:rPr>
        <w:t>for</w:t>
      </w:r>
      <w:r w:rsidRPr="00CB626B">
        <w:rPr>
          <w:lang w:eastAsia="zh-CN" w:bidi="th-TH"/>
        </w:rPr>
        <w:t xml:space="preserve"> </w:t>
      </w:r>
      <w:r w:rsidR="005C33CC">
        <w:rPr>
          <w:lang w:eastAsia="zh-CN" w:bidi="th-TH"/>
        </w:rPr>
        <w:t xml:space="preserve">the </w:t>
      </w:r>
      <w:r w:rsidRPr="00CB626B">
        <w:rPr>
          <w:lang w:eastAsia="zh-CN" w:bidi="th-TH"/>
        </w:rPr>
        <w:t xml:space="preserve">labelling of sugars on packaged foods and drinks </w:t>
      </w:r>
      <w:r w:rsidR="00E051A9" w:rsidRPr="00CB626B">
        <w:rPr>
          <w:lang w:eastAsia="zh-CN" w:bidi="th-TH"/>
        </w:rPr>
        <w:t xml:space="preserve">for sale </w:t>
      </w:r>
      <w:r w:rsidR="005015B8">
        <w:rPr>
          <w:lang w:eastAsia="zh-CN" w:bidi="th-TH"/>
        </w:rPr>
        <w:t>in Australia and New Zealand.</w:t>
      </w:r>
    </w:p>
    <w:p w14:paraId="2FE55D95" w14:textId="1A1C4C16" w:rsidR="002863E7" w:rsidRPr="00CB626B" w:rsidRDefault="00181998" w:rsidP="00314A5D">
      <w:pPr>
        <w:pStyle w:val="Heading2"/>
      </w:pPr>
      <w:bookmarkStart w:id="56" w:name="_Toc3905547"/>
      <w:bookmarkStart w:id="57" w:name="_Toc6323595"/>
      <w:r>
        <w:rPr>
          <w:lang w:eastAsia="zh-CN" w:bidi="th-TH"/>
        </w:rPr>
        <w:t>S</w:t>
      </w:r>
      <w:r w:rsidR="002863E7" w:rsidRPr="00CB626B">
        <w:rPr>
          <w:lang w:eastAsia="zh-CN" w:bidi="th-TH"/>
        </w:rPr>
        <w:t>cope and terminology</w:t>
      </w:r>
      <w:bookmarkEnd w:id="56"/>
      <w:bookmarkEnd w:id="57"/>
    </w:p>
    <w:p w14:paraId="3482B0AF" w14:textId="5E792880" w:rsidR="00DD22B1" w:rsidRPr="00CB626B" w:rsidRDefault="00316D3C" w:rsidP="00BC587F">
      <w:r w:rsidRPr="00CB626B">
        <w:t xml:space="preserve">The scope of this paper is limited to information about sugars on labels of packaged </w:t>
      </w:r>
      <w:r w:rsidR="005C56F6" w:rsidRPr="00CB626B">
        <w:t>foods and drinks</w:t>
      </w:r>
      <w:r w:rsidRPr="00CB626B">
        <w:t xml:space="preserve">. </w:t>
      </w:r>
      <w:r w:rsidR="003C5E1C" w:rsidRPr="00CB626B">
        <w:t xml:space="preserve">Food and drinks not required to be labelled </w:t>
      </w:r>
      <w:r w:rsidRPr="00CB626B">
        <w:t>(</w:t>
      </w:r>
      <w:proofErr w:type="gramStart"/>
      <w:r w:rsidRPr="00CB626B">
        <w:t>e.g.</w:t>
      </w:r>
      <w:proofErr w:type="gramEnd"/>
      <w:r w:rsidRPr="00CB626B">
        <w:t xml:space="preserve"> a </w:t>
      </w:r>
      <w:r w:rsidR="005C56F6" w:rsidRPr="00CB626B">
        <w:t>slice of cake served at a restaurant</w:t>
      </w:r>
      <w:r w:rsidR="002221D9" w:rsidRPr="00CB626B">
        <w:t>, or a soft drink served in a glass at a restaurant</w:t>
      </w:r>
      <w:r w:rsidRPr="00CB626B">
        <w:t xml:space="preserve">) </w:t>
      </w:r>
      <w:r w:rsidR="002221D9" w:rsidRPr="00CB626B">
        <w:t>are</w:t>
      </w:r>
      <w:r w:rsidRPr="00CB626B">
        <w:t xml:space="preserve"> out of scope.</w:t>
      </w:r>
    </w:p>
    <w:p w14:paraId="14C0EE23" w14:textId="77777777" w:rsidR="0071573D" w:rsidRPr="00CB626B" w:rsidRDefault="000F022D" w:rsidP="00BC587F">
      <w:r w:rsidRPr="00CB626B">
        <w:t>It is also rele</w:t>
      </w:r>
      <w:r w:rsidR="0071573D" w:rsidRPr="00CB626B">
        <w:t>vant to note that in this paper, the following terminology:</w:t>
      </w:r>
    </w:p>
    <w:p w14:paraId="487C6FE8" w14:textId="60CE7AB0" w:rsidR="0071573D" w:rsidRPr="00CB626B" w:rsidRDefault="0071573D" w:rsidP="00C84941">
      <w:pPr>
        <w:pStyle w:val="Bullets"/>
      </w:pPr>
      <w:r w:rsidRPr="00CB626B">
        <w:t>‘F</w:t>
      </w:r>
      <w:r w:rsidR="000F022D" w:rsidRPr="00CB626B">
        <w:t>ood’ refers t</w:t>
      </w:r>
      <w:r w:rsidR="00ED063B" w:rsidRPr="00CB626B">
        <w:t>o</w:t>
      </w:r>
      <w:r w:rsidRPr="00CB626B">
        <w:t xml:space="preserve"> foods</w:t>
      </w:r>
      <w:r w:rsidR="00DD22B1" w:rsidRPr="00CB626B">
        <w:t xml:space="preserve"> and </w:t>
      </w:r>
      <w:r w:rsidRPr="00CB626B">
        <w:t>drinks,</w:t>
      </w:r>
    </w:p>
    <w:p w14:paraId="19AE141D" w14:textId="612047FA" w:rsidR="001A0883" w:rsidRPr="00CB626B" w:rsidRDefault="0071573D" w:rsidP="00C84941">
      <w:pPr>
        <w:pStyle w:val="Bullets"/>
      </w:pPr>
      <w:r w:rsidRPr="00CB626B">
        <w:t>‘Dietary Guidelines’ refers to both the Australian Dietary Guidelines and New</w:t>
      </w:r>
      <w:r w:rsidR="008E1457">
        <w:t> </w:t>
      </w:r>
      <w:r w:rsidRPr="00CB626B">
        <w:t>Zealand Eating and Activity Guidelines, unless otherwise specified</w:t>
      </w:r>
      <w:r w:rsidR="001A0883">
        <w:t>.</w:t>
      </w:r>
    </w:p>
    <w:p w14:paraId="0D4BF37A" w14:textId="1032E4AC" w:rsidR="001A0883" w:rsidRPr="001A0883" w:rsidRDefault="00DD22B1" w:rsidP="00AB590F">
      <w:r w:rsidRPr="00CB626B">
        <w:t>‘</w:t>
      </w:r>
      <w:r w:rsidR="0071573D" w:rsidRPr="00CB626B">
        <w:t>A</w:t>
      </w:r>
      <w:r w:rsidRPr="00CB626B">
        <w:t>dded sugar</w:t>
      </w:r>
      <w:r w:rsidR="009F2E3E" w:rsidRPr="00CB626B">
        <w:t>s</w:t>
      </w:r>
      <w:r w:rsidRPr="00CB626B">
        <w:t>’ refers to any sugar</w:t>
      </w:r>
      <w:r w:rsidR="00A44B68" w:rsidRPr="00CB626B">
        <w:t>s</w:t>
      </w:r>
      <w:r w:rsidRPr="00CB626B">
        <w:t>-based ingredients added to foods by manufacturers during processing or manufacturing, or by consumers and cooks during food preparation or at the time of</w:t>
      </w:r>
      <w:r w:rsidR="0071573D" w:rsidRPr="00CB626B">
        <w:t xml:space="preserve"> consumption</w:t>
      </w:r>
      <w:r w:rsidR="00C93A66" w:rsidRPr="00CB626B">
        <w:t>. In this paper,</w:t>
      </w:r>
      <w:r w:rsidR="00935489">
        <w:t xml:space="preserve"> the term</w:t>
      </w:r>
      <w:r w:rsidR="00C93A66" w:rsidRPr="00CB626B">
        <w:t xml:space="preserve"> ‘added </w:t>
      </w:r>
      <w:proofErr w:type="gramStart"/>
      <w:r w:rsidR="00C93A66" w:rsidRPr="00CB626B">
        <w:t>sugars’</w:t>
      </w:r>
      <w:proofErr w:type="gramEnd"/>
      <w:r w:rsidR="00C93A66" w:rsidRPr="00CB626B">
        <w:t xml:space="preserve"> may include what are referred to as ‘free sugars’</w:t>
      </w:r>
      <w:r w:rsidR="0071573D" w:rsidRPr="00CB626B">
        <w:rPr>
          <w:rStyle w:val="FootnoteReference"/>
        </w:rPr>
        <w:footnoteReference w:id="9"/>
      </w:r>
      <w:r w:rsidR="0071573D" w:rsidRPr="00CB626B">
        <w:t xml:space="preserve"> such as honey</w:t>
      </w:r>
      <w:r w:rsidR="00C93A66" w:rsidRPr="00CB626B">
        <w:t xml:space="preserve">. </w:t>
      </w:r>
      <w:r w:rsidRPr="00CB626B">
        <w:t xml:space="preserve">The exact </w:t>
      </w:r>
      <w:r w:rsidR="0071573D" w:rsidRPr="00CB626B">
        <w:t>specifications about</w:t>
      </w:r>
      <w:r w:rsidRPr="00CB626B">
        <w:t xml:space="preserve"> which </w:t>
      </w:r>
      <w:r w:rsidR="009F2E3E" w:rsidRPr="00CB626B">
        <w:t xml:space="preserve">particular types of </w:t>
      </w:r>
      <w:r w:rsidR="0071573D" w:rsidRPr="00CB626B">
        <w:t>sugars are considered to be ‘added</w:t>
      </w:r>
      <w:r w:rsidR="00832373" w:rsidRPr="00CB626B">
        <w:t xml:space="preserve"> sugars</w:t>
      </w:r>
      <w:r w:rsidR="0071573D" w:rsidRPr="00CB626B">
        <w:t>’ or otherwise are</w:t>
      </w:r>
      <w:r w:rsidRPr="00CB626B">
        <w:t xml:space="preserve"> not considered in this </w:t>
      </w:r>
      <w:proofErr w:type="gramStart"/>
      <w:r w:rsidRPr="00CB626B">
        <w:t>paper, but</w:t>
      </w:r>
      <w:proofErr w:type="gramEnd"/>
      <w:r w:rsidRPr="00CB626B">
        <w:t xml:space="preserve"> would be considered as part of the implementation of any policy options. </w:t>
      </w:r>
      <w:r w:rsidR="009F2E3E" w:rsidRPr="00CB626B">
        <w:t>These are technical details which do not impact the policy options being proposed or the analysis of the proposed options.</w:t>
      </w:r>
    </w:p>
    <w:p w14:paraId="3D27BCB5" w14:textId="77777777" w:rsidR="005C56F6" w:rsidRPr="00CB626B" w:rsidRDefault="005C56F6" w:rsidP="00314A5D">
      <w:pPr>
        <w:pStyle w:val="Heading1nonumbers"/>
        <w:rPr>
          <w:lang w:eastAsia="zh-CN" w:bidi="th-TH"/>
        </w:rPr>
      </w:pPr>
      <w:bookmarkStart w:id="58" w:name="_Toc6323596"/>
      <w:r w:rsidRPr="00CB626B">
        <w:rPr>
          <w:lang w:eastAsia="zh-CN" w:bidi="th-TH"/>
        </w:rPr>
        <w:t>Background</w:t>
      </w:r>
      <w:bookmarkEnd w:id="58"/>
    </w:p>
    <w:p w14:paraId="077514AF" w14:textId="7F775D93" w:rsidR="005C56F6" w:rsidRPr="00CB626B" w:rsidRDefault="005C56F6" w:rsidP="00BC587F">
      <w:pPr>
        <w:rPr>
          <w:lang w:eastAsia="zh-CN" w:bidi="th-TH"/>
        </w:rPr>
      </w:pPr>
      <w:r w:rsidRPr="00CB626B">
        <w:rPr>
          <w:lang w:eastAsia="zh-CN" w:bidi="th-TH"/>
        </w:rPr>
        <w:t>New Zealand and Australia share a joint system for food labelling. In 2009, the Legislative and Governance Forum on Food Regulation (</w:t>
      </w:r>
      <w:proofErr w:type="spellStart"/>
      <w:r w:rsidRPr="00CB626B">
        <w:rPr>
          <w:lang w:eastAsia="zh-CN" w:bidi="th-TH"/>
        </w:rPr>
        <w:t>FoFR</w:t>
      </w:r>
      <w:proofErr w:type="spellEnd"/>
      <w:r w:rsidRPr="00CB626B">
        <w:rPr>
          <w:lang w:eastAsia="zh-CN" w:bidi="th-TH"/>
        </w:rPr>
        <w:t>) (now Australia and New Zealand Ministerial Forum on Food Regulation (the Forum))</w:t>
      </w:r>
      <w:r w:rsidRPr="00CB626B">
        <w:rPr>
          <w:rStyle w:val="FootnoteReference"/>
          <w:lang w:eastAsia="zh-CN" w:bidi="th-TH"/>
        </w:rPr>
        <w:footnoteReference w:id="10"/>
      </w:r>
      <w:r w:rsidRPr="00CB626B">
        <w:rPr>
          <w:lang w:eastAsia="zh-CN" w:bidi="th-TH"/>
        </w:rPr>
        <w:t xml:space="preserve"> agreed to a comprehensive independent review of food labelling law and policy. An expert panel, chaired by Dr Neal </w:t>
      </w:r>
      <w:proofErr w:type="spellStart"/>
      <w:r w:rsidRPr="00CB626B">
        <w:rPr>
          <w:lang w:eastAsia="zh-CN" w:bidi="th-TH"/>
        </w:rPr>
        <w:t>Blewett</w:t>
      </w:r>
      <w:proofErr w:type="spellEnd"/>
      <w:r w:rsidRPr="00CB626B">
        <w:rPr>
          <w:lang w:eastAsia="zh-CN" w:bidi="th-TH"/>
        </w:rPr>
        <w:t xml:space="preserve"> AC, undertook the review and the panel’s final report, </w:t>
      </w:r>
      <w:r w:rsidRPr="007D5E2A">
        <w:rPr>
          <w:rStyle w:val="Emphasis"/>
        </w:rPr>
        <w:t>Labelling Logic: Review of Food Labelling Law and Policy (Labelling Logic)</w:t>
      </w:r>
      <w:r w:rsidRPr="00CB626B">
        <w:rPr>
          <w:lang w:eastAsia="zh-CN" w:bidi="th-TH"/>
        </w:rPr>
        <w:t xml:space="preserve"> was </w:t>
      </w:r>
      <w:proofErr w:type="spellStart"/>
      <w:r w:rsidRPr="00CB626B">
        <w:rPr>
          <w:lang w:eastAsia="zh-CN" w:bidi="th-TH"/>
        </w:rPr>
        <w:t>publically</w:t>
      </w:r>
      <w:proofErr w:type="spellEnd"/>
      <w:r w:rsidRPr="00CB626B">
        <w:rPr>
          <w:lang w:eastAsia="zh-CN" w:bidi="th-TH"/>
        </w:rPr>
        <w:t xml:space="preserve"> released in January 2011.</w:t>
      </w:r>
    </w:p>
    <w:p w14:paraId="31A73F4A" w14:textId="565BCE47" w:rsidR="00316D3C" w:rsidRPr="00CB626B" w:rsidRDefault="00316D3C" w:rsidP="00BC587F">
      <w:r w:rsidRPr="00CB626B">
        <w:t xml:space="preserve">Recommendation 12 </w:t>
      </w:r>
      <w:r w:rsidR="005C56F6" w:rsidRPr="00CB626B">
        <w:t>of</w:t>
      </w:r>
      <w:r w:rsidRPr="00CB626B">
        <w:t xml:space="preserve"> </w:t>
      </w:r>
      <w:r w:rsidRPr="00C84941">
        <w:rPr>
          <w:rStyle w:val="Emphasis"/>
        </w:rPr>
        <w:t>Labelling Logic</w:t>
      </w:r>
      <w:r w:rsidR="005C56F6" w:rsidRPr="00C84941">
        <w:rPr>
          <w:rStyle w:val="Emphasis"/>
        </w:rPr>
        <w:t xml:space="preserve"> was</w:t>
      </w:r>
      <w:r w:rsidRPr="00C84941">
        <w:rPr>
          <w:rStyle w:val="Emphasis"/>
        </w:rPr>
        <w:t xml:space="preserve"> ‘That where sugars, fats or vegetable oils are added as separate ingredients in a food, the terms ‘added sugars’ and ‘added fats’ and/or ‘added vegetable oils’ be used in the ingredient list as the generic term, followed by a bracketed list (e.g. added sugars (fructose, glucose syrup, honey), added fats (palm oil, milk fat) or added vegetable oils (sunflower oil, palm oil)</w:t>
      </w:r>
      <w:r w:rsidRPr="007D5E2A">
        <w:rPr>
          <w:rStyle w:val="Emphasis"/>
        </w:rPr>
        <w:t>’.</w:t>
      </w:r>
    </w:p>
    <w:p w14:paraId="7346404E" w14:textId="7B058C6A" w:rsidR="0030677C" w:rsidRPr="00CB626B" w:rsidRDefault="0030677C" w:rsidP="00BC587F">
      <w:r w:rsidRPr="00CB626B">
        <w:t>In response to Recommendation 12, the Forum asked Food Standards Australia New</w:t>
      </w:r>
      <w:r w:rsidR="00BF5CF9">
        <w:t> </w:t>
      </w:r>
      <w:r w:rsidRPr="00CB626B">
        <w:t xml:space="preserve">Zealand </w:t>
      </w:r>
      <w:r w:rsidR="005B73C5" w:rsidRPr="00CB626B">
        <w:t>(</w:t>
      </w:r>
      <w:r w:rsidR="00F60083" w:rsidRPr="00CB626B">
        <w:t>FSANZ</w:t>
      </w:r>
      <w:r w:rsidR="005B73C5" w:rsidRPr="00CB626B">
        <w:t xml:space="preserve">) </w:t>
      </w:r>
      <w:r w:rsidRPr="00CB626B">
        <w:t>to undertake a technical evaluation and provide advice on the proposed changes to the ingredient listing. The technical evaluation is available</w:t>
      </w:r>
      <w:r w:rsidR="002863E7" w:rsidRPr="00CB626B">
        <w:t xml:space="preserve"> on the FSANZ website</w:t>
      </w:r>
      <w:r w:rsidR="002863E7" w:rsidRPr="00CB626B">
        <w:rPr>
          <w:rStyle w:val="FootnoteReference"/>
        </w:rPr>
        <w:footnoteReference w:id="11"/>
      </w:r>
      <w:r w:rsidR="007D5E2A">
        <w:t>.</w:t>
      </w:r>
    </w:p>
    <w:p w14:paraId="3A124D5E" w14:textId="5A3DFAD5" w:rsidR="0030677C" w:rsidRPr="00166D40" w:rsidRDefault="0030677C" w:rsidP="00BC587F">
      <w:r w:rsidRPr="00166D40">
        <w:t>In November 2016</w:t>
      </w:r>
      <w:r w:rsidRPr="0070624D">
        <w:t xml:space="preserve">, </w:t>
      </w:r>
      <w:r w:rsidRPr="00166D40">
        <w:t>the Forum considered the technical evaluation and advice prepared by FSANZ on Recommendation 12.</w:t>
      </w:r>
      <w:r w:rsidR="00CE1415" w:rsidRPr="00E170DA">
        <w:t xml:space="preserve"> </w:t>
      </w:r>
      <w:r w:rsidRPr="00166D40">
        <w:t>In recognising the complexity of the issues involved, the Forum agreed to further investigate the labelling of sugars and fats/vegetable oils as two separate pieces of work.</w:t>
      </w:r>
    </w:p>
    <w:p w14:paraId="7FBBB9F4" w14:textId="32E4E5D4" w:rsidR="0030677C" w:rsidRPr="0070624D" w:rsidRDefault="0030677C" w:rsidP="00BC587F">
      <w:r w:rsidRPr="0070624D">
        <w:t>In relation to sugars, the Forum requested FSANZ, in consultation with FRSC, prepare a program of work to further investigate labelling approaches for providing information on sugars.</w:t>
      </w:r>
    </w:p>
    <w:p w14:paraId="5FD9B582" w14:textId="17E2C7E6" w:rsidR="0030677C" w:rsidRPr="00166D40" w:rsidRDefault="00C14915" w:rsidP="00BC587F">
      <w:r w:rsidRPr="00166D40">
        <w:t xml:space="preserve">The first stage of the </w:t>
      </w:r>
      <w:r w:rsidR="0030677C" w:rsidRPr="00166D40">
        <w:t>program of work involved the development of three documents to understand the issue of sugar</w:t>
      </w:r>
      <w:r w:rsidR="00832373" w:rsidRPr="00166D40">
        <w:t>s</w:t>
      </w:r>
      <w:r w:rsidR="0030677C" w:rsidRPr="00166D40">
        <w:t xml:space="preserve"> and sugar</w:t>
      </w:r>
      <w:r w:rsidR="00832373" w:rsidRPr="00166D40">
        <w:t>s</w:t>
      </w:r>
      <w:r w:rsidR="0030677C" w:rsidRPr="00166D40">
        <w:t xml:space="preserve"> labelling</w:t>
      </w:r>
      <w:r w:rsidR="00FD3A13" w:rsidRPr="00166D40">
        <w:t xml:space="preserve"> in Australia and New Zealand. </w:t>
      </w:r>
      <w:r w:rsidR="0030677C" w:rsidRPr="00166D40">
        <w:t>These documents</w:t>
      </w:r>
      <w:r w:rsidR="005837C6" w:rsidRPr="00DB3BF5">
        <w:rPr>
          <w:rStyle w:val="FootnoteReference"/>
        </w:rPr>
        <w:footnoteReference w:id="12"/>
      </w:r>
      <w:r w:rsidR="007D5E2A" w:rsidRPr="00166D40">
        <w:t xml:space="preserve"> were:</w:t>
      </w:r>
    </w:p>
    <w:p w14:paraId="3E151D69" w14:textId="444996A2" w:rsidR="0030677C" w:rsidRPr="00CB626B" w:rsidRDefault="0030677C" w:rsidP="00C84941">
      <w:pPr>
        <w:pStyle w:val="Bullets"/>
      </w:pPr>
      <w:r w:rsidRPr="00CB626B">
        <w:t>Literature review relating to sugars a</w:t>
      </w:r>
      <w:r w:rsidR="007D5E2A">
        <w:t xml:space="preserve">nd food </w:t>
      </w:r>
      <w:proofErr w:type="gramStart"/>
      <w:r w:rsidR="007D5E2A">
        <w:t>labelling</w:t>
      </w:r>
      <w:proofErr w:type="gramEnd"/>
    </w:p>
    <w:p w14:paraId="4B160F2C" w14:textId="40CB584C" w:rsidR="0030677C" w:rsidRPr="00CB626B" w:rsidRDefault="0030677C" w:rsidP="00C84941">
      <w:pPr>
        <w:pStyle w:val="Bullets"/>
      </w:pPr>
      <w:r w:rsidRPr="00CB626B">
        <w:t>Report on international sugar</w:t>
      </w:r>
      <w:r w:rsidR="00A44B68" w:rsidRPr="00CB626B">
        <w:t>s</w:t>
      </w:r>
      <w:r w:rsidR="007D5E2A">
        <w:t xml:space="preserve"> labelling </w:t>
      </w:r>
      <w:proofErr w:type="gramStart"/>
      <w:r w:rsidR="007D5E2A">
        <w:t>approaches</w:t>
      </w:r>
      <w:proofErr w:type="gramEnd"/>
    </w:p>
    <w:p w14:paraId="450DA5CE" w14:textId="3119AE2E" w:rsidR="00EF0803" w:rsidRPr="00E6267B" w:rsidRDefault="0030677C" w:rsidP="00C84941">
      <w:pPr>
        <w:pStyle w:val="Bullets"/>
      </w:pPr>
      <w:r w:rsidRPr="00CB626B">
        <w:t>Policy Context</w:t>
      </w:r>
      <w:r w:rsidR="00EF0803" w:rsidRPr="00CB626B">
        <w:t xml:space="preserve"> paper on s</w:t>
      </w:r>
      <w:r w:rsidRPr="00CB626B">
        <w:t>uga</w:t>
      </w:r>
      <w:r w:rsidR="007D5E2A">
        <w:t>rs in Australia and New Zealand</w:t>
      </w:r>
    </w:p>
    <w:p w14:paraId="5AC97B93" w14:textId="0F352E07" w:rsidR="00EF0803" w:rsidRPr="0070624D" w:rsidRDefault="00EF0803" w:rsidP="00BC587F">
      <w:proofErr w:type="gramStart"/>
      <w:r w:rsidRPr="0070624D">
        <w:t>In light of</w:t>
      </w:r>
      <w:proofErr w:type="gramEnd"/>
      <w:r w:rsidRPr="0070624D">
        <w:t xml:space="preserve"> findings in these reports, in November 2017 the Forum agreed that information about sugar</w:t>
      </w:r>
      <w:r w:rsidR="00A44B68" w:rsidRPr="0070624D">
        <w:t>s</w:t>
      </w:r>
      <w:r w:rsidRPr="0070624D">
        <w:t xml:space="preserve"> provided on food labels does not provide adequate contextual information to enable consumers to make informed choices in support of dietary guidelines.</w:t>
      </w:r>
      <w:r w:rsidR="00731932" w:rsidRPr="0070624D">
        <w:t xml:space="preserve"> </w:t>
      </w:r>
      <w:r w:rsidRPr="0070624D">
        <w:t>The Forum agreed that the case has been made to continue to Stage</w:t>
      </w:r>
      <w:r w:rsidR="007D5E2A" w:rsidRPr="0070624D">
        <w:t xml:space="preserve"> </w:t>
      </w:r>
      <w:r w:rsidRPr="0070624D">
        <w:t>2</w:t>
      </w:r>
      <w:r w:rsidR="00FE08EA" w:rsidRPr="0070624D">
        <w:t xml:space="preserve"> </w:t>
      </w:r>
      <w:r w:rsidRPr="0070624D">
        <w:t xml:space="preserve">of the program of work </w:t>
      </w:r>
      <w:r w:rsidR="00FD3A13" w:rsidRPr="0070624D">
        <w:t>involving</w:t>
      </w:r>
      <w:r w:rsidRPr="0070624D">
        <w:t xml:space="preserve"> developing and evaluating options for sugar</w:t>
      </w:r>
      <w:r w:rsidR="00276502" w:rsidRPr="0070624D">
        <w:t>s</w:t>
      </w:r>
      <w:r w:rsidR="007D5E2A" w:rsidRPr="0070624D">
        <w:t xml:space="preserve"> labelling.</w:t>
      </w:r>
    </w:p>
    <w:p w14:paraId="4AF908A8" w14:textId="40FE814D" w:rsidR="00B14C80" w:rsidRPr="0070624D" w:rsidRDefault="00B14C80" w:rsidP="00BC587F">
      <w:r w:rsidRPr="0070624D">
        <w:t>Also a</w:t>
      </w:r>
      <w:r w:rsidR="00EF0803" w:rsidRPr="0070624D">
        <w:t xml:space="preserve">t the November 2017 meeting, the Forum noted the range of existing complementary initiatives such as the </w:t>
      </w:r>
      <w:r w:rsidR="00AE542F">
        <w:t>HSR</w:t>
      </w:r>
      <w:r w:rsidR="009A79FA" w:rsidRPr="0070624D">
        <w:t xml:space="preserve"> system five-</w:t>
      </w:r>
      <w:r w:rsidR="00EF0803" w:rsidRPr="0070624D">
        <w:t>year review, policy work underway on the labelling of fats and oils, and the work of the Healthy Food Partnership. The Forum</w:t>
      </w:r>
      <w:r w:rsidR="005B73C5" w:rsidRPr="0070624D">
        <w:t xml:space="preserve"> stated that it</w:t>
      </w:r>
      <w:r w:rsidR="00EF0803" w:rsidRPr="0070624D">
        <w:t xml:space="preserve"> intends to take a whole-of-diet, holistic approach to food labelling.</w:t>
      </w:r>
    </w:p>
    <w:p w14:paraId="4094606B" w14:textId="3D8565B6" w:rsidR="004A55F4" w:rsidRPr="0070624D" w:rsidRDefault="004A55F4" w:rsidP="00BC587F">
      <w:r w:rsidRPr="0070624D">
        <w:t>Noting the Forum’s advice, t</w:t>
      </w:r>
      <w:r w:rsidR="00B14C80" w:rsidRPr="0070624D">
        <w:t xml:space="preserve">he </w:t>
      </w:r>
      <w:r w:rsidRPr="0070624D">
        <w:t xml:space="preserve">FRSC developed six regulatory and non-regulatory policy options (in addition to the status quo) for the labelling of sugars that may provide consumers with adequate contextual information to enable them to make informed choices in support of dietary guidelines. In </w:t>
      </w:r>
      <w:r w:rsidR="000D28D4" w:rsidRPr="0070624D">
        <w:t>June</w:t>
      </w:r>
      <w:r w:rsidRPr="0070624D">
        <w:t xml:space="preserve"> 2018 the Forum gave approval for FRSC to undertake public consultation on these policy options through a Consultation Regulation Impact Statement (CRIS). Consultation occurr</w:t>
      </w:r>
      <w:r w:rsidR="007D5E2A" w:rsidRPr="0070624D">
        <w:t>ed from July to September 2018.</w:t>
      </w:r>
    </w:p>
    <w:p w14:paraId="4D56E6AE" w14:textId="3EF53D90" w:rsidR="00E6267B" w:rsidRPr="007D5E2A" w:rsidRDefault="004A55F4" w:rsidP="00BC587F">
      <w:r w:rsidRPr="00166D40">
        <w:t xml:space="preserve">This paper draws upon research, </w:t>
      </w:r>
      <w:r>
        <w:t xml:space="preserve">feedback from the stakeholder consultation, </w:t>
      </w:r>
      <w:r w:rsidR="00224E44">
        <w:t>a</w:t>
      </w:r>
      <w:r w:rsidR="00447782">
        <w:t xml:space="preserve"> high-level preliminary qualitative</w:t>
      </w:r>
      <w:r w:rsidR="004B12D3">
        <w:t xml:space="preserve"> impact assessment to make a recommendation to the Forum on a </w:t>
      </w:r>
      <w:proofErr w:type="gramStart"/>
      <w:r w:rsidR="004B12D3">
        <w:t>policy optio</w:t>
      </w:r>
      <w:r w:rsidR="004B12D3" w:rsidRPr="00AB7D96">
        <w:t>ns</w:t>
      </w:r>
      <w:proofErr w:type="gramEnd"/>
      <w:r w:rsidR="004B12D3">
        <w:t xml:space="preserve"> for the labelling of sugar</w:t>
      </w:r>
      <w:r w:rsidR="007D5E2A">
        <w:t>s on packaged foods and drinks.</w:t>
      </w:r>
    </w:p>
    <w:p w14:paraId="70FA6E43" w14:textId="614AA9D9" w:rsidR="004D3C05" w:rsidRPr="00CB626B" w:rsidRDefault="004D3C05" w:rsidP="00A8387E">
      <w:pPr>
        <w:pStyle w:val="Heading1"/>
      </w:pPr>
      <w:bookmarkStart w:id="59" w:name="_Toc6323597"/>
      <w:r w:rsidRPr="00CB626B">
        <w:t xml:space="preserve">Statement of the </w:t>
      </w:r>
      <w:r w:rsidR="0039195F" w:rsidRPr="00CB626B">
        <w:t>p</w:t>
      </w:r>
      <w:r w:rsidRPr="00CB626B">
        <w:t>roblem</w:t>
      </w:r>
      <w:bookmarkEnd w:id="59"/>
    </w:p>
    <w:p w14:paraId="5264F574" w14:textId="68CE8823" w:rsidR="00BB71AE" w:rsidRPr="00CB626B" w:rsidRDefault="005837C6" w:rsidP="00BC587F">
      <w:r w:rsidRPr="00CB626B">
        <w:t>Dietary Guidelines</w:t>
      </w:r>
      <w:r w:rsidR="00BB71AE" w:rsidRPr="00CB626B">
        <w:t xml:space="preserve"> in relation to sugars in Aust</w:t>
      </w:r>
      <w:r w:rsidRPr="00CB626B">
        <w:t>ralia and New Zealand recommend</w:t>
      </w:r>
      <w:r w:rsidR="007D5E2A">
        <w:t>:</w:t>
      </w:r>
    </w:p>
    <w:p w14:paraId="06293963" w14:textId="70FA5FCD" w:rsidR="00BB71AE" w:rsidRPr="00CB626B" w:rsidRDefault="00BB71AE" w:rsidP="00C84941">
      <w:pPr>
        <w:pStyle w:val="Bullets"/>
      </w:pPr>
      <w:r w:rsidRPr="007D5E2A">
        <w:rPr>
          <w:rStyle w:val="Emphasis"/>
        </w:rPr>
        <w:t>Australian Dietary Guidelines</w:t>
      </w:r>
      <w:r w:rsidR="005837C6" w:rsidRPr="00BC587F">
        <w:rPr>
          <w:rStyle w:val="Footnotes"/>
        </w:rPr>
        <w:footnoteReference w:id="13"/>
      </w:r>
      <w:r w:rsidRPr="007D5E2A">
        <w:rPr>
          <w:rStyle w:val="Emphasis"/>
        </w:rPr>
        <w:t>- Guideline 3:</w:t>
      </w:r>
      <w:r w:rsidRPr="00CB626B">
        <w:t xml:space="preserve"> Limit intake of foods containing saturated fat, added salt</w:t>
      </w:r>
      <w:r w:rsidR="00A141AE">
        <w:t xml:space="preserve"> (sodium)</w:t>
      </w:r>
      <w:r w:rsidRPr="00CB626B">
        <w:t xml:space="preserve">, </w:t>
      </w:r>
      <w:r w:rsidRPr="0070624D">
        <w:rPr>
          <w:rStyle w:val="Strong"/>
        </w:rPr>
        <w:t>added sugars</w:t>
      </w:r>
      <w:r w:rsidRPr="00CB626B">
        <w:t xml:space="preserve"> and </w:t>
      </w:r>
      <w:proofErr w:type="gramStart"/>
      <w:r w:rsidRPr="00CB626B">
        <w:t>alcohol</w:t>
      </w:r>
      <w:proofErr w:type="gramEnd"/>
    </w:p>
    <w:p w14:paraId="574BE232" w14:textId="3FAC26A7" w:rsidR="00BB71AE" w:rsidRPr="00CB626B" w:rsidRDefault="00BB71AE" w:rsidP="00C84941">
      <w:pPr>
        <w:pStyle w:val="Bullets"/>
      </w:pPr>
      <w:r w:rsidRPr="007D5E2A">
        <w:rPr>
          <w:rStyle w:val="Emphasis"/>
        </w:rPr>
        <w:t>New Zealand Eating and Activity Guidelines</w:t>
      </w:r>
      <w:r w:rsidR="005837C6" w:rsidRPr="00BC587F">
        <w:rPr>
          <w:rStyle w:val="Footnotes"/>
        </w:rPr>
        <w:footnoteReference w:id="14"/>
      </w:r>
      <w:r w:rsidRPr="007D5E2A">
        <w:rPr>
          <w:rStyle w:val="Emphasis"/>
        </w:rPr>
        <w:t>- Eating Statement 2:</w:t>
      </w:r>
      <w:r w:rsidRPr="00CB626B">
        <w:t xml:space="preserve"> Choose and/or prepare foods and drinks: with unsaturated fats, that are low in salt, with </w:t>
      </w:r>
      <w:r w:rsidRPr="0070624D">
        <w:rPr>
          <w:rStyle w:val="Strong"/>
        </w:rPr>
        <w:t>little or no added sugar</w:t>
      </w:r>
      <w:r w:rsidRPr="00CB626B">
        <w:t>, and that are mostly ‘whole’ and less processed.</w:t>
      </w:r>
    </w:p>
    <w:p w14:paraId="264292C7" w14:textId="624E40CB" w:rsidR="00BB71AE" w:rsidRPr="00CB626B" w:rsidRDefault="00BB71AE" w:rsidP="00BC587F">
      <w:r w:rsidRPr="00CB626B">
        <w:t xml:space="preserve">However, information about added sugars on food labels in Australia and New Zealand is currently limited. </w:t>
      </w:r>
      <w:r w:rsidR="000000B0" w:rsidRPr="00CB626B">
        <w:t xml:space="preserve">The </w:t>
      </w:r>
      <w:r w:rsidR="009B5081" w:rsidRPr="00CB626B">
        <w:t>For</w:t>
      </w:r>
      <w:r w:rsidR="009B56C3" w:rsidRPr="00CB626B">
        <w:t>u</w:t>
      </w:r>
      <w:r w:rsidR="009B5081" w:rsidRPr="00CB626B">
        <w:t>m has agreed to the</w:t>
      </w:r>
      <w:r w:rsidR="000000B0" w:rsidRPr="00CB626B">
        <w:t xml:space="preserve"> following statement of the problem in relation to </w:t>
      </w:r>
      <w:r w:rsidR="00A44B68" w:rsidRPr="00CB626B">
        <w:t xml:space="preserve">labelling of </w:t>
      </w:r>
      <w:r w:rsidR="000000B0" w:rsidRPr="00CB626B">
        <w:t>sugar</w:t>
      </w:r>
      <w:r w:rsidR="00A44B68" w:rsidRPr="00CB626B">
        <w:t>s</w:t>
      </w:r>
      <w:r w:rsidR="000000B0" w:rsidRPr="00CB626B">
        <w:t xml:space="preserve"> </w:t>
      </w:r>
      <w:r w:rsidR="00A44B68" w:rsidRPr="00CB626B">
        <w:t xml:space="preserve">on packaged foods </w:t>
      </w:r>
      <w:r w:rsidR="007D5E2A">
        <w:t>in Australia and New Zealand.</w:t>
      </w:r>
    </w:p>
    <w:p w14:paraId="6935358B" w14:textId="6DB87FB6" w:rsidR="000000B0" w:rsidRPr="003234BA" w:rsidRDefault="000000B0" w:rsidP="00E170DA">
      <w:pPr>
        <w:pStyle w:val="Boxtext"/>
      </w:pPr>
      <w:r w:rsidRPr="00CB626B">
        <w:t>Information about sugar provided on food labels in Australia and New</w:t>
      </w:r>
      <w:r w:rsidR="007D5E2A">
        <w:t xml:space="preserve"> </w:t>
      </w:r>
      <w:r w:rsidRPr="00CB626B">
        <w:t>Zealand does not provide adequate contextual information to enable consumers to make informed choices in support of dietary guidelines.</w:t>
      </w:r>
    </w:p>
    <w:p w14:paraId="39540E0E" w14:textId="5C74D1C4" w:rsidR="0039195F" w:rsidRPr="00CB626B" w:rsidRDefault="000000B0" w:rsidP="00BC587F">
      <w:r w:rsidRPr="00CB626B">
        <w:t>This state</w:t>
      </w:r>
      <w:r w:rsidR="007D5E2A">
        <w:t>ment is based on evidence that:</w:t>
      </w:r>
    </w:p>
    <w:p w14:paraId="68AC12E3" w14:textId="5C408944" w:rsidR="00706998" w:rsidRPr="00DD3D9C" w:rsidRDefault="00706998" w:rsidP="00DD3D9C">
      <w:pPr>
        <w:pStyle w:val="ListParagraph"/>
        <w:numPr>
          <w:ilvl w:val="0"/>
          <w:numId w:val="14"/>
        </w:numPr>
      </w:pPr>
      <w:r w:rsidRPr="00DD3D9C">
        <w:t xml:space="preserve">Foods </w:t>
      </w:r>
      <w:r w:rsidR="005B73C5" w:rsidRPr="00DD3D9C">
        <w:t>can</w:t>
      </w:r>
      <w:r w:rsidRPr="00DD3D9C">
        <w:t xml:space="preserve"> contain </w:t>
      </w:r>
      <w:r w:rsidR="005B73C5" w:rsidRPr="00DD3D9C">
        <w:t>a combination of</w:t>
      </w:r>
      <w:r w:rsidRPr="00DD3D9C">
        <w:t xml:space="preserve"> added </w:t>
      </w:r>
      <w:r w:rsidR="007D5E2A" w:rsidRPr="00DD3D9C">
        <w:t>and naturally occurring sugars.</w:t>
      </w:r>
    </w:p>
    <w:p w14:paraId="2C5D8C92" w14:textId="79F416EB" w:rsidR="00A24B6F" w:rsidRPr="00DD3D9C" w:rsidRDefault="00A24B6F" w:rsidP="00DD3D9C">
      <w:pPr>
        <w:pStyle w:val="ListParagraph"/>
        <w:numPr>
          <w:ilvl w:val="0"/>
          <w:numId w:val="14"/>
        </w:numPr>
      </w:pPr>
      <w:r w:rsidRPr="00DD3D9C">
        <w:t xml:space="preserve">Foods </w:t>
      </w:r>
      <w:r w:rsidR="005B73C5" w:rsidRPr="00DD3D9C">
        <w:t>high in</w:t>
      </w:r>
      <w:r w:rsidR="0039195F" w:rsidRPr="00DD3D9C">
        <w:t xml:space="preserve"> added sugars may displace more nutritious foods in the diet and can contribute to dental caries, unhealthy weight gain and associated non</w:t>
      </w:r>
      <w:r w:rsidR="009F63E5" w:rsidRPr="00DD3D9C">
        <w:noBreakHyphen/>
      </w:r>
      <w:r w:rsidR="0039195F" w:rsidRPr="00DD3D9C">
        <w:t>communicable diseases (NCDs</w:t>
      </w:r>
      <w:proofErr w:type="gramStart"/>
      <w:r w:rsidR="0039195F" w:rsidRPr="00DD3D9C">
        <w:t>)</w:t>
      </w:r>
      <w:r w:rsidR="00870342" w:rsidRPr="00DD3D9C">
        <w:t>;</w:t>
      </w:r>
      <w:proofErr w:type="gramEnd"/>
    </w:p>
    <w:p w14:paraId="1BE68B6B" w14:textId="3030DF61" w:rsidR="00A24B6F" w:rsidRPr="00DD3D9C" w:rsidRDefault="00A24B6F" w:rsidP="00DD3D9C">
      <w:pPr>
        <w:pStyle w:val="ListParagraph"/>
        <w:numPr>
          <w:ilvl w:val="0"/>
          <w:numId w:val="14"/>
        </w:numPr>
      </w:pPr>
      <w:r w:rsidRPr="00DD3D9C">
        <w:t>To prevent these adverse health outcomes, dietary guidelines in Australia, New</w:t>
      </w:r>
      <w:r w:rsidR="009F63E5" w:rsidRPr="00DD3D9C">
        <w:t> </w:t>
      </w:r>
      <w:r w:rsidRPr="00DD3D9C">
        <w:t>Zealand and internationally (including the World Health Organization (WHO)) recommend limiting consumption of</w:t>
      </w:r>
      <w:r w:rsidR="007D5E2A" w:rsidRPr="00DD3D9C">
        <w:t xml:space="preserve"> foods containing added sugars.</w:t>
      </w:r>
    </w:p>
    <w:p w14:paraId="767F3B32" w14:textId="6442078B" w:rsidR="0039195F" w:rsidRPr="00DD3D9C" w:rsidRDefault="00672973" w:rsidP="00DD3D9C">
      <w:pPr>
        <w:pStyle w:val="ListParagraph"/>
        <w:numPr>
          <w:ilvl w:val="0"/>
          <w:numId w:val="14"/>
        </w:numPr>
      </w:pPr>
      <w:r w:rsidRPr="00DD3D9C">
        <w:t>Health and n</w:t>
      </w:r>
      <w:r w:rsidR="00A24B6F" w:rsidRPr="00DD3D9C">
        <w:t>utrition surveys</w:t>
      </w:r>
      <w:r w:rsidR="009B5081" w:rsidRPr="00DD3D9C">
        <w:t xml:space="preserve"> </w:t>
      </w:r>
      <w:r w:rsidR="0039195F" w:rsidRPr="00DD3D9C">
        <w:t xml:space="preserve">in Australia and New Zealand </w:t>
      </w:r>
      <w:r w:rsidR="009B5081" w:rsidRPr="00DD3D9C">
        <w:t xml:space="preserve">report that over half of the surveyed populations </w:t>
      </w:r>
      <w:r w:rsidR="00870342" w:rsidRPr="00DD3D9C">
        <w:t xml:space="preserve">are </w:t>
      </w:r>
      <w:r w:rsidR="0039195F" w:rsidRPr="00DD3D9C">
        <w:t xml:space="preserve">exceeding the </w:t>
      </w:r>
      <w:r w:rsidR="003234BA" w:rsidRPr="00DD3D9C">
        <w:t xml:space="preserve">WHO </w:t>
      </w:r>
      <w:r w:rsidR="0039195F" w:rsidRPr="00DD3D9C">
        <w:t>recommen</w:t>
      </w:r>
      <w:r w:rsidR="00E66E36" w:rsidRPr="00DD3D9C">
        <w:t>ded limit</w:t>
      </w:r>
      <w:r w:rsidR="00870342" w:rsidRPr="00DD3D9C">
        <w:t xml:space="preserve"> for </w:t>
      </w:r>
      <w:r w:rsidR="0064082B" w:rsidRPr="00DD3D9C">
        <w:t xml:space="preserve">consumption of </w:t>
      </w:r>
      <w:r w:rsidR="00A24B6F" w:rsidRPr="00DD3D9C">
        <w:t>added sugar</w:t>
      </w:r>
      <w:r w:rsidRPr="00DD3D9C">
        <w:t xml:space="preserve">s. </w:t>
      </w:r>
      <w:r w:rsidR="006554CD" w:rsidRPr="00DD3D9C">
        <w:t>While o</w:t>
      </w:r>
      <w:r w:rsidR="0039195F" w:rsidRPr="00DD3D9C">
        <w:t xml:space="preserve">verweight and obesity and dental caries </w:t>
      </w:r>
      <w:r w:rsidR="006554CD" w:rsidRPr="00DD3D9C">
        <w:t>are not solely caused by excessive consumption of added sugar</w:t>
      </w:r>
      <w:r w:rsidR="00276502" w:rsidRPr="00DD3D9C">
        <w:t>s</w:t>
      </w:r>
      <w:r w:rsidR="006554CD" w:rsidRPr="00DD3D9C">
        <w:t xml:space="preserve">, these conditions </w:t>
      </w:r>
      <w:r w:rsidR="0039195F" w:rsidRPr="00DD3D9C">
        <w:t xml:space="preserve">place a significant burden on society in Australia and </w:t>
      </w:r>
      <w:r w:rsidR="00D518BA" w:rsidRPr="00DD3D9C">
        <w:t>New </w:t>
      </w:r>
      <w:r w:rsidR="0039195F" w:rsidRPr="00DD3D9C">
        <w:t xml:space="preserve">Zealand, in terms of direct and indirect </w:t>
      </w:r>
      <w:proofErr w:type="gramStart"/>
      <w:r w:rsidR="0039195F" w:rsidRPr="00DD3D9C">
        <w:t>costs</w:t>
      </w:r>
      <w:r w:rsidR="00870342" w:rsidRPr="00DD3D9C">
        <w:t>;</w:t>
      </w:r>
      <w:proofErr w:type="gramEnd"/>
    </w:p>
    <w:p w14:paraId="44D75C30" w14:textId="7CE4B26F" w:rsidR="00905DFF" w:rsidRPr="00DD3D9C" w:rsidRDefault="002E1AFF" w:rsidP="00DD3D9C">
      <w:pPr>
        <w:pStyle w:val="ListParagraph"/>
        <w:numPr>
          <w:ilvl w:val="0"/>
          <w:numId w:val="14"/>
        </w:numPr>
      </w:pPr>
      <w:r w:rsidRPr="00DD3D9C">
        <w:t>F</w:t>
      </w:r>
      <w:r w:rsidR="0039195F" w:rsidRPr="00DD3D9C">
        <w:t>ood labelling is intended to</w:t>
      </w:r>
      <w:r w:rsidR="00672973" w:rsidRPr="00DD3D9C">
        <w:t xml:space="preserve"> </w:t>
      </w:r>
      <w:r w:rsidR="006554CD" w:rsidRPr="00DD3D9C">
        <w:t>enable</w:t>
      </w:r>
      <w:r w:rsidR="00672973" w:rsidRPr="00DD3D9C">
        <w:t xml:space="preserve"> </w:t>
      </w:r>
      <w:r w:rsidR="0039195F" w:rsidRPr="00DD3D9C">
        <w:t>consumers to make informed choices</w:t>
      </w:r>
      <w:r w:rsidR="006C47AF" w:rsidRPr="00DD3D9C">
        <w:t xml:space="preserve"> and support public health objectives</w:t>
      </w:r>
      <w:r w:rsidR="007D5E2A" w:rsidRPr="00DD3D9C">
        <w:t>.</w:t>
      </w:r>
    </w:p>
    <w:p w14:paraId="0A0ED744" w14:textId="6D089648" w:rsidR="00AF382C" w:rsidRPr="00DD3D9C" w:rsidRDefault="00905DFF" w:rsidP="00DD3D9C">
      <w:pPr>
        <w:pStyle w:val="ListParagraph"/>
        <w:numPr>
          <w:ilvl w:val="0"/>
          <w:numId w:val="14"/>
        </w:numPr>
      </w:pPr>
      <w:r w:rsidRPr="00DD3D9C">
        <w:t>F</w:t>
      </w:r>
      <w:r w:rsidR="00672973" w:rsidRPr="00DD3D9C">
        <w:t xml:space="preserve">ood labels currently </w:t>
      </w:r>
      <w:r w:rsidR="006554CD" w:rsidRPr="00DD3D9C">
        <w:t>provide</w:t>
      </w:r>
      <w:r w:rsidR="00672973" w:rsidRPr="00DD3D9C">
        <w:t xml:space="preserve"> limited </w:t>
      </w:r>
      <w:r w:rsidR="00A9307D" w:rsidRPr="00DD3D9C">
        <w:t xml:space="preserve">and/or unclear </w:t>
      </w:r>
      <w:r w:rsidR="00672973" w:rsidRPr="00DD3D9C">
        <w:t>information about which foods contain added sugars</w:t>
      </w:r>
      <w:r w:rsidR="00AF382C" w:rsidRPr="00DD3D9C">
        <w:t>.</w:t>
      </w:r>
    </w:p>
    <w:p w14:paraId="766506F8" w14:textId="7180FC20" w:rsidR="00870342" w:rsidRPr="00CB626B" w:rsidRDefault="00AF382C" w:rsidP="00DD3D9C">
      <w:pPr>
        <w:pStyle w:val="ListParagraph"/>
        <w:numPr>
          <w:ilvl w:val="0"/>
          <w:numId w:val="14"/>
        </w:numPr>
      </w:pPr>
      <w:r w:rsidRPr="00DD3D9C">
        <w:t>C</w:t>
      </w:r>
      <w:r w:rsidR="0039195F" w:rsidRPr="00DD3D9C">
        <w:t>onsumer</w:t>
      </w:r>
      <w:r w:rsidR="0039195F" w:rsidRPr="00CB626B">
        <w:t xml:space="preserve"> research </w:t>
      </w:r>
      <w:r w:rsidRPr="00CB626B">
        <w:t>in relation to understanding of sugar</w:t>
      </w:r>
      <w:r w:rsidR="00276502" w:rsidRPr="00CB626B">
        <w:t>s</w:t>
      </w:r>
      <w:r w:rsidRPr="00CB626B">
        <w:t xml:space="preserve"> and food </w:t>
      </w:r>
      <w:r w:rsidR="00FC715E" w:rsidRPr="00CB626B">
        <w:t>labelling</w:t>
      </w:r>
      <w:r w:rsidRPr="00CB626B">
        <w:t xml:space="preserve"> </w:t>
      </w:r>
      <w:r w:rsidR="0039195F" w:rsidRPr="00CB626B">
        <w:t>suggests that</w:t>
      </w:r>
      <w:r w:rsidR="002E1AFF" w:rsidRPr="00CB626B">
        <w:t>:</w:t>
      </w:r>
    </w:p>
    <w:p w14:paraId="1CC94BEF" w14:textId="3F3C3447" w:rsidR="00870342" w:rsidRPr="00C84941" w:rsidRDefault="0039195F" w:rsidP="00DD3D9C">
      <w:pPr>
        <w:pStyle w:val="ListParagraph"/>
        <w:numPr>
          <w:ilvl w:val="0"/>
          <w:numId w:val="11"/>
        </w:numPr>
      </w:pPr>
      <w:r w:rsidRPr="00C84941">
        <w:t>consumers are confused about how much sugar</w:t>
      </w:r>
      <w:r w:rsidR="00276502" w:rsidRPr="00C84941">
        <w:t>s</w:t>
      </w:r>
      <w:r w:rsidR="00EB309A" w:rsidRPr="00C84941">
        <w:t xml:space="preserve"> they should be consuming,</w:t>
      </w:r>
    </w:p>
    <w:p w14:paraId="7172E2C4" w14:textId="2B7760EF" w:rsidR="000000B0" w:rsidRPr="00C84941" w:rsidRDefault="002E1AFF" w:rsidP="00DD3D9C">
      <w:pPr>
        <w:pStyle w:val="ListParagraph"/>
        <w:numPr>
          <w:ilvl w:val="0"/>
          <w:numId w:val="11"/>
        </w:numPr>
      </w:pPr>
      <w:r w:rsidRPr="00C84941">
        <w:t xml:space="preserve">consumers </w:t>
      </w:r>
      <w:r w:rsidR="0039195F" w:rsidRPr="00C84941">
        <w:t>may not be able to determine whether a single product is high or low in sugar</w:t>
      </w:r>
      <w:r w:rsidR="00276502" w:rsidRPr="00C84941">
        <w:t>s</w:t>
      </w:r>
      <w:r w:rsidR="00EB309A" w:rsidRPr="00C84941">
        <w:t>,</w:t>
      </w:r>
    </w:p>
    <w:p w14:paraId="5F727C53" w14:textId="61034205" w:rsidR="0039195F" w:rsidRPr="00C84941" w:rsidRDefault="002E1AFF" w:rsidP="00DD3D9C">
      <w:pPr>
        <w:pStyle w:val="ListParagraph"/>
        <w:numPr>
          <w:ilvl w:val="0"/>
          <w:numId w:val="11"/>
        </w:numPr>
      </w:pPr>
      <w:r w:rsidRPr="00C84941">
        <w:t xml:space="preserve">consumers </w:t>
      </w:r>
      <w:r w:rsidR="000000B0" w:rsidRPr="00C84941">
        <w:t>can</w:t>
      </w:r>
      <w:r w:rsidR="0039195F" w:rsidRPr="00C84941">
        <w:t xml:space="preserve"> be confus</w:t>
      </w:r>
      <w:r w:rsidR="00870342" w:rsidRPr="00C84941">
        <w:t xml:space="preserve">ed about </w:t>
      </w:r>
      <w:r w:rsidR="00AF18ED" w:rsidRPr="00C84941">
        <w:t>what are added sugars</w:t>
      </w:r>
      <w:r w:rsidR="0039195F" w:rsidRPr="00C84941">
        <w:t xml:space="preserve"> and what types of sugars should be </w:t>
      </w:r>
      <w:r w:rsidR="003943FD" w:rsidRPr="00C84941">
        <w:t>limi</w:t>
      </w:r>
      <w:r w:rsidR="000000B0" w:rsidRPr="00C84941">
        <w:t>t</w:t>
      </w:r>
      <w:r w:rsidR="00EB309A" w:rsidRPr="00C84941">
        <w:t>ed in the diet for good health.</w:t>
      </w:r>
    </w:p>
    <w:p w14:paraId="4618778F" w14:textId="5B1420C2" w:rsidR="00A24B6F" w:rsidRPr="00DD3D9C" w:rsidRDefault="00A24B6F" w:rsidP="00DD3D9C">
      <w:pPr>
        <w:pStyle w:val="ListParagraph"/>
        <w:numPr>
          <w:ilvl w:val="0"/>
          <w:numId w:val="14"/>
        </w:numPr>
      </w:pPr>
      <w:r w:rsidRPr="00DD3D9C">
        <w:t xml:space="preserve">There </w:t>
      </w:r>
      <w:r w:rsidR="00672973" w:rsidRPr="00DD3D9C">
        <w:t>is</w:t>
      </w:r>
      <w:r w:rsidRPr="00DD3D9C">
        <w:t xml:space="preserve"> limited</w:t>
      </w:r>
      <w:r w:rsidR="00672973" w:rsidRPr="00DD3D9C">
        <w:t xml:space="preserve"> other</w:t>
      </w:r>
      <w:r w:rsidRPr="00DD3D9C">
        <w:t xml:space="preserve"> information available</w:t>
      </w:r>
      <w:r w:rsidR="00672973" w:rsidRPr="00DD3D9C">
        <w:t xml:space="preserve"> to consumers in Australia and </w:t>
      </w:r>
      <w:r w:rsidR="009F63E5" w:rsidRPr="00DD3D9C">
        <w:t>New </w:t>
      </w:r>
      <w:r w:rsidR="00672973" w:rsidRPr="00DD3D9C">
        <w:t>Zealand about the added sugar</w:t>
      </w:r>
      <w:r w:rsidR="00A44B68" w:rsidRPr="00DD3D9C">
        <w:t>s</w:t>
      </w:r>
      <w:r w:rsidR="00672973" w:rsidRPr="00DD3D9C">
        <w:t xml:space="preserve"> content of foods (beyond</w:t>
      </w:r>
      <w:r w:rsidR="00A9307D" w:rsidRPr="00DD3D9C">
        <w:t xml:space="preserve"> the lack of information</w:t>
      </w:r>
      <w:r w:rsidR="00EB309A" w:rsidRPr="00DD3D9C">
        <w:t xml:space="preserve"> food labels).</w:t>
      </w:r>
    </w:p>
    <w:p w14:paraId="7027E651" w14:textId="6F822078" w:rsidR="00103530" w:rsidRDefault="002E1AFF" w:rsidP="00DD3D9C">
      <w:pPr>
        <w:pStyle w:val="ListParagraph"/>
        <w:numPr>
          <w:ilvl w:val="0"/>
          <w:numId w:val="14"/>
        </w:numPr>
      </w:pPr>
      <w:r w:rsidRPr="00DD3D9C">
        <w:t>A range of activities are in place by Governments in Australia and New Zealand to address poor diet and</w:t>
      </w:r>
      <w:r w:rsidRPr="00CB626B">
        <w:t xml:space="preserve"> high </w:t>
      </w:r>
      <w:r w:rsidR="00276502" w:rsidRPr="00CB626B">
        <w:t xml:space="preserve">intakes of </w:t>
      </w:r>
      <w:r w:rsidR="00672973" w:rsidRPr="00CB626B">
        <w:t xml:space="preserve">added </w:t>
      </w:r>
      <w:r w:rsidRPr="00CB626B">
        <w:t>su</w:t>
      </w:r>
      <w:r w:rsidR="00672973" w:rsidRPr="00CB626B">
        <w:t>gar</w:t>
      </w:r>
      <w:r w:rsidR="00276502" w:rsidRPr="00CB626B">
        <w:t>s</w:t>
      </w:r>
      <w:r w:rsidR="00672973" w:rsidRPr="00CB626B">
        <w:t>. While these</w:t>
      </w:r>
      <w:r w:rsidRPr="00CB626B">
        <w:t xml:space="preserve"> may help to motivate consumers </w:t>
      </w:r>
      <w:r w:rsidR="00672973" w:rsidRPr="00CB626B">
        <w:t>to limit consumption of</w:t>
      </w:r>
      <w:r w:rsidRPr="00CB626B">
        <w:t xml:space="preserve"> food</w:t>
      </w:r>
      <w:r w:rsidR="00672973" w:rsidRPr="00CB626B">
        <w:t xml:space="preserve">s containing added sugars, the lack of information about </w:t>
      </w:r>
      <w:r w:rsidR="00E6267B">
        <w:t>foods’</w:t>
      </w:r>
      <w:r w:rsidR="00672973" w:rsidRPr="00CB626B">
        <w:t xml:space="preserve"> added sugar</w:t>
      </w:r>
      <w:r w:rsidR="00276502" w:rsidRPr="00CB626B">
        <w:t>s</w:t>
      </w:r>
      <w:r w:rsidR="00672973" w:rsidRPr="00CB626B">
        <w:t xml:space="preserve"> content limits consumers’ potential </w:t>
      </w:r>
      <w:r w:rsidR="00E051A9" w:rsidRPr="00CB626B">
        <w:t xml:space="preserve">to </w:t>
      </w:r>
      <w:r w:rsidR="00672973" w:rsidRPr="00CB626B">
        <w:t>follow this advice</w:t>
      </w:r>
      <w:r w:rsidRPr="00CB626B">
        <w:t xml:space="preserve">. Implementation of these Government initiatives may </w:t>
      </w:r>
      <w:r w:rsidR="00672973" w:rsidRPr="00CB626B">
        <w:t xml:space="preserve">also </w:t>
      </w:r>
      <w:r w:rsidR="00C81FF1" w:rsidRPr="00CB626B">
        <w:t xml:space="preserve">be </w:t>
      </w:r>
      <w:r w:rsidR="00672973" w:rsidRPr="00CB626B">
        <w:t xml:space="preserve">hampered by lack of information about </w:t>
      </w:r>
      <w:r w:rsidR="00C81FF1" w:rsidRPr="00CB626B">
        <w:t xml:space="preserve">the </w:t>
      </w:r>
      <w:r w:rsidR="00672973" w:rsidRPr="00CB626B">
        <w:t>added sugar</w:t>
      </w:r>
      <w:r w:rsidR="00276502" w:rsidRPr="00CB626B">
        <w:t>s</w:t>
      </w:r>
      <w:r w:rsidR="00D82FFA">
        <w:t xml:space="preserve"> content of foods.</w:t>
      </w:r>
    </w:p>
    <w:p w14:paraId="1AB2E697" w14:textId="161E9591" w:rsidR="00673C6C" w:rsidRPr="00BC587F" w:rsidRDefault="003B25F1" w:rsidP="00BC587F">
      <w:r w:rsidRPr="00BC587F">
        <w:t xml:space="preserve">More detail on each of the above </w:t>
      </w:r>
      <w:r w:rsidR="00673C6C" w:rsidRPr="00BC587F">
        <w:t xml:space="preserve">points is </w:t>
      </w:r>
      <w:r w:rsidR="00EB309A" w:rsidRPr="00BC587F">
        <w:t>provided in the sections below.</w:t>
      </w:r>
    </w:p>
    <w:p w14:paraId="4358133F" w14:textId="2F12A37A" w:rsidR="0039195F" w:rsidRPr="00CB626B" w:rsidRDefault="00103530" w:rsidP="00314A5D">
      <w:pPr>
        <w:pStyle w:val="Heading2"/>
      </w:pPr>
      <w:bookmarkStart w:id="60" w:name="_Toc512860859"/>
      <w:bookmarkStart w:id="61" w:name="_Toc513468706"/>
      <w:bookmarkStart w:id="62" w:name="_Toc513546879"/>
      <w:bookmarkStart w:id="63" w:name="_Toc6323598"/>
      <w:r w:rsidRPr="00CB626B">
        <w:t>Ab</w:t>
      </w:r>
      <w:r w:rsidR="0039195F" w:rsidRPr="00CB626B">
        <w:t>out sugar</w:t>
      </w:r>
      <w:bookmarkEnd w:id="60"/>
      <w:bookmarkEnd w:id="61"/>
      <w:r w:rsidR="00276502" w:rsidRPr="00CB626B">
        <w:t>s</w:t>
      </w:r>
      <w:bookmarkEnd w:id="62"/>
      <w:bookmarkEnd w:id="63"/>
    </w:p>
    <w:p w14:paraId="70C83FDF" w14:textId="1069027C" w:rsidR="004765E2" w:rsidRDefault="00316D3C" w:rsidP="00BC587F">
      <w:r w:rsidRPr="00CB626B">
        <w:t>Sugar</w:t>
      </w:r>
      <w:r w:rsidR="00276502" w:rsidRPr="00CB626B">
        <w:t>s</w:t>
      </w:r>
      <w:r w:rsidRPr="00CB626B">
        <w:t xml:space="preserve"> </w:t>
      </w:r>
      <w:r w:rsidR="00276502" w:rsidRPr="00CB626B">
        <w:t xml:space="preserve">are </w:t>
      </w:r>
      <w:r w:rsidRPr="00CB626B">
        <w:t xml:space="preserve">a type of carbohydrate. </w:t>
      </w:r>
      <w:r w:rsidR="004765E2">
        <w:t xml:space="preserve">The energy (kilojoule) content of sugars is the same as other carbohydrates (16 kJ/ gram) and </w:t>
      </w:r>
      <w:proofErr w:type="gramStart"/>
      <w:r w:rsidR="004765E2">
        <w:t>similar to</w:t>
      </w:r>
      <w:proofErr w:type="gramEnd"/>
      <w:r w:rsidR="004765E2">
        <w:t xml:space="preserve"> the energy content of protein (17 kJ/gram). Fats provide around double the energy content (37 kJ/gram)</w:t>
      </w:r>
      <w:r w:rsidR="00E6267B">
        <w:t xml:space="preserve"> compared to sugars</w:t>
      </w:r>
      <w:r w:rsidR="00EB309A">
        <w:t>.</w:t>
      </w:r>
    </w:p>
    <w:p w14:paraId="24E73ACB" w14:textId="1CA72767" w:rsidR="009B5081" w:rsidRDefault="00316D3C" w:rsidP="00BC587F">
      <w:r w:rsidRPr="00CB626B">
        <w:t>Sugar</w:t>
      </w:r>
      <w:r w:rsidR="00276502" w:rsidRPr="00CB626B">
        <w:t>s</w:t>
      </w:r>
      <w:r w:rsidRPr="00CB626B">
        <w:t xml:space="preserve"> can occur naturally in foods </w:t>
      </w:r>
      <w:r w:rsidR="00765CF9" w:rsidRPr="00CB626B">
        <w:t xml:space="preserve">and drinks </w:t>
      </w:r>
      <w:r w:rsidRPr="00CB626B">
        <w:t>such as fruits (</w:t>
      </w:r>
      <w:proofErr w:type="gramStart"/>
      <w:r w:rsidRPr="00CB626B">
        <w:t>i.e.</w:t>
      </w:r>
      <w:proofErr w:type="gramEnd"/>
      <w:r w:rsidRPr="00CB626B">
        <w:t xml:space="preserve"> fructose)</w:t>
      </w:r>
      <w:r w:rsidR="00E051A9" w:rsidRPr="00CB626B">
        <w:t xml:space="preserve"> and</w:t>
      </w:r>
      <w:r w:rsidRPr="00CB626B">
        <w:t xml:space="preserve"> milk (i.e. lactose). Sugars can also be added to foods and drinks by manufacturers during processing or manufacturing (for example in the form of fructose, glucose or sucrose), or by consumers and cooks during food </w:t>
      </w:r>
      <w:r w:rsidR="00756153" w:rsidRPr="00CB626B">
        <w:t xml:space="preserve">or </w:t>
      </w:r>
      <w:r w:rsidR="00765CF9" w:rsidRPr="00CB626B">
        <w:t xml:space="preserve">drink </w:t>
      </w:r>
      <w:r w:rsidRPr="00CB626B">
        <w:t>preparation or at the time of consumption</w:t>
      </w:r>
      <w:r w:rsidR="009B5081" w:rsidRPr="00CB626B">
        <w:t xml:space="preserve"> (</w:t>
      </w:r>
      <w:proofErr w:type="gramStart"/>
      <w:r w:rsidR="009B5081" w:rsidRPr="00CB626B">
        <w:t>e.g.</w:t>
      </w:r>
      <w:proofErr w:type="gramEnd"/>
      <w:r w:rsidR="009B5081" w:rsidRPr="00CB626B">
        <w:t xml:space="preserve"> adding </w:t>
      </w:r>
      <w:r w:rsidR="00276502" w:rsidRPr="00CB626B">
        <w:t xml:space="preserve">table </w:t>
      </w:r>
      <w:r w:rsidR="009B5081" w:rsidRPr="00CB626B">
        <w:t>sugar to a tea or coffee)</w:t>
      </w:r>
      <w:r w:rsidR="0064082B">
        <w:t xml:space="preserve">. </w:t>
      </w:r>
      <w:r w:rsidRPr="00CB626B">
        <w:t>These types of sugars are commonly referred to as ‘added sugars’</w:t>
      </w:r>
      <w:r w:rsidR="00BB1318" w:rsidRPr="00CB626B">
        <w:rPr>
          <w:rStyle w:val="FootnoteReference"/>
        </w:rPr>
        <w:footnoteReference w:id="15"/>
      </w:r>
      <w:r w:rsidRPr="00CB626B">
        <w:t>.</w:t>
      </w:r>
    </w:p>
    <w:p w14:paraId="55C74E98" w14:textId="5B2E8302" w:rsidR="00731932" w:rsidRPr="00CB626B" w:rsidRDefault="00731932" w:rsidP="00BC587F">
      <w:r w:rsidRPr="00CB626B">
        <w:t xml:space="preserve">The </w:t>
      </w:r>
      <w:r w:rsidR="006D12E7">
        <w:t>addition of sugars to foods by</w:t>
      </w:r>
      <w:r w:rsidRPr="00CB626B">
        <w:t xml:space="preserve"> the manufacturing industry is not limited to sweetening a product. Sugar</w:t>
      </w:r>
      <w:r w:rsidR="00276502" w:rsidRPr="00CB626B">
        <w:t xml:space="preserve">s </w:t>
      </w:r>
      <w:r w:rsidR="006D12E7">
        <w:t>can be</w:t>
      </w:r>
      <w:r w:rsidRPr="00CB626B">
        <w:t xml:space="preserve"> added </w:t>
      </w:r>
      <w:r w:rsidR="006D12E7">
        <w:t xml:space="preserve">to foods </w:t>
      </w:r>
      <w:r w:rsidRPr="00CB626B">
        <w:t xml:space="preserve">for </w:t>
      </w:r>
      <w:proofErr w:type="gramStart"/>
      <w:r w:rsidRPr="00CB626B">
        <w:t>a number of</w:t>
      </w:r>
      <w:proofErr w:type="gramEnd"/>
      <w:r w:rsidRPr="00CB626B">
        <w:t xml:space="preserve"> functional reasons </w:t>
      </w:r>
      <w:r w:rsidR="00CE5647">
        <w:t>to contribute</w:t>
      </w:r>
      <w:r w:rsidRPr="00CB626B">
        <w:t xml:space="preserve"> to the food’s appearance, texture and shelf-life</w:t>
      </w:r>
      <w:r w:rsidRPr="00CB626B">
        <w:rPr>
          <w:rStyle w:val="FootnoteReference"/>
        </w:rPr>
        <w:footnoteReference w:id="16"/>
      </w:r>
      <w:r w:rsidR="00EB309A" w:rsidRPr="00EB309A">
        <w:rPr>
          <w:vertAlign w:val="superscript"/>
        </w:rPr>
        <w:t>,</w:t>
      </w:r>
      <w:r w:rsidR="00CE5647">
        <w:rPr>
          <w:rStyle w:val="FootnoteReference"/>
        </w:rPr>
        <w:footnoteReference w:id="17"/>
      </w:r>
      <w:r w:rsidRPr="00CB626B">
        <w:t xml:space="preserve"> .</w:t>
      </w:r>
    </w:p>
    <w:p w14:paraId="68F0CDC8" w14:textId="1E83093F" w:rsidR="00605B37" w:rsidRDefault="00316D3C" w:rsidP="00BC587F">
      <w:r w:rsidRPr="00CB626B">
        <w:t>Foods and drinks can contain a combination of natural</w:t>
      </w:r>
      <w:r w:rsidR="00731932" w:rsidRPr="00CB626B">
        <w:t xml:space="preserve">ly occurring and added sugars. </w:t>
      </w:r>
      <w:r w:rsidRPr="00CB626B">
        <w:t xml:space="preserve">For example, flavoured milk contains sugars naturally occurring in the milk as well as sugars that have been added by the manufacturer. </w:t>
      </w:r>
      <w:r w:rsidR="00731932" w:rsidRPr="00CB626B">
        <w:t xml:space="preserve">The term ‘total sugars’ refers to the total amount of sugars in </w:t>
      </w:r>
      <w:r w:rsidR="00605B37" w:rsidRPr="00CB626B">
        <w:t>a</w:t>
      </w:r>
      <w:r w:rsidR="00731932" w:rsidRPr="00CB626B">
        <w:t xml:space="preserve"> product, from </w:t>
      </w:r>
      <w:r w:rsidR="007E4E27" w:rsidRPr="00CB626B">
        <w:t xml:space="preserve">both </w:t>
      </w:r>
      <w:r w:rsidR="00731932" w:rsidRPr="00CB626B">
        <w:t>added</w:t>
      </w:r>
      <w:r w:rsidR="007E4E27" w:rsidRPr="00CB626B">
        <w:t xml:space="preserve"> sugars </w:t>
      </w:r>
      <w:r w:rsidR="00731932" w:rsidRPr="00CB626B">
        <w:t>and naturally occurrin</w:t>
      </w:r>
      <w:r w:rsidR="00EB309A">
        <w:t>g sugars.</w:t>
      </w:r>
    </w:p>
    <w:p w14:paraId="5003A7AF" w14:textId="2719C0B1" w:rsidR="00A74E58" w:rsidRDefault="004765E2" w:rsidP="00BC587F">
      <w:r>
        <w:t xml:space="preserve">Added and naturally occurring sugars provide the same energy content and are not </w:t>
      </w:r>
      <w:r w:rsidR="003931DF">
        <w:t>chemically</w:t>
      </w:r>
      <w:r>
        <w:t xml:space="preserve"> different</w:t>
      </w:r>
      <w:r w:rsidRPr="00A06FE2">
        <w:t xml:space="preserve">. </w:t>
      </w:r>
      <w:r w:rsidR="00A9307D" w:rsidRPr="00A06FE2">
        <w:t>There are arguments this means added and naturally occurring sugars have the same physiological effect</w:t>
      </w:r>
      <w:r w:rsidR="00A06FE2" w:rsidRPr="00A06FE2">
        <w:rPr>
          <w:rStyle w:val="FootnoteReference"/>
        </w:rPr>
        <w:footnoteReference w:id="18"/>
      </w:r>
      <w:r w:rsidR="00A9307D" w:rsidRPr="00A06FE2">
        <w:t xml:space="preserve">. </w:t>
      </w:r>
      <w:r w:rsidRPr="00A06FE2">
        <w:t>However</w:t>
      </w:r>
      <w:r>
        <w:t xml:space="preserve">, </w:t>
      </w:r>
      <w:r w:rsidR="00A06FE2">
        <w:t xml:space="preserve">others argue because </w:t>
      </w:r>
      <w:r>
        <w:t>the food source of these sugars differs</w:t>
      </w:r>
      <w:r w:rsidR="00A06FE2">
        <w:t xml:space="preserve">, the </w:t>
      </w:r>
      <w:r w:rsidR="003931DF">
        <w:t xml:space="preserve">food matrix in which the sugars are </w:t>
      </w:r>
      <w:r w:rsidR="002E0DE4">
        <w:t xml:space="preserve">found </w:t>
      </w:r>
      <w:r w:rsidR="00A06FE2">
        <w:t>results in</w:t>
      </w:r>
      <w:r w:rsidR="00ED5E73">
        <w:t xml:space="preserve"> </w:t>
      </w:r>
      <w:r w:rsidR="003931DF">
        <w:t>different physiological effects</w:t>
      </w:r>
      <w:r w:rsidR="00ED5E73">
        <w:rPr>
          <w:rStyle w:val="FootnoteReference"/>
        </w:rPr>
        <w:footnoteReference w:id="19"/>
      </w:r>
      <w:r>
        <w:t xml:space="preserve">. </w:t>
      </w:r>
      <w:r w:rsidR="00A74E58">
        <w:t>‘D</w:t>
      </w:r>
      <w:r w:rsidR="009A213F">
        <w:t>iscretionary’ foods (foods high in energy and low in nutrients which should only</w:t>
      </w:r>
      <w:r w:rsidR="00A74E58">
        <w:t xml:space="preserve"> be consumed sometimes and in small amounts</w:t>
      </w:r>
      <w:r w:rsidR="009A213F">
        <w:t>)</w:t>
      </w:r>
      <w:r w:rsidR="00A74E58">
        <w:t>, are more likely to contain added sugars</w:t>
      </w:r>
      <w:r>
        <w:t xml:space="preserve">. Foods recommended for daily consumption (referred to as ‘core’ foods or ‘five food-group foods’) such as whole fruit and </w:t>
      </w:r>
      <w:r w:rsidR="00ED5E73">
        <w:t xml:space="preserve">plain </w:t>
      </w:r>
      <w:r>
        <w:t>milk and contain naturally occurring sugars</w:t>
      </w:r>
      <w:r w:rsidR="00A74E58">
        <w:t>. It has been estimated that 52% of core foods and 87% of discretionary foods in the Australian food supply contain added sugars</w:t>
      </w:r>
      <w:r w:rsidR="00A74E58">
        <w:rPr>
          <w:rStyle w:val="FootnoteReference"/>
        </w:rPr>
        <w:footnoteReference w:id="20"/>
      </w:r>
      <w:r w:rsidR="00876F3B">
        <w:t>.</w:t>
      </w:r>
    </w:p>
    <w:p w14:paraId="70EA6CC4" w14:textId="3802E2AF" w:rsidR="004D3C05" w:rsidRPr="00CB626B" w:rsidRDefault="00FE08EA" w:rsidP="00314A5D">
      <w:pPr>
        <w:pStyle w:val="Heading2"/>
      </w:pPr>
      <w:bookmarkStart w:id="64" w:name="_Toc512860860"/>
      <w:bookmarkStart w:id="65" w:name="_Toc513468707"/>
      <w:bookmarkStart w:id="66" w:name="_Toc513546880"/>
      <w:bookmarkStart w:id="67" w:name="_Toc6323599"/>
      <w:r w:rsidRPr="00CB626B">
        <w:t xml:space="preserve">Health impacts of excessive </w:t>
      </w:r>
      <w:r w:rsidR="0009520D">
        <w:t xml:space="preserve">added </w:t>
      </w:r>
      <w:r w:rsidRPr="00CB626B">
        <w:t>sugar</w:t>
      </w:r>
      <w:r w:rsidR="00A44B68" w:rsidRPr="00CB626B">
        <w:t>s</w:t>
      </w:r>
      <w:r w:rsidRPr="00CB626B">
        <w:t xml:space="preserve"> consumption</w:t>
      </w:r>
      <w:bookmarkEnd w:id="64"/>
      <w:bookmarkEnd w:id="65"/>
      <w:bookmarkEnd w:id="66"/>
      <w:bookmarkEnd w:id="67"/>
    </w:p>
    <w:p w14:paraId="011DE0B0" w14:textId="069625B7" w:rsidR="00B95A3A" w:rsidRPr="00B95A3A" w:rsidRDefault="00FE08EA" w:rsidP="00BC587F">
      <w:r w:rsidRPr="00CB626B">
        <w:t xml:space="preserve">Many processed foods and </w:t>
      </w:r>
      <w:r w:rsidR="003E66E6" w:rsidRPr="00CB626B">
        <w:t>drink</w:t>
      </w:r>
      <w:r w:rsidRPr="00CB626B">
        <w:t>s that are high in added sugars are lower in micronutrients (vitamins and minerals) compared to whole or less processed foods</w:t>
      </w:r>
      <w:r w:rsidRPr="00CB626B">
        <w:rPr>
          <w:rStyle w:val="FootnoteReference"/>
        </w:rPr>
        <w:footnoteReference w:id="21"/>
      </w:r>
      <w:r w:rsidR="00EA64CB">
        <w:t xml:space="preserve">. </w:t>
      </w:r>
      <w:r w:rsidRPr="00CB626B">
        <w:t xml:space="preserve">Foods and beverages high in added sugars may displace more nutritious foods and beverages </w:t>
      </w:r>
      <w:r w:rsidR="00756153" w:rsidRPr="00CB626B">
        <w:t xml:space="preserve">in the </w:t>
      </w:r>
      <w:proofErr w:type="gramStart"/>
      <w:r w:rsidR="00756153" w:rsidRPr="00CB626B">
        <w:t>diet</w:t>
      </w:r>
      <w:r w:rsidR="00A83B36">
        <w:t>,</w:t>
      </w:r>
      <w:r w:rsidR="00756153" w:rsidRPr="00CB626B">
        <w:t xml:space="preserve"> </w:t>
      </w:r>
      <w:r w:rsidRPr="00CB626B">
        <w:t>and</w:t>
      </w:r>
      <w:proofErr w:type="gramEnd"/>
      <w:r w:rsidRPr="00CB626B">
        <w:t xml:space="preserve"> make it difficult for people to achieve the recommended intakes of micronutrients </w:t>
      </w:r>
      <w:r w:rsidR="002E2E59" w:rsidRPr="00CB626B">
        <w:t>within their recommended</w:t>
      </w:r>
      <w:r w:rsidRPr="00CB626B">
        <w:t xml:space="preserve"> energy intake</w:t>
      </w:r>
      <w:r w:rsidR="00A83B36" w:rsidRPr="00A06FE2">
        <w:rPr>
          <w:rStyle w:val="FootnoteReference"/>
        </w:rPr>
        <w:footnoteReference w:id="22"/>
      </w:r>
      <w:r w:rsidR="00A83B36" w:rsidRPr="00A06FE2">
        <w:rPr>
          <w:vertAlign w:val="superscript"/>
        </w:rPr>
        <w:t>,</w:t>
      </w:r>
      <w:r w:rsidRPr="00CB626B">
        <w:rPr>
          <w:rStyle w:val="FootnoteReference"/>
        </w:rPr>
        <w:footnoteReference w:id="23"/>
      </w:r>
      <w:r w:rsidRPr="00CB626B">
        <w:rPr>
          <w:vertAlign w:val="superscript"/>
        </w:rPr>
        <w:t>,</w:t>
      </w:r>
      <w:r w:rsidRPr="00CB626B">
        <w:rPr>
          <w:rStyle w:val="FootnoteReference"/>
        </w:rPr>
        <w:footnoteReference w:id="24"/>
      </w:r>
      <w:r w:rsidR="006D608D">
        <w:rPr>
          <w:vertAlign w:val="superscript"/>
        </w:rPr>
        <w:t>,</w:t>
      </w:r>
      <w:r w:rsidR="00BA6063">
        <w:rPr>
          <w:rStyle w:val="FootnoteReference"/>
        </w:rPr>
        <w:footnoteReference w:id="25"/>
      </w:r>
      <w:r w:rsidR="00EB309A">
        <w:rPr>
          <w:vertAlign w:val="superscript"/>
        </w:rPr>
        <w:t>,</w:t>
      </w:r>
      <w:r w:rsidR="00A06FE2">
        <w:rPr>
          <w:rStyle w:val="FootnoteReference"/>
        </w:rPr>
        <w:footnoteReference w:id="26"/>
      </w:r>
      <w:r w:rsidR="00B95A3A">
        <w:t xml:space="preserve"> (</w:t>
      </w:r>
      <w:r w:rsidR="00364E29">
        <w:t xml:space="preserve">however one recently published </w:t>
      </w:r>
      <w:r w:rsidR="00A74E58">
        <w:t xml:space="preserve">study </w:t>
      </w:r>
      <w:r w:rsidR="00364E29">
        <w:t xml:space="preserve">suggests this may </w:t>
      </w:r>
      <w:r w:rsidR="0068778B">
        <w:t xml:space="preserve">be </w:t>
      </w:r>
      <w:r w:rsidR="00A83B36">
        <w:t xml:space="preserve">more of </w:t>
      </w:r>
      <w:r w:rsidR="00364E29">
        <w:t>a concern at very high intakes of added sugars</w:t>
      </w:r>
      <w:r w:rsidR="00B95A3A">
        <w:t>)</w:t>
      </w:r>
      <w:r w:rsidR="00364E29">
        <w:rPr>
          <w:rStyle w:val="FootnoteReference"/>
        </w:rPr>
        <w:footnoteReference w:id="27"/>
      </w:r>
      <w:r w:rsidR="00D82FFA">
        <w:t>.</w:t>
      </w:r>
    </w:p>
    <w:p w14:paraId="15B76E10" w14:textId="3B1B1B17" w:rsidR="00E35B73" w:rsidRDefault="00E35B73" w:rsidP="00BC587F">
      <w:r>
        <w:t>There is increasing concern that intake of added sugars, particularly from sugar-sweetened beverages</w:t>
      </w:r>
      <w:r w:rsidR="001E3EB9" w:rsidRPr="00EB309A">
        <w:rPr>
          <w:rStyle w:val="FootnoteReference"/>
        </w:rPr>
        <w:footnoteReference w:id="28"/>
      </w:r>
      <w:r w:rsidR="00EB309A" w:rsidRPr="00EB309A">
        <w:rPr>
          <w:vertAlign w:val="superscript"/>
        </w:rPr>
        <w:t>,</w:t>
      </w:r>
      <w:r w:rsidR="00480CE1" w:rsidRPr="00EB309A">
        <w:rPr>
          <w:rStyle w:val="FootnoteReference"/>
        </w:rPr>
        <w:footnoteReference w:id="29"/>
      </w:r>
      <w:r w:rsidR="00EB309A" w:rsidRPr="00EB309A">
        <w:rPr>
          <w:vertAlign w:val="superscript"/>
        </w:rPr>
        <w:t>,</w:t>
      </w:r>
      <w:r w:rsidR="005565A1">
        <w:rPr>
          <w:rStyle w:val="FootnoteReference"/>
        </w:rPr>
        <w:footnoteReference w:id="30"/>
      </w:r>
      <w:r>
        <w:t xml:space="preserve"> increases overall energy intake </w:t>
      </w:r>
      <w:r w:rsidR="005565A1">
        <w:t>and can lead</w:t>
      </w:r>
      <w:r>
        <w:t xml:space="preserve"> weight gain</w:t>
      </w:r>
      <w:r w:rsidR="00AD6840">
        <w:t>, overweight and obesity</w:t>
      </w:r>
      <w:r w:rsidR="00AD6840" w:rsidRPr="00B95A3A">
        <w:rPr>
          <w:rStyle w:val="FootnoteReference"/>
        </w:rPr>
        <w:footnoteReference w:id="31"/>
      </w:r>
      <w:r w:rsidR="00AD6840">
        <w:t>.</w:t>
      </w:r>
      <w:r w:rsidR="00876F3B">
        <w:t xml:space="preserve"> </w:t>
      </w:r>
      <w:r w:rsidR="00AD6840">
        <w:t xml:space="preserve">Obesity is a major risk factor for </w:t>
      </w:r>
      <w:r>
        <w:t>non-communicable diseases</w:t>
      </w:r>
      <w:r w:rsidR="00AD6840">
        <w:t xml:space="preserve"> including diabetes, cardiovascular disease, some </w:t>
      </w:r>
      <w:proofErr w:type="gramStart"/>
      <w:r w:rsidR="00AD6840">
        <w:t>cancers</w:t>
      </w:r>
      <w:proofErr w:type="gramEnd"/>
      <w:r w:rsidR="002E483A">
        <w:t xml:space="preserve"> and other conditions such as musculoskeletal conditions and kidney disease</w:t>
      </w:r>
      <w:r w:rsidR="002E483A">
        <w:rPr>
          <w:rStyle w:val="FootnoteReference"/>
        </w:rPr>
        <w:footnoteReference w:id="32"/>
      </w:r>
      <w:r>
        <w:t>. Added sugars are also</w:t>
      </w:r>
      <w:r w:rsidR="00876F3B">
        <w:t xml:space="preserve"> associated with dental caries.</w:t>
      </w:r>
    </w:p>
    <w:p w14:paraId="0216391B" w14:textId="54284D57" w:rsidR="00364E29" w:rsidRDefault="00E35B73" w:rsidP="00BC587F">
      <w:r>
        <w:t>The association between consumption of added sugars and adverse health outcomes is through added sugar’s contribution to excess energy intakes</w:t>
      </w:r>
      <w:r>
        <w:rPr>
          <w:rStyle w:val="FootnoteReference"/>
        </w:rPr>
        <w:footnoteReference w:id="33"/>
      </w:r>
      <w:r>
        <w:t xml:space="preserve">. </w:t>
      </w:r>
      <w:r w:rsidR="00672973" w:rsidRPr="00CB626B">
        <w:t>M</w:t>
      </w:r>
      <w:r w:rsidR="00316D3C" w:rsidRPr="00CB626B">
        <w:t>ore evidence is needed to determine whether added sugar</w:t>
      </w:r>
      <w:r w:rsidR="00276502" w:rsidRPr="00CB626B">
        <w:t>s</w:t>
      </w:r>
      <w:r w:rsidR="00316D3C" w:rsidRPr="00CB626B">
        <w:t xml:space="preserve"> per se ha</w:t>
      </w:r>
      <w:r w:rsidR="0068778B">
        <w:t>ve</w:t>
      </w:r>
      <w:r w:rsidR="00316D3C" w:rsidRPr="00CB626B">
        <w:t xml:space="preserve"> a negative impact on health. A </w:t>
      </w:r>
      <w:r w:rsidR="00CC29DC">
        <w:t xml:space="preserve">rapid </w:t>
      </w:r>
      <w:r w:rsidR="00316D3C" w:rsidRPr="00CB626B">
        <w:t>review of the available evidence commissioned by NSW Health in 2015 concluded there is clear evidence to be concerned about levels of sugar</w:t>
      </w:r>
      <w:r w:rsidR="00276502" w:rsidRPr="00CB626B">
        <w:t>s</w:t>
      </w:r>
      <w:r w:rsidR="00316D3C" w:rsidRPr="00CB626B">
        <w:t xml:space="preserve"> intake in the form of sugar-sweetened beverages but insufficient evidence to support concern regarding the added sugar</w:t>
      </w:r>
      <w:r w:rsidR="00276502" w:rsidRPr="00CB626B">
        <w:t>s</w:t>
      </w:r>
      <w:r w:rsidR="00316D3C" w:rsidRPr="00CB626B">
        <w:t xml:space="preserve"> content of otherwise nutritious foods (such as yoghurt, flavoured </w:t>
      </w:r>
      <w:proofErr w:type="gramStart"/>
      <w:r w:rsidR="00316D3C" w:rsidRPr="00CB626B">
        <w:t>milk</w:t>
      </w:r>
      <w:proofErr w:type="gramEnd"/>
      <w:r w:rsidR="00316D3C" w:rsidRPr="00CB626B">
        <w:t xml:space="preserve"> or breakfast cereal), beyond their contribution to overall kilojoule intake</w:t>
      </w:r>
      <w:r w:rsidR="00316D3C" w:rsidRPr="00CB626B">
        <w:rPr>
          <w:rStyle w:val="FootnoteReference"/>
        </w:rPr>
        <w:footnoteReference w:id="34"/>
      </w:r>
      <w:r w:rsidR="00316D3C" w:rsidRPr="00CB626B">
        <w:t>. It is important to note that most of this evidence is from observational studies.</w:t>
      </w:r>
    </w:p>
    <w:p w14:paraId="3C4BF01A" w14:textId="7A72F5BC" w:rsidR="00364E29" w:rsidRPr="00CB626B" w:rsidRDefault="00E35B73" w:rsidP="00BC587F">
      <w:r>
        <w:t>However</w:t>
      </w:r>
      <w:r w:rsidR="00DE5566">
        <w:t>, a</w:t>
      </w:r>
      <w:r w:rsidR="00364E29">
        <w:t xml:space="preserve"> systematic literature revi</w:t>
      </w:r>
      <w:r w:rsidR="00CC29DC">
        <w:t xml:space="preserve">ew and meta-analysis of </w:t>
      </w:r>
      <w:r w:rsidR="00364E29">
        <w:t xml:space="preserve">randomised controlled trials (the highest quality study design) </w:t>
      </w:r>
      <w:r w:rsidR="00CC29DC">
        <w:t>on intakes of added sugars and blood cholesterol or blood pressure outcomes was published in 2014</w:t>
      </w:r>
      <w:r w:rsidR="00CC29DC">
        <w:rPr>
          <w:rStyle w:val="FootnoteReference"/>
        </w:rPr>
        <w:footnoteReference w:id="35"/>
      </w:r>
      <w:r w:rsidR="00CC29DC">
        <w:t xml:space="preserve">. This study </w:t>
      </w:r>
      <w:r w:rsidR="00364E29">
        <w:t xml:space="preserve">reported that </w:t>
      </w:r>
      <w:r w:rsidR="00CC29DC">
        <w:t xml:space="preserve">higher </w:t>
      </w:r>
      <w:r w:rsidR="00364E29">
        <w:t xml:space="preserve">dietary </w:t>
      </w:r>
      <w:r w:rsidR="00CC29DC">
        <w:t xml:space="preserve">intake of added </w:t>
      </w:r>
      <w:r w:rsidR="00364E29">
        <w:t>sugars</w:t>
      </w:r>
      <w:r w:rsidR="00CC29DC">
        <w:t xml:space="preserve"> increased</w:t>
      </w:r>
      <w:r w:rsidR="00364E29">
        <w:t xml:space="preserve"> blood pressure and cholesterol levels</w:t>
      </w:r>
      <w:r w:rsidR="00CC29DC">
        <w:t xml:space="preserve"> (total cholesterol, </w:t>
      </w:r>
      <w:proofErr w:type="gramStart"/>
      <w:r w:rsidR="00CC29DC">
        <w:t>triglycerides</w:t>
      </w:r>
      <w:proofErr w:type="gramEnd"/>
      <w:r w:rsidR="00CC29DC">
        <w:t xml:space="preserve"> and low-density lipoproteins)</w:t>
      </w:r>
      <w:r w:rsidR="00364E29">
        <w:t xml:space="preserve">, independent of the effects of </w:t>
      </w:r>
      <w:r w:rsidR="00CC29DC">
        <w:t xml:space="preserve">added </w:t>
      </w:r>
      <w:r w:rsidR="00364E29">
        <w:t>sugars on bo</w:t>
      </w:r>
      <w:r w:rsidR="00876F3B">
        <w:t>dy weight.</w:t>
      </w:r>
    </w:p>
    <w:p w14:paraId="5AAB433B" w14:textId="7ABAC9D0" w:rsidR="007836B4" w:rsidRPr="00C71F51" w:rsidRDefault="00125C95" w:rsidP="00314A5D">
      <w:pPr>
        <w:pStyle w:val="Heading2"/>
        <w:rPr>
          <w:rStyle w:val="Heading3Char"/>
        </w:rPr>
      </w:pPr>
      <w:bookmarkStart w:id="68" w:name="_Toc490826153"/>
      <w:bookmarkStart w:id="69" w:name="_Toc512860861"/>
      <w:bookmarkStart w:id="70" w:name="_Toc513468708"/>
      <w:bookmarkStart w:id="71" w:name="_Toc513546881"/>
      <w:bookmarkStart w:id="72" w:name="_Toc6323600"/>
      <w:r>
        <w:t xml:space="preserve">Recommendations about </w:t>
      </w:r>
      <w:r w:rsidR="007836B4" w:rsidRPr="004765E2">
        <w:t>intake</w:t>
      </w:r>
      <w:r w:rsidR="003234BA" w:rsidRPr="004765E2">
        <w:t xml:space="preserve"> of sugars</w:t>
      </w:r>
      <w:r w:rsidR="00E54CA6" w:rsidRPr="004765E2">
        <w:t xml:space="preserve"> in Australia, </w:t>
      </w:r>
      <w:r w:rsidR="0068778B" w:rsidRPr="004765E2">
        <w:t>New</w:t>
      </w:r>
      <w:r w:rsidR="0068778B">
        <w:t> </w:t>
      </w:r>
      <w:r w:rsidR="00E54CA6" w:rsidRPr="004765E2">
        <w:t>Zealand and</w:t>
      </w:r>
      <w:r w:rsidR="007836B4" w:rsidRPr="004765E2">
        <w:t xml:space="preserve"> internationally</w:t>
      </w:r>
      <w:bookmarkEnd w:id="68"/>
      <w:bookmarkEnd w:id="69"/>
      <w:bookmarkEnd w:id="70"/>
      <w:bookmarkEnd w:id="71"/>
      <w:bookmarkEnd w:id="72"/>
    </w:p>
    <w:p w14:paraId="32FFBCCB" w14:textId="6DC11016" w:rsidR="00D716AF" w:rsidRPr="00BC587F" w:rsidRDefault="00D716AF" w:rsidP="00BC587F">
      <w:r w:rsidRPr="00BC587F">
        <w:t>Current dietary advice focusses on reducing intakes of added sugars</w:t>
      </w:r>
      <w:r w:rsidR="00E35B73" w:rsidRPr="00BC587F">
        <w:t>, not naturally occurring intrinsic sugars</w:t>
      </w:r>
      <w:r w:rsidR="00876F3B" w:rsidRPr="00BC587F">
        <w:t>.</w:t>
      </w:r>
    </w:p>
    <w:p w14:paraId="47360239" w14:textId="779A218D" w:rsidR="00E54CA6" w:rsidRPr="00BC587F" w:rsidRDefault="00E54CA6" w:rsidP="00BC587F">
      <w:r w:rsidRPr="00BC587F">
        <w:t>The 2013 Australian Dietary Guidelines</w:t>
      </w:r>
      <w:r w:rsidRPr="00181998">
        <w:rPr>
          <w:rStyle w:val="FootnoteReference"/>
        </w:rPr>
        <w:footnoteReference w:id="36"/>
      </w:r>
      <w:r w:rsidRPr="00181998">
        <w:rPr>
          <w:rStyle w:val="FootnoteReference"/>
        </w:rPr>
        <w:t xml:space="preserve"> </w:t>
      </w:r>
      <w:r w:rsidRPr="00BC587F">
        <w:t>and 2015 Eating and Activity Guidelines for New Zealand Adults</w:t>
      </w:r>
      <w:r w:rsidRPr="00181998">
        <w:rPr>
          <w:rStyle w:val="FootnoteReference"/>
        </w:rPr>
        <w:footnoteReference w:id="37"/>
      </w:r>
      <w:r w:rsidRPr="00181998">
        <w:rPr>
          <w:rStyle w:val="FootnoteReference"/>
        </w:rPr>
        <w:t xml:space="preserve"> </w:t>
      </w:r>
      <w:r w:rsidRPr="00BC587F">
        <w:t xml:space="preserve">recommend limiting intakes of foods and drinks containing added sugars (as well as saturated fats, added </w:t>
      </w:r>
      <w:r w:rsidR="00B035DC" w:rsidRPr="00BC587F">
        <w:t>salt and alcohol).</w:t>
      </w:r>
      <w:r w:rsidR="00F706EA" w:rsidRPr="00BC587F">
        <w:t xml:space="preserve"> </w:t>
      </w:r>
      <w:r w:rsidR="003E66E6" w:rsidRPr="00BC587F">
        <w:t>These Dietary Guidelines</w:t>
      </w:r>
      <w:r w:rsidR="0068778B" w:rsidRPr="00BC587F">
        <w:t xml:space="preserve"> </w:t>
      </w:r>
      <w:r w:rsidR="003E66E6" w:rsidRPr="00BC587F">
        <w:t>provide examples of types of food and drinks high in added sugar</w:t>
      </w:r>
      <w:r w:rsidR="00276502" w:rsidRPr="00BC587F">
        <w:t>s</w:t>
      </w:r>
      <w:r w:rsidR="003E66E6" w:rsidRPr="00BC587F">
        <w:t xml:space="preserve">, however, they do not provide a quantified limit on the </w:t>
      </w:r>
      <w:proofErr w:type="gramStart"/>
      <w:r w:rsidR="003E66E6" w:rsidRPr="00BC587F">
        <w:t>amount</w:t>
      </w:r>
      <w:proofErr w:type="gramEnd"/>
      <w:r w:rsidR="003E66E6" w:rsidRPr="00BC587F">
        <w:t xml:space="preserve"> of added sugars suitable for the whole population.</w:t>
      </w:r>
    </w:p>
    <w:p w14:paraId="58D5E043" w14:textId="207D97BD" w:rsidR="009B5081" w:rsidRPr="00CB626B" w:rsidRDefault="00316D3C" w:rsidP="00BC587F">
      <w:r w:rsidRPr="00CB626B">
        <w:t xml:space="preserve">The WHO 2015 </w:t>
      </w:r>
      <w:r w:rsidRPr="00F70C9F">
        <w:rPr>
          <w:rStyle w:val="Emphasis"/>
        </w:rPr>
        <w:t>Sugars Intake for Adults and Children</w:t>
      </w:r>
      <w:r w:rsidRPr="00CB626B">
        <w:rPr>
          <w:rStyle w:val="FootnoteReference"/>
        </w:rPr>
        <w:footnoteReference w:id="38"/>
      </w:r>
      <w:r w:rsidRPr="00CB626B">
        <w:t xml:space="preserve"> guideline provides a ‘strong’ recommendation that </w:t>
      </w:r>
      <w:r w:rsidR="00E54CA6" w:rsidRPr="00CB626B">
        <w:t>added</w:t>
      </w:r>
      <w:r w:rsidRPr="00CB626B">
        <w:t xml:space="preserve"> sugars</w:t>
      </w:r>
      <w:r w:rsidR="00935489">
        <w:rPr>
          <w:rStyle w:val="FootnoteReference"/>
        </w:rPr>
        <w:footnoteReference w:id="39"/>
      </w:r>
      <w:r w:rsidRPr="00CB626B">
        <w:t xml:space="preserve"> </w:t>
      </w:r>
      <w:r w:rsidR="00E35B73">
        <w:t>should account for less than 10 percent</w:t>
      </w:r>
      <w:r w:rsidRPr="00CB626B">
        <w:t xml:space="preserve"> of total energy intake (approx</w:t>
      </w:r>
      <w:r w:rsidR="0068778B">
        <w:t>imately</w:t>
      </w:r>
      <w:r w:rsidRPr="00CB626B">
        <w:t xml:space="preserve"> 50 grams/</w:t>
      </w:r>
      <w:r w:rsidR="00731932" w:rsidRPr="00CB626B">
        <w:t xml:space="preserve"> </w:t>
      </w:r>
      <w:r w:rsidRPr="00CB626B">
        <w:t>12 teaspoons</w:t>
      </w:r>
      <w:r w:rsidR="00993D69" w:rsidRPr="00CB626B">
        <w:rPr>
          <w:rStyle w:val="FootnoteReference"/>
        </w:rPr>
        <w:footnoteReference w:id="40"/>
      </w:r>
      <w:r w:rsidRPr="00CB626B">
        <w:t>) for the prevention of unhealthy weight gain and dental caries.</w:t>
      </w:r>
    </w:p>
    <w:p w14:paraId="1FA5FD95" w14:textId="231FA107" w:rsidR="00316D3C" w:rsidRPr="00CB626B" w:rsidRDefault="00316D3C" w:rsidP="00BC587F">
      <w:r w:rsidRPr="00CB626B">
        <w:t xml:space="preserve">The WHO guideline makes an additional ‘conditional’ recommendation that intake of </w:t>
      </w:r>
      <w:r w:rsidR="00E54CA6" w:rsidRPr="00CB626B">
        <w:t>added</w:t>
      </w:r>
      <w:r w:rsidR="00E35B73">
        <w:t xml:space="preserve"> sugars at less than 5 percent</w:t>
      </w:r>
      <w:r w:rsidRPr="00CB626B">
        <w:t xml:space="preserve"> of total energy intake (approx</w:t>
      </w:r>
      <w:r w:rsidR="0068778B">
        <w:t>imately</w:t>
      </w:r>
      <w:r w:rsidRPr="00CB626B">
        <w:t xml:space="preserve"> 25 grams</w:t>
      </w:r>
      <w:r w:rsidR="006D608D">
        <w:t xml:space="preserve"> </w:t>
      </w:r>
      <w:r w:rsidRPr="00CB626B">
        <w:t>/</w:t>
      </w:r>
      <w:r w:rsidR="00731932" w:rsidRPr="00CB626B">
        <w:t xml:space="preserve"> </w:t>
      </w:r>
      <w:r w:rsidRPr="00CB626B">
        <w:t>6 teaspoons) would provide additional health benefits, particularly</w:t>
      </w:r>
      <w:r w:rsidR="003234BA">
        <w:t xml:space="preserve"> in relation to dental caries. </w:t>
      </w:r>
      <w:r w:rsidRPr="00CB626B">
        <w:t xml:space="preserve">These recommendations were based on the totality of evidence reviewed regarding the relationship between </w:t>
      </w:r>
      <w:r w:rsidR="00E54CA6" w:rsidRPr="00CB626B">
        <w:t>added</w:t>
      </w:r>
      <w:r w:rsidRPr="00CB626B">
        <w:t xml:space="preserve"> sugars intake and body weight (low and moderate quality evidence) and dental caries (very low and moderate quality evidence).</w:t>
      </w:r>
    </w:p>
    <w:p w14:paraId="540C8492" w14:textId="1B88A342" w:rsidR="00316D3C" w:rsidRPr="00CB626B" w:rsidRDefault="00316D3C" w:rsidP="00BC587F">
      <w:r w:rsidRPr="00CB626B">
        <w:t>In 2015, the UK Scientific Advisory Committee on Nutrition advised that the UK population’s</w:t>
      </w:r>
      <w:r w:rsidR="00EF5F30" w:rsidRPr="00CB626B">
        <w:t xml:space="preserve"> average</w:t>
      </w:r>
      <w:r w:rsidRPr="00CB626B">
        <w:t xml:space="preserve"> intake of </w:t>
      </w:r>
      <w:r w:rsidR="00E54CA6" w:rsidRPr="00CB626B">
        <w:t>added sugars</w:t>
      </w:r>
      <w:r w:rsidRPr="00CB626B">
        <w:t xml:space="preserve"> should </w:t>
      </w:r>
      <w:r w:rsidR="00EF5F30" w:rsidRPr="00CB626B">
        <w:t>not exceed</w:t>
      </w:r>
      <w:r w:rsidRPr="00CB626B">
        <w:t xml:space="preserve"> 5% of total energy intake based on evidence on the effect of </w:t>
      </w:r>
      <w:r w:rsidR="00E54CA6" w:rsidRPr="00CB626B">
        <w:t>added</w:t>
      </w:r>
      <w:r w:rsidRPr="00CB626B">
        <w:t xml:space="preserve"> sugars on the risk of dental caries and on total energy intake</w:t>
      </w:r>
      <w:r w:rsidRPr="00CB626B">
        <w:rPr>
          <w:rStyle w:val="FootnoteReference"/>
        </w:rPr>
        <w:footnoteReference w:id="41"/>
      </w:r>
      <w:r w:rsidR="00876F3B">
        <w:t>.</w:t>
      </w:r>
    </w:p>
    <w:p w14:paraId="010C601C" w14:textId="54F87C13" w:rsidR="00316D3C" w:rsidRPr="00CB626B" w:rsidRDefault="00316D3C" w:rsidP="00BC587F">
      <w:r w:rsidRPr="00CB626B">
        <w:t xml:space="preserve">The </w:t>
      </w:r>
      <w:r w:rsidRPr="00F70C9F">
        <w:rPr>
          <w:rStyle w:val="Emphasis"/>
        </w:rPr>
        <w:t>2015-2020 Dietary Guidelines for Americans</w:t>
      </w:r>
      <w:r w:rsidRPr="00CB626B">
        <w:rPr>
          <w:rStyle w:val="FootnoteReference"/>
        </w:rPr>
        <w:footnoteReference w:id="42"/>
      </w:r>
      <w:r w:rsidRPr="00CB626B">
        <w:t xml:space="preserve"> recommend a limit for added sugar</w:t>
      </w:r>
      <w:r w:rsidR="00276502" w:rsidRPr="00CB626B">
        <w:t>s</w:t>
      </w:r>
      <w:r w:rsidRPr="00CB626B">
        <w:t xml:space="preserve"> intake of less than 10% of total energy for adults and children. This is justified by the explanation that, for most </w:t>
      </w:r>
      <w:r w:rsidR="00993D69" w:rsidRPr="00CB626B">
        <w:t xml:space="preserve">people’s daily </w:t>
      </w:r>
      <w:r w:rsidR="00F53BEB" w:rsidRPr="00CB626B">
        <w:t>energy (kilojoule)</w:t>
      </w:r>
      <w:r w:rsidRPr="00CB626B">
        <w:t xml:space="preserve"> </w:t>
      </w:r>
      <w:r w:rsidR="00993D69" w:rsidRPr="00CB626B">
        <w:t>requirements</w:t>
      </w:r>
      <w:r w:rsidRPr="00CB626B">
        <w:t xml:space="preserve">, there are not enough </w:t>
      </w:r>
      <w:r w:rsidR="00993D69" w:rsidRPr="00CB626B">
        <w:t>kilojoules</w:t>
      </w:r>
      <w:r w:rsidRPr="00CB626B">
        <w:t xml:space="preserve"> available after meeting food group needs to consume 10</w:t>
      </w:r>
      <w:r w:rsidR="009F63E5">
        <w:t> </w:t>
      </w:r>
      <w:r w:rsidRPr="00CB626B">
        <w:t xml:space="preserve">percent of </w:t>
      </w:r>
      <w:r w:rsidR="00993D69" w:rsidRPr="00CB626B">
        <w:t>energy</w:t>
      </w:r>
      <w:r w:rsidRPr="00CB626B">
        <w:t xml:space="preserve"> from added sugars and 10 percent of </w:t>
      </w:r>
      <w:r w:rsidR="00993D69" w:rsidRPr="00CB626B">
        <w:t>energy</w:t>
      </w:r>
      <w:r w:rsidRPr="00CB626B">
        <w:t xml:space="preserve"> from saturated fats and still stay within </w:t>
      </w:r>
      <w:r w:rsidR="00F53BEB" w:rsidRPr="00CB626B">
        <w:t>energy</w:t>
      </w:r>
      <w:r w:rsidRPr="00CB626B">
        <w:t xml:space="preserve"> limits</w:t>
      </w:r>
      <w:r w:rsidR="00047920" w:rsidRPr="00CB626B">
        <w:rPr>
          <w:rStyle w:val="FootnoteReference"/>
        </w:rPr>
        <w:footnoteReference w:id="43"/>
      </w:r>
      <w:r w:rsidRPr="00CB626B">
        <w:t>.</w:t>
      </w:r>
    </w:p>
    <w:p w14:paraId="52CFB670" w14:textId="58F1370D" w:rsidR="00C541D2" w:rsidRPr="00CB626B" w:rsidRDefault="00EF5F30" w:rsidP="00BC587F">
      <w:r w:rsidRPr="00CB626B">
        <w:t>In Europe, f</w:t>
      </w:r>
      <w:r w:rsidR="00316D3C" w:rsidRPr="00CB626B">
        <w:t>ollowing a request from Nordic countries, the European Food Safety Authority will provide scientific guidance on the daily intake of added sugar</w:t>
      </w:r>
      <w:r w:rsidR="00A44B68" w:rsidRPr="00CB626B">
        <w:t>s</w:t>
      </w:r>
      <w:r w:rsidR="00316D3C" w:rsidRPr="00CB626B">
        <w:t xml:space="preserve"> in food by early 2020. The aim of this work is to provide a science-based cut off value for the daily consumption of added sugar</w:t>
      </w:r>
      <w:r w:rsidR="00276502" w:rsidRPr="00CB626B">
        <w:t>s</w:t>
      </w:r>
      <w:r w:rsidR="00316D3C" w:rsidRPr="00CB626B">
        <w:t xml:space="preserve"> that is not associated with adverse health effects. The assessment will consider the adverse health effects of added sugar</w:t>
      </w:r>
      <w:r w:rsidR="00276502" w:rsidRPr="00CB626B">
        <w:t>s</w:t>
      </w:r>
      <w:r w:rsidR="00316D3C" w:rsidRPr="00CB626B">
        <w:t xml:space="preserve"> on the general population </w:t>
      </w:r>
      <w:proofErr w:type="gramStart"/>
      <w:r w:rsidR="00316D3C" w:rsidRPr="00CB626B">
        <w:t>in regards to</w:t>
      </w:r>
      <w:proofErr w:type="gramEnd"/>
      <w:r w:rsidR="00316D3C" w:rsidRPr="00CB626B">
        <w:t xml:space="preserve"> body weight, glucose intolerance and insulin sensitivity, type</w:t>
      </w:r>
      <w:r w:rsidR="009F63E5">
        <w:noBreakHyphen/>
      </w:r>
      <w:r w:rsidR="00316D3C" w:rsidRPr="00CB626B">
        <w:t>2 diabetes, cardiovascular risk factors, as well as dental caries</w:t>
      </w:r>
      <w:r w:rsidR="00316D3C" w:rsidRPr="00CB626B">
        <w:rPr>
          <w:rStyle w:val="FootnoteReference"/>
        </w:rPr>
        <w:footnoteReference w:id="44"/>
      </w:r>
      <w:r w:rsidR="00876F3B">
        <w:t>.</w:t>
      </w:r>
    </w:p>
    <w:p w14:paraId="0596BD3C" w14:textId="149F7CC0" w:rsidR="007836B4" w:rsidRPr="00CB626B" w:rsidRDefault="00E35B73" w:rsidP="00314A5D">
      <w:pPr>
        <w:pStyle w:val="Heading2"/>
      </w:pPr>
      <w:bookmarkStart w:id="73" w:name="_Toc6323601"/>
      <w:bookmarkStart w:id="74" w:name="_Toc512860862"/>
      <w:bookmarkStart w:id="75" w:name="_Toc513468709"/>
      <w:bookmarkStart w:id="76" w:name="_Toc513546882"/>
      <w:r>
        <w:t>Intakes of added s</w:t>
      </w:r>
      <w:r w:rsidR="007836B4" w:rsidRPr="00CB626B">
        <w:t>ugar</w:t>
      </w:r>
      <w:r w:rsidR="00276502" w:rsidRPr="00CB626B">
        <w:t>s</w:t>
      </w:r>
      <w:r w:rsidR="007836B4" w:rsidRPr="00CB626B">
        <w:t xml:space="preserve"> </w:t>
      </w:r>
      <w:r w:rsidRPr="00CB626B">
        <w:t xml:space="preserve">in Australia and New Zealand </w:t>
      </w:r>
      <w:r w:rsidR="00C541D2" w:rsidRPr="00CB626B">
        <w:t>and associated health outcomes</w:t>
      </w:r>
      <w:bookmarkEnd w:id="73"/>
      <w:bookmarkEnd w:id="74"/>
      <w:bookmarkEnd w:id="75"/>
      <w:bookmarkEnd w:id="76"/>
    </w:p>
    <w:p w14:paraId="02E65DE0" w14:textId="25FA7D17" w:rsidR="00125D76" w:rsidRPr="00CB626B" w:rsidRDefault="001A57B3" w:rsidP="00BC587F">
      <w:bookmarkStart w:id="77" w:name="_Toc490826156"/>
      <w:r w:rsidRPr="00CB626B">
        <w:t>The latest data available indicates that o</w:t>
      </w:r>
      <w:r w:rsidR="00125D76" w:rsidRPr="00CB626B">
        <w:t>n average, over half of Australians and New</w:t>
      </w:r>
      <w:r w:rsidR="009F63E5">
        <w:t> </w:t>
      </w:r>
      <w:r w:rsidR="00125D76" w:rsidRPr="00CB626B">
        <w:t xml:space="preserve">Zealanders </w:t>
      </w:r>
      <w:r w:rsidR="00121DAC" w:rsidRPr="00CB626B">
        <w:t>exceeded</w:t>
      </w:r>
      <w:r w:rsidR="00125D76" w:rsidRPr="00CB626B">
        <w:t xml:space="preserve"> the WHO’s recommend</w:t>
      </w:r>
      <w:r w:rsidR="0064082B">
        <w:t>ed limits</w:t>
      </w:r>
      <w:r w:rsidR="00125D76" w:rsidRPr="00CB626B">
        <w:t xml:space="preserve"> in relation to</w:t>
      </w:r>
      <w:r w:rsidR="00A44B68" w:rsidRPr="00CB626B">
        <w:t xml:space="preserve"> the</w:t>
      </w:r>
      <w:r w:rsidR="00125D76" w:rsidRPr="00CB626B">
        <w:t xml:space="preserve"> </w:t>
      </w:r>
      <w:r w:rsidR="00A44B68" w:rsidRPr="00CB626B">
        <w:t xml:space="preserve">consumption of </w:t>
      </w:r>
      <w:r w:rsidR="00125D76" w:rsidRPr="00CB626B">
        <w:t>added sugar</w:t>
      </w:r>
      <w:r w:rsidR="00A44B68" w:rsidRPr="00CB626B">
        <w:t>s</w:t>
      </w:r>
      <w:r w:rsidR="00125D76" w:rsidRPr="00CB626B">
        <w:t xml:space="preserve"> </w:t>
      </w:r>
      <w:r w:rsidR="00121DAC" w:rsidRPr="00CB626B">
        <w:t>in 2011-12 and 2008-09 respectively</w:t>
      </w:r>
      <w:r w:rsidR="00F53BEB" w:rsidRPr="00CB626B">
        <w:rPr>
          <w:rStyle w:val="FootnoteReference"/>
        </w:rPr>
        <w:footnoteReference w:id="45"/>
      </w:r>
      <w:r w:rsidR="00021564" w:rsidRPr="00021564">
        <w:rPr>
          <w:vertAlign w:val="superscript"/>
        </w:rPr>
        <w:t>,</w:t>
      </w:r>
      <w:r w:rsidR="004B6C4C" w:rsidRPr="00021564">
        <w:rPr>
          <w:rStyle w:val="FootnoteReference"/>
        </w:rPr>
        <w:footnoteReference w:id="46"/>
      </w:r>
      <w:r w:rsidR="00125C95">
        <w:rPr>
          <w:vertAlign w:val="superscript"/>
        </w:rPr>
        <w:t>,</w:t>
      </w:r>
      <w:r w:rsidR="004B6C4C" w:rsidRPr="00CB626B">
        <w:rPr>
          <w:rStyle w:val="FootnoteReference"/>
        </w:rPr>
        <w:footnoteReference w:id="47"/>
      </w:r>
      <w:r w:rsidR="00125D76" w:rsidRPr="00CB626B">
        <w:t xml:space="preserve">. Adolescents </w:t>
      </w:r>
      <w:proofErr w:type="gramStart"/>
      <w:r w:rsidR="00125D76" w:rsidRPr="00CB626B">
        <w:t>in particular were</w:t>
      </w:r>
      <w:proofErr w:type="gramEnd"/>
      <w:r w:rsidR="00125D76" w:rsidRPr="00CB626B">
        <w:t xml:space="preserve"> the highest consumers of added sugars in both </w:t>
      </w:r>
      <w:r w:rsidR="00C541D2" w:rsidRPr="00CB626B">
        <w:t>countries</w:t>
      </w:r>
      <w:r w:rsidR="00125D76" w:rsidRPr="00CB626B">
        <w:t>, and compared to other age groups</w:t>
      </w:r>
      <w:r w:rsidR="007E312F" w:rsidRPr="00CB626B">
        <w:t>,</w:t>
      </w:r>
      <w:r w:rsidR="00125D76" w:rsidRPr="00CB626B">
        <w:t xml:space="preserve"> adolescents were most likely to e</w:t>
      </w:r>
      <w:r w:rsidR="009F63E5">
        <w:t>xceed the WHO</w:t>
      </w:r>
      <w:r w:rsidR="0064082B">
        <w:t xml:space="preserve"> recommended</w:t>
      </w:r>
      <w:r w:rsidR="009F63E5">
        <w:t xml:space="preserve"> </w:t>
      </w:r>
      <w:r w:rsidR="0064082B">
        <w:t>limits for consumption of added sugars</w:t>
      </w:r>
      <w:r w:rsidR="009F63E5">
        <w:t xml:space="preserve">. </w:t>
      </w:r>
      <w:r w:rsidR="007E312F" w:rsidRPr="00CB626B">
        <w:t>Sugar-sweetened beverages were t</w:t>
      </w:r>
      <w:r w:rsidR="00125D76" w:rsidRPr="00CB626B">
        <w:t>he main contributor to added sugar</w:t>
      </w:r>
      <w:r w:rsidR="00A44B68" w:rsidRPr="00CB626B">
        <w:t>s</w:t>
      </w:r>
      <w:r w:rsidR="00125D76" w:rsidRPr="00CB626B">
        <w:t xml:space="preserve"> intakes in the Australia </w:t>
      </w:r>
      <w:r w:rsidR="00A32013" w:rsidRPr="00CB626B">
        <w:t>population</w:t>
      </w:r>
      <w:r w:rsidR="0068778B">
        <w:t>. N</w:t>
      </w:r>
      <w:r w:rsidR="00A32013" w:rsidRPr="00CB626B">
        <w:t>o analysis of the main contributors of added sugar</w:t>
      </w:r>
      <w:r w:rsidR="00A44B68" w:rsidRPr="00CB626B">
        <w:t>s</w:t>
      </w:r>
      <w:r w:rsidR="00A32013" w:rsidRPr="00CB626B">
        <w:t xml:space="preserve"> in the New Zealand population is available</w:t>
      </w:r>
      <w:r w:rsidR="00876F3B">
        <w:t>.</w:t>
      </w:r>
    </w:p>
    <w:p w14:paraId="5AABFAE5" w14:textId="3E2A83C0" w:rsidR="00125D76" w:rsidRPr="00CB626B" w:rsidRDefault="005B73C5" w:rsidP="00BC587F">
      <w:r w:rsidRPr="00CB626B">
        <w:t>A</w:t>
      </w:r>
      <w:r w:rsidR="00125D76" w:rsidRPr="00CB626B">
        <w:t>n analysis of changes in added sugar</w:t>
      </w:r>
      <w:r w:rsidR="00A44B68" w:rsidRPr="00CB626B">
        <w:t>s</w:t>
      </w:r>
      <w:r w:rsidR="00125D76" w:rsidRPr="00CB626B">
        <w:t xml:space="preserve"> consumption </w:t>
      </w:r>
      <w:r w:rsidR="00C541D2" w:rsidRPr="00CB626B">
        <w:t xml:space="preserve">in Australia </w:t>
      </w:r>
      <w:r w:rsidR="00125D76" w:rsidRPr="00CB626B">
        <w:t>between 1995 and 2011-12</w:t>
      </w:r>
      <w:r w:rsidR="00121DAC" w:rsidRPr="00CB626B">
        <w:rPr>
          <w:rStyle w:val="FootnoteReference"/>
        </w:rPr>
        <w:footnoteReference w:id="48"/>
      </w:r>
      <w:r w:rsidR="00125D76" w:rsidRPr="00CB626B">
        <w:t xml:space="preserve"> indicates that the contribution of added sugar</w:t>
      </w:r>
      <w:r w:rsidR="00A44B68" w:rsidRPr="00CB626B">
        <w:t>s</w:t>
      </w:r>
      <w:r w:rsidR="00125D76" w:rsidRPr="00CB626B">
        <w:t xml:space="preserve"> to </w:t>
      </w:r>
      <w:r w:rsidR="00C541D2" w:rsidRPr="00CB626B">
        <w:t xml:space="preserve">total </w:t>
      </w:r>
      <w:r w:rsidR="00125D76" w:rsidRPr="00CB626B">
        <w:t xml:space="preserve">energy intakes </w:t>
      </w:r>
      <w:r w:rsidR="007E312F" w:rsidRPr="00CB626B">
        <w:t xml:space="preserve">in the Australian population </w:t>
      </w:r>
      <w:r w:rsidR="00125D76" w:rsidRPr="00CB626B">
        <w:t>has decreased</w:t>
      </w:r>
      <w:r w:rsidR="00E051A9" w:rsidRPr="00CB626B">
        <w:t xml:space="preserve">. This </w:t>
      </w:r>
      <w:r w:rsidR="00C541D2" w:rsidRPr="00CB626B">
        <w:t>has largely been dri</w:t>
      </w:r>
      <w:r w:rsidRPr="00CB626B">
        <w:t>ven by reductions in children’s</w:t>
      </w:r>
      <w:r w:rsidR="00C541D2" w:rsidRPr="00CB626B">
        <w:t xml:space="preserve"> consumption of sugar-sweetened beverages. </w:t>
      </w:r>
      <w:r w:rsidR="008D1E4E" w:rsidRPr="00CB626B">
        <w:t>Equivalent t</w:t>
      </w:r>
      <w:r w:rsidRPr="00CB626B">
        <w:t>rend data are not available for New Zealand.</w:t>
      </w:r>
    </w:p>
    <w:bookmarkEnd w:id="77"/>
    <w:p w14:paraId="2934CFB4" w14:textId="54A750B4" w:rsidR="00E54CA6" w:rsidRPr="00E35B73" w:rsidRDefault="00706998" w:rsidP="00BC587F">
      <w:r w:rsidRPr="00E35B73">
        <w:t>Exc</w:t>
      </w:r>
      <w:r w:rsidR="002057BF">
        <w:t>eeding the WHO’s recommended limits</w:t>
      </w:r>
      <w:r w:rsidRPr="00E35B73">
        <w:t xml:space="preserve"> for added sugar</w:t>
      </w:r>
      <w:r w:rsidR="00A44B68" w:rsidRPr="00E35B73">
        <w:t>s</w:t>
      </w:r>
      <w:r w:rsidRPr="00E35B73">
        <w:t xml:space="preserve"> consumption has been associated with unhealthy weight gain and dental caries. </w:t>
      </w:r>
      <w:r w:rsidR="007E312F" w:rsidRPr="00E35B73">
        <w:t>While c</w:t>
      </w:r>
      <w:r w:rsidR="00E54CA6" w:rsidRPr="00E35B73">
        <w:t>auses of both these conditions are complex and do not relate solely to added sugar</w:t>
      </w:r>
      <w:r w:rsidR="00A44B68" w:rsidRPr="00E35B73">
        <w:t>s</w:t>
      </w:r>
      <w:r w:rsidR="00E54CA6" w:rsidRPr="00E35B73">
        <w:t xml:space="preserve"> consumption</w:t>
      </w:r>
      <w:r w:rsidR="007E312F" w:rsidRPr="00E35B73">
        <w:t>, these conditions place a significant burden on the Australian and New Zealand community in terms of direct and in-direct costs</w:t>
      </w:r>
      <w:r w:rsidR="00442CA8" w:rsidRPr="00DB3BF5">
        <w:rPr>
          <w:rStyle w:val="FootnoteReference"/>
        </w:rPr>
        <w:footnoteReference w:id="49"/>
      </w:r>
      <w:r w:rsidR="007E312F" w:rsidRPr="00DB3BF5">
        <w:t xml:space="preserve"> and health impacts</w:t>
      </w:r>
      <w:r w:rsidR="00A32013" w:rsidRPr="00DB3BF5">
        <w:rPr>
          <w:rStyle w:val="FootnoteReference"/>
        </w:rPr>
        <w:footnoteReference w:id="50"/>
      </w:r>
      <w:r w:rsidR="00DD5445" w:rsidRPr="001406BB">
        <w:t>,</w:t>
      </w:r>
      <w:r w:rsidR="00A32013" w:rsidRPr="00DB3BF5">
        <w:rPr>
          <w:rStyle w:val="FootnoteReference"/>
        </w:rPr>
        <w:footnoteReference w:id="51"/>
      </w:r>
      <w:r w:rsidR="00876F3B">
        <w:t>.</w:t>
      </w:r>
    </w:p>
    <w:p w14:paraId="2A1A77C1" w14:textId="07216C67" w:rsidR="00380E73" w:rsidRPr="00E35B73" w:rsidRDefault="00706998" w:rsidP="00BC587F">
      <w:r w:rsidRPr="00E35B73">
        <w:t>The prevalence of overweight and obesity ha</w:t>
      </w:r>
      <w:r w:rsidR="00E54CA6" w:rsidRPr="00E35B73">
        <w:t>s</w:t>
      </w:r>
      <w:r w:rsidRPr="00E35B73">
        <w:t xml:space="preserve"> increased</w:t>
      </w:r>
      <w:r w:rsidR="00E54CA6" w:rsidRPr="00E35B73">
        <w:t xml:space="preserve"> in both </w:t>
      </w:r>
      <w:r w:rsidR="00161919" w:rsidRPr="00E35B73">
        <w:t xml:space="preserve">New Zealand and </w:t>
      </w:r>
      <w:r w:rsidR="00E54CA6" w:rsidRPr="00E35B73">
        <w:t>Australia over the last ten to twenty years</w:t>
      </w:r>
      <w:r w:rsidR="005B73C5" w:rsidRPr="00E35B73">
        <w:t>,</w:t>
      </w:r>
      <w:r w:rsidR="00161919" w:rsidRPr="00E35B73">
        <w:t xml:space="preserve"> </w:t>
      </w:r>
      <w:r w:rsidR="00E54CA6" w:rsidRPr="00E35B73">
        <w:t xml:space="preserve">and now affects around two-thirds of the population in these countries. For children, rates of </w:t>
      </w:r>
      <w:r w:rsidR="00380E73" w:rsidRPr="00E35B73">
        <w:t>overweight</w:t>
      </w:r>
      <w:r w:rsidR="00E54CA6" w:rsidRPr="00E35B73">
        <w:t xml:space="preserve"> and obesity have remained stable in recent years.</w:t>
      </w:r>
      <w:r w:rsidR="007E312F" w:rsidRPr="00E35B73">
        <w:t xml:space="preserve"> Overweight and obesity disproportionately affects rural and remote populations, the socio</w:t>
      </w:r>
      <w:r w:rsidR="00886678">
        <w:noBreakHyphen/>
      </w:r>
      <w:proofErr w:type="gramStart"/>
      <w:r w:rsidR="007E312F" w:rsidRPr="00E35B73">
        <w:t>economically disadvantaged</w:t>
      </w:r>
      <w:proofErr w:type="gramEnd"/>
      <w:r w:rsidR="007E312F" w:rsidRPr="00E35B73">
        <w:t xml:space="preserve"> and Indigenous populations</w:t>
      </w:r>
      <w:r w:rsidR="001C1B3D" w:rsidRPr="00DB3BF5">
        <w:rPr>
          <w:rStyle w:val="FootnoteReference"/>
        </w:rPr>
        <w:footnoteReference w:id="52"/>
      </w:r>
      <w:r w:rsidR="00DD5445" w:rsidRPr="001406BB">
        <w:t>,</w:t>
      </w:r>
      <w:r w:rsidR="001C1B3D" w:rsidRPr="00DB3BF5">
        <w:rPr>
          <w:rStyle w:val="FootnoteReference"/>
        </w:rPr>
        <w:footnoteReference w:id="53"/>
      </w:r>
      <w:r w:rsidR="00876F3B">
        <w:t>.</w:t>
      </w:r>
    </w:p>
    <w:p w14:paraId="257A6CB8" w14:textId="15D4F6AC" w:rsidR="001A4ADB" w:rsidRPr="00DB3BF5" w:rsidRDefault="007E312F" w:rsidP="00BC587F">
      <w:pPr>
        <w:rPr>
          <w:rStyle w:val="FootnoteReference"/>
        </w:rPr>
      </w:pPr>
      <w:r w:rsidRPr="00E35B73">
        <w:t>Years of healthy life lost due to death and disability</w:t>
      </w:r>
      <w:r w:rsidR="00E54CA6" w:rsidRPr="00E35B73">
        <w:t xml:space="preserve"> </w:t>
      </w:r>
      <w:r w:rsidR="0011775A">
        <w:t>a</w:t>
      </w:r>
      <w:r w:rsidR="00E54CA6" w:rsidRPr="00E35B73">
        <w:t>ssociated with overweight and obesity has increased in both countries, and now represents the</w:t>
      </w:r>
      <w:r w:rsidR="00DF3326">
        <w:t xml:space="preserve"> second</w:t>
      </w:r>
      <w:r w:rsidR="00E54CA6" w:rsidRPr="00E35B73">
        <w:t xml:space="preserve"> leading risk factor for total disease burden in both Australia and New Zealand</w:t>
      </w:r>
      <w:r w:rsidR="00557E22" w:rsidRPr="00DB3BF5">
        <w:rPr>
          <w:rStyle w:val="FootnoteReference"/>
        </w:rPr>
        <w:footnoteReference w:id="54"/>
      </w:r>
      <w:r w:rsidR="00DD5445" w:rsidRPr="001406BB">
        <w:t>,</w:t>
      </w:r>
      <w:r w:rsidR="00557E22" w:rsidRPr="00DB3BF5">
        <w:rPr>
          <w:rStyle w:val="FootnoteReference"/>
        </w:rPr>
        <w:footnoteReference w:id="55"/>
      </w:r>
      <w:r w:rsidR="00876F3B" w:rsidRPr="00DB3BF5">
        <w:t>.</w:t>
      </w:r>
    </w:p>
    <w:p w14:paraId="73FA1F25" w14:textId="50127CA8" w:rsidR="00760421" w:rsidRPr="004F13AA" w:rsidRDefault="00760421" w:rsidP="00314A5D">
      <w:pPr>
        <w:pStyle w:val="Heading3"/>
      </w:pPr>
      <w:r w:rsidRPr="004F13AA">
        <w:t>Costs of obesity and dental caries</w:t>
      </w:r>
    </w:p>
    <w:p w14:paraId="322F6090" w14:textId="081253E3" w:rsidR="00E55A1F" w:rsidRPr="00BC587F" w:rsidRDefault="009C4A0A" w:rsidP="00030500">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BC587F">
        <w:t xml:space="preserve">The cost of obesity on society in Australia has been estimated to be $8.6 billion (in 2014-15 </w:t>
      </w:r>
      <w:r w:rsidR="00DB42E4" w:rsidRPr="00BC587F">
        <w:t xml:space="preserve">Australian </w:t>
      </w:r>
      <w:r w:rsidRPr="00BC587F">
        <w:t xml:space="preserve">dollars). This total figure includes $3.8 billion </w:t>
      </w:r>
      <w:r w:rsidR="00DB42E4" w:rsidRPr="00BC587F">
        <w:t xml:space="preserve">AUD </w:t>
      </w:r>
      <w:r w:rsidRPr="00BC587F">
        <w:t>in direct costs (</w:t>
      </w:r>
      <w:proofErr w:type="gramStart"/>
      <w:r w:rsidRPr="00BC587F">
        <w:t>e.g.</w:t>
      </w:r>
      <w:proofErr w:type="gramEnd"/>
      <w:r w:rsidRPr="00BC587F">
        <w:t xml:space="preserve"> clinical services, hospital care, pharmaceuticals) and $4.8 billion </w:t>
      </w:r>
      <w:r w:rsidR="00DB42E4" w:rsidRPr="00BC587F">
        <w:t xml:space="preserve">AUD </w:t>
      </w:r>
      <w:r w:rsidRPr="00BC587F">
        <w:t>in indirect costs (absenteeism, present</w:t>
      </w:r>
      <w:r w:rsidR="00DF3326" w:rsidRPr="00BC587F">
        <w:t>ee</w:t>
      </w:r>
      <w:r w:rsidRPr="00BC587F">
        <w:t>ism, forgone taxes)</w:t>
      </w:r>
      <w:r w:rsidRPr="00704EB8">
        <w:rPr>
          <w:vertAlign w:val="superscript"/>
        </w:rPr>
        <w:footnoteReference w:id="56"/>
      </w:r>
      <w:r w:rsidRPr="00BC587F">
        <w:t>. The consultant PricewaterhouseCoopers (PwC) estimates that if no further action is taken to slow the growth of obesity, there will be</w:t>
      </w:r>
      <w:r w:rsidR="00266A32" w:rsidRPr="00BC587F">
        <w:t xml:space="preserve"> an additional</w:t>
      </w:r>
      <w:r w:rsidRPr="00BC587F">
        <w:t xml:space="preserve"> 2.4 million more obese people in 2025 than in 2011-12 and $87.7 billion </w:t>
      </w:r>
      <w:r w:rsidR="00DB42E4" w:rsidRPr="00BC587F">
        <w:t xml:space="preserve">AUD </w:t>
      </w:r>
      <w:r w:rsidRPr="00BC587F">
        <w:t>in additional costs due to obesity to society over t</w:t>
      </w:r>
      <w:r w:rsidR="00876F3B" w:rsidRPr="00BC587F">
        <w:t>en years (2015-16 to 2024-25).</w:t>
      </w:r>
    </w:p>
    <w:p w14:paraId="4661405E" w14:textId="698A3D9C" w:rsidR="00EA64CB" w:rsidRPr="00BC587F" w:rsidRDefault="00E55A1F" w:rsidP="00030500">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BC587F">
        <w:t xml:space="preserve">In New Zealand, the cost of health care attributable to overweight and obesity in 2006 was estimated to be $686 million NZD, equivalent to 4.5% if New Zealand’s total health care expenditure in that year. Lost productivity associated with </w:t>
      </w:r>
      <w:proofErr w:type="gramStart"/>
      <w:r w:rsidRPr="00BC587F">
        <w:t>overweight</w:t>
      </w:r>
      <w:proofErr w:type="gramEnd"/>
      <w:r w:rsidRPr="00BC587F">
        <w:t xml:space="preserve"> and obesity was estimated to be between $98 million NZD and $225 million NZD depending on the methodology used</w:t>
      </w:r>
      <w:r w:rsidRPr="00704EB8">
        <w:rPr>
          <w:vertAlign w:val="superscript"/>
        </w:rPr>
        <w:footnoteReference w:id="57"/>
      </w:r>
      <w:r w:rsidR="00876F3B" w:rsidRPr="00BC587F">
        <w:t>.</w:t>
      </w:r>
    </w:p>
    <w:p w14:paraId="5B9A8D31" w14:textId="27C265BC" w:rsidR="00EA64CB" w:rsidRPr="00BC587F" w:rsidRDefault="00DB42E4" w:rsidP="00030500">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BC587F">
        <w:t>According to the Australian Dental Association, consumption</w:t>
      </w:r>
      <w:r w:rsidR="00A44B68" w:rsidRPr="00BC587F">
        <w:t xml:space="preserve"> of sugars</w:t>
      </w:r>
      <w:r w:rsidRPr="00BC587F">
        <w:t xml:space="preserve"> is the main contributor to dental caries</w:t>
      </w:r>
      <w:r w:rsidRPr="00704EB8">
        <w:rPr>
          <w:vertAlign w:val="superscript"/>
        </w:rPr>
        <w:footnoteReference w:id="58"/>
      </w:r>
      <w:r w:rsidRPr="00BC587F">
        <w:t>. Dental decay is estimated to affect up to five million people in Australia each year</w:t>
      </w:r>
      <w:r w:rsidRPr="00704EB8">
        <w:rPr>
          <w:vertAlign w:val="superscript"/>
        </w:rPr>
        <w:footnoteReference w:id="59"/>
      </w:r>
      <w:r w:rsidRPr="00BC587F">
        <w:t>. In 2015-16, an estimated $9.9 billion (AUD) was spent on oral health</w:t>
      </w:r>
      <w:r w:rsidRPr="00BC587F">
        <w:footnoteReference w:id="60"/>
      </w:r>
      <w:r w:rsidRPr="00BC587F">
        <w:t xml:space="preserve"> in Australia. In New Zealand, dental caries </w:t>
      </w:r>
      <w:proofErr w:type="gramStart"/>
      <w:r w:rsidRPr="00BC587F">
        <w:t>remain</w:t>
      </w:r>
      <w:proofErr w:type="gramEnd"/>
      <w:r w:rsidRPr="00BC587F">
        <w:t xml:space="preserve"> the most prevalent chronic (and irreversible) disease; however, the cost impact of this con</w:t>
      </w:r>
      <w:r w:rsidR="00876F3B" w:rsidRPr="00BC587F">
        <w:t>dition has not been quantified.</w:t>
      </w:r>
    </w:p>
    <w:p w14:paraId="1FA505AA" w14:textId="77777777" w:rsidR="00EA64CB" w:rsidRPr="00BC587F" w:rsidRDefault="009C4A0A" w:rsidP="00030500">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BC587F">
        <w:t xml:space="preserve">The focus of this work is </w:t>
      </w:r>
      <w:proofErr w:type="gramStart"/>
      <w:r w:rsidRPr="00BC587F">
        <w:t>in</w:t>
      </w:r>
      <w:proofErr w:type="gramEnd"/>
      <w:r w:rsidRPr="00BC587F">
        <w:t xml:space="preserve"> relation to providing information</w:t>
      </w:r>
      <w:r w:rsidR="006304F6" w:rsidRPr="00BC587F">
        <w:t xml:space="preserve"> on food labels</w:t>
      </w:r>
      <w:r w:rsidRPr="00BC587F">
        <w:t xml:space="preserve"> to enable consumers to make informed choices and</w:t>
      </w:r>
      <w:r w:rsidR="000A071D" w:rsidRPr="00BC587F">
        <w:t xml:space="preserve"> it</w:t>
      </w:r>
      <w:r w:rsidRPr="00BC587F">
        <w:t xml:space="preserve"> is not</w:t>
      </w:r>
      <w:r w:rsidR="006304F6" w:rsidRPr="00BC587F">
        <w:t xml:space="preserve"> seeking</w:t>
      </w:r>
      <w:r w:rsidRPr="00BC587F">
        <w:t xml:space="preserve"> to </w:t>
      </w:r>
      <w:r w:rsidR="006304F6" w:rsidRPr="00BC587F">
        <w:t xml:space="preserve">directly </w:t>
      </w:r>
      <w:r w:rsidRPr="00BC587F">
        <w:t>address the prevalence and costs of obesity</w:t>
      </w:r>
      <w:r w:rsidR="006304F6" w:rsidRPr="00BC587F">
        <w:t xml:space="preserve"> and dental caries</w:t>
      </w:r>
      <w:r w:rsidRPr="00BC587F">
        <w:t xml:space="preserve"> in Australia and New Zealand. However, as excessive </w:t>
      </w:r>
      <w:r w:rsidR="00A44B68" w:rsidRPr="00BC587F">
        <w:t>intake of added sugars is</w:t>
      </w:r>
      <w:r w:rsidRPr="00BC587F">
        <w:t xml:space="preserve"> associated with overweight and obesity</w:t>
      </w:r>
      <w:r w:rsidR="00DB42E4" w:rsidRPr="00BC587F">
        <w:t xml:space="preserve"> and dental caries</w:t>
      </w:r>
      <w:r w:rsidRPr="00BC587F">
        <w:t xml:space="preserve">, </w:t>
      </w:r>
      <w:r w:rsidR="006304F6" w:rsidRPr="00BC587F">
        <w:t xml:space="preserve">the </w:t>
      </w:r>
      <w:r w:rsidR="00760421" w:rsidRPr="00BC587F">
        <w:t xml:space="preserve">significant economic </w:t>
      </w:r>
      <w:r w:rsidR="006304F6" w:rsidRPr="00BC587F">
        <w:t xml:space="preserve">burden of these conditions </w:t>
      </w:r>
      <w:r w:rsidRPr="00BC587F">
        <w:t xml:space="preserve">demonstrates the importance </w:t>
      </w:r>
      <w:proofErr w:type="gramStart"/>
      <w:r w:rsidR="00760421" w:rsidRPr="00BC587F">
        <w:t>taking action</w:t>
      </w:r>
      <w:proofErr w:type="gramEnd"/>
      <w:r w:rsidR="00D82FFA" w:rsidRPr="00BC587F">
        <w:t>.</w:t>
      </w:r>
    </w:p>
    <w:p w14:paraId="0C01CFAD" w14:textId="3782E477" w:rsidR="00EA64CB" w:rsidRPr="00BC587F" w:rsidRDefault="00606227" w:rsidP="00030500">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BC587F">
        <w:t>Section 1.9 of this document discusses the broader actions taken by Governments in Australia and New Zealand to address excessiv</w:t>
      </w:r>
      <w:r w:rsidR="00876F3B" w:rsidRPr="00BC587F">
        <w:t>e sugar intakes and poor diets.</w:t>
      </w:r>
    </w:p>
    <w:p w14:paraId="5E5666E2" w14:textId="56FFD445" w:rsidR="00967CDB" w:rsidRPr="00BC587F" w:rsidRDefault="00E54CA6" w:rsidP="00030500">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BC587F">
        <w:t xml:space="preserve">More detailed </w:t>
      </w:r>
      <w:r w:rsidR="00557E22" w:rsidRPr="00BC587F">
        <w:t>discussion</w:t>
      </w:r>
      <w:r w:rsidR="00380E73" w:rsidRPr="00BC587F">
        <w:t xml:space="preserve"> of added sugar consumption, dental caries and overweight and obesity </w:t>
      </w:r>
      <w:r w:rsidRPr="00BC587F">
        <w:t xml:space="preserve">in Australia and New Zealand is available at </w:t>
      </w:r>
      <w:hyperlink w:anchor="_Attachment_A_–" w:history="1">
        <w:r w:rsidRPr="002B7189">
          <w:rPr>
            <w:rStyle w:val="Hyperlink"/>
          </w:rPr>
          <w:t>Attachment A</w:t>
        </w:r>
      </w:hyperlink>
      <w:r w:rsidRPr="00BC587F">
        <w:t>.</w:t>
      </w:r>
      <w:bookmarkStart w:id="78" w:name="_Toc513468710"/>
      <w:bookmarkStart w:id="79" w:name="_Toc513546883"/>
    </w:p>
    <w:p w14:paraId="3F781577" w14:textId="56F6BFCF" w:rsidR="000A071D" w:rsidRPr="00CB626B" w:rsidRDefault="00047D53" w:rsidP="00314A5D">
      <w:pPr>
        <w:pStyle w:val="Heading2"/>
      </w:pPr>
      <w:bookmarkStart w:id="80" w:name="_Toc6323602"/>
      <w:r w:rsidRPr="00CB626B">
        <w:t>Labelling for informed choice</w:t>
      </w:r>
      <w:bookmarkEnd w:id="78"/>
      <w:bookmarkEnd w:id="79"/>
      <w:bookmarkEnd w:id="80"/>
    </w:p>
    <w:p w14:paraId="3FD1D01B" w14:textId="1B4F6F20" w:rsidR="00816DFE" w:rsidRPr="00BC587F" w:rsidRDefault="00816DFE" w:rsidP="00BC587F">
      <w:r w:rsidRPr="00BC587F">
        <w:t xml:space="preserve">Food labels are intended to enable consumers to make informed choices about the foods they purchase and consume. Food labelling can also support public health objectives. However, a combination of factors </w:t>
      </w:r>
      <w:proofErr w:type="gramStart"/>
      <w:r w:rsidRPr="00BC587F">
        <w:t>determine</w:t>
      </w:r>
      <w:proofErr w:type="gramEnd"/>
      <w:r w:rsidRPr="00BC587F">
        <w:t xml:space="preserve"> whether food labelling is effective for enabling informed choice. Labelling firstly needs to be noticed by the consumer. They then need to understand the information being communicated before being able to </w:t>
      </w:r>
      <w:r w:rsidR="002C206E" w:rsidRPr="00BC587F">
        <w:t>appraise</w:t>
      </w:r>
      <w:r w:rsidRPr="00BC587F">
        <w:t xml:space="preserve"> the information in a meaningful manner according to their own needs and wants. In the case of labelling being effective in supporting consumers to make choices consistent with dietary guidance, in the first instance consumers need to be motivated to use the l</w:t>
      </w:r>
      <w:r w:rsidR="00876F3B" w:rsidRPr="00BC587F">
        <w:t>abel to choose healthier foods.</w:t>
      </w:r>
    </w:p>
    <w:p w14:paraId="5CCCBF18" w14:textId="5DC7774D" w:rsidR="00EA4412" w:rsidRPr="00CB626B" w:rsidRDefault="00EA4412" w:rsidP="00314A5D">
      <w:pPr>
        <w:pStyle w:val="Heading2"/>
      </w:pPr>
      <w:bookmarkStart w:id="81" w:name="_Toc490826169"/>
      <w:bookmarkStart w:id="82" w:name="_Toc512860863"/>
      <w:bookmarkStart w:id="83" w:name="_Toc513468711"/>
      <w:bookmarkStart w:id="84" w:name="_Toc513546884"/>
      <w:bookmarkStart w:id="85" w:name="_Toc6323603"/>
      <w:r w:rsidRPr="00CB626B">
        <w:t>Current labelling requirements in relation to suga</w:t>
      </w:r>
      <w:bookmarkEnd w:id="81"/>
      <w:r w:rsidRPr="00CB626B">
        <w:t>r</w:t>
      </w:r>
      <w:bookmarkEnd w:id="82"/>
      <w:bookmarkEnd w:id="83"/>
      <w:bookmarkEnd w:id="84"/>
      <w:r w:rsidR="005E6C7F">
        <w:t>s</w:t>
      </w:r>
      <w:bookmarkEnd w:id="85"/>
    </w:p>
    <w:p w14:paraId="091BEB42" w14:textId="2D65C93B" w:rsidR="000C7AA2" w:rsidRPr="00BC587F" w:rsidRDefault="008B2819" w:rsidP="00BC587F">
      <w:r w:rsidRPr="00BC587F">
        <w:t>Currently</w:t>
      </w:r>
      <w:r w:rsidR="00255CAF" w:rsidRPr="00BC587F">
        <w:t xml:space="preserve"> food labels do not provide adequate contextual</w:t>
      </w:r>
      <w:r w:rsidR="006554CD" w:rsidRPr="00BC587F">
        <w:t xml:space="preserve"> information </w:t>
      </w:r>
      <w:r w:rsidR="00255CAF" w:rsidRPr="00BC587F">
        <w:t xml:space="preserve">about sugars. </w:t>
      </w:r>
      <w:r w:rsidR="000C7AA2" w:rsidRPr="00BC587F">
        <w:t>No recent evidence-based expert advice has made recommendations about total sugars</w:t>
      </w:r>
      <w:r w:rsidR="006D12E7" w:rsidRPr="00BC587F">
        <w:t xml:space="preserve"> intake and reducing risk of chronic disease</w:t>
      </w:r>
      <w:r w:rsidR="000C7AA2" w:rsidRPr="00BC587F">
        <w:t>, however total sugars are widely communicated to consumers through food labelling</w:t>
      </w:r>
      <w:r w:rsidR="000C7AA2" w:rsidRPr="00704EB8">
        <w:rPr>
          <w:vertAlign w:val="superscript"/>
        </w:rPr>
        <w:footnoteReference w:id="61"/>
      </w:r>
      <w:r w:rsidR="000C7AA2" w:rsidRPr="00BC587F">
        <w:t>.</w:t>
      </w:r>
    </w:p>
    <w:p w14:paraId="35CBD33C" w14:textId="23A7F273" w:rsidR="003943FD" w:rsidRPr="00BC587F" w:rsidRDefault="002057BF" w:rsidP="00BC587F">
      <w:r w:rsidRPr="00BC587F">
        <w:t>Specific</w:t>
      </w:r>
      <w:r w:rsidR="00255CAF" w:rsidRPr="00BC587F">
        <w:t xml:space="preserve"> information </w:t>
      </w:r>
      <w:r w:rsidR="006554CD" w:rsidRPr="00BC587F">
        <w:t>about added sugars on food labels is limited</w:t>
      </w:r>
      <w:r w:rsidR="00111526" w:rsidRPr="00BC587F">
        <w:t xml:space="preserve"> or unclear</w:t>
      </w:r>
      <w:r w:rsidR="006554CD" w:rsidRPr="00BC587F">
        <w:t xml:space="preserve">, which limits consumers’ ability to make informed choices in relation to the recommendations about added </w:t>
      </w:r>
      <w:r w:rsidR="00340389" w:rsidRPr="00BC587F">
        <w:t>sugar</w:t>
      </w:r>
      <w:r w:rsidR="00A44B68" w:rsidRPr="00BC587F">
        <w:t>s</w:t>
      </w:r>
      <w:r w:rsidR="00340389" w:rsidRPr="00BC587F">
        <w:t xml:space="preserve"> in the dietary guidelines</w:t>
      </w:r>
      <w:r w:rsidR="006554CD" w:rsidRPr="00BC587F">
        <w:t>.</w:t>
      </w:r>
    </w:p>
    <w:p w14:paraId="5995D576" w14:textId="75D281C0" w:rsidR="00736471" w:rsidRPr="00BC587F" w:rsidRDefault="006554CD" w:rsidP="00BC587F">
      <w:r w:rsidRPr="00BC587F">
        <w:t xml:space="preserve">The section below details </w:t>
      </w:r>
      <w:r w:rsidR="005E6C7F" w:rsidRPr="00BC587F">
        <w:t>the</w:t>
      </w:r>
      <w:r w:rsidR="00ED5E73" w:rsidRPr="00BC587F">
        <w:t xml:space="preserve"> information</w:t>
      </w:r>
      <w:r w:rsidR="000758D7" w:rsidRPr="00BC587F">
        <w:t xml:space="preserve"> provi</w:t>
      </w:r>
      <w:r w:rsidR="005B73C5" w:rsidRPr="00BC587F">
        <w:t>de</w:t>
      </w:r>
      <w:r w:rsidR="00340389" w:rsidRPr="00BC587F">
        <w:t xml:space="preserve">d about sugars on food labels. </w:t>
      </w:r>
      <w:r w:rsidR="005B73C5" w:rsidRPr="00BC587F">
        <w:t>These requirements are</w:t>
      </w:r>
      <w:r w:rsidR="000758D7" w:rsidRPr="00BC587F">
        <w:t xml:space="preserve"> under </w:t>
      </w:r>
      <w:r w:rsidRPr="00BC587F">
        <w:t xml:space="preserve">the </w:t>
      </w:r>
      <w:r w:rsidR="00EA4412" w:rsidRPr="00BC587F">
        <w:t>Australia New Zealand Food Standards Code (the Code)</w:t>
      </w:r>
      <w:r w:rsidR="007377AC" w:rsidRPr="00BC587F">
        <w:t>, unless specified otherwise.</w:t>
      </w:r>
    </w:p>
    <w:p w14:paraId="749F691B" w14:textId="77777777" w:rsidR="00AF382C" w:rsidRPr="0011775A" w:rsidRDefault="00AF382C" w:rsidP="00314A5D">
      <w:pPr>
        <w:pStyle w:val="Heading3"/>
      </w:pPr>
      <w:bookmarkStart w:id="86" w:name="_Toc512604560"/>
      <w:bookmarkStart w:id="87" w:name="_Toc2252884"/>
      <w:bookmarkStart w:id="88" w:name="_Toc3905557"/>
      <w:r w:rsidRPr="0011775A">
        <w:t>Mandatory labelling</w:t>
      </w:r>
      <w:bookmarkEnd w:id="86"/>
      <w:bookmarkEnd w:id="87"/>
      <w:bookmarkEnd w:id="88"/>
    </w:p>
    <w:p w14:paraId="22901D02" w14:textId="77777777" w:rsidR="00EA4412" w:rsidRPr="00EA64CB" w:rsidRDefault="00EA4412" w:rsidP="00314A5D">
      <w:pPr>
        <w:pStyle w:val="Heading4"/>
      </w:pPr>
      <w:bookmarkStart w:id="89" w:name="_Toc490826170"/>
      <w:bookmarkStart w:id="90" w:name="_Toc512604561"/>
      <w:bookmarkStart w:id="91" w:name="_Toc512605031"/>
      <w:bookmarkStart w:id="92" w:name="_Toc512860864"/>
      <w:bookmarkStart w:id="93" w:name="_Toc513468712"/>
      <w:bookmarkStart w:id="94" w:name="_Toc513546885"/>
      <w:bookmarkStart w:id="95" w:name="_Toc1480922"/>
      <w:bookmarkStart w:id="96" w:name="_Toc1634480"/>
      <w:bookmarkStart w:id="97" w:name="_Toc2252885"/>
      <w:bookmarkStart w:id="98" w:name="_Toc3905558"/>
      <w:r w:rsidRPr="00EA64CB">
        <w:t>Statement of Ingredients</w:t>
      </w:r>
      <w:bookmarkEnd w:id="89"/>
      <w:bookmarkEnd w:id="90"/>
      <w:bookmarkEnd w:id="91"/>
      <w:bookmarkEnd w:id="92"/>
      <w:bookmarkEnd w:id="93"/>
      <w:bookmarkEnd w:id="94"/>
      <w:bookmarkEnd w:id="95"/>
      <w:bookmarkEnd w:id="96"/>
      <w:bookmarkEnd w:id="97"/>
      <w:bookmarkEnd w:id="98"/>
    </w:p>
    <w:p w14:paraId="0A06CE6D" w14:textId="49836AA3" w:rsidR="00EA4412" w:rsidRPr="00BC587F" w:rsidRDefault="00CB17BA" w:rsidP="00011A01">
      <w:r w:rsidRPr="00BC587F">
        <w:t>Standard 1.2.4 – Information Requirements – s</w:t>
      </w:r>
      <w:r w:rsidR="00EA4412" w:rsidRPr="00BC587F">
        <w:t xml:space="preserve">tatement of </w:t>
      </w:r>
      <w:r w:rsidRPr="00BC587F">
        <w:t>i</w:t>
      </w:r>
      <w:r w:rsidR="00EA4412" w:rsidRPr="00BC587F">
        <w:t xml:space="preserve">ngredients requires ingredients to be listed in descending order by ingoing weight. This means that when the food </w:t>
      </w:r>
      <w:r w:rsidR="007E4E27" w:rsidRPr="00BC587F">
        <w:t xml:space="preserve">or drink </w:t>
      </w:r>
      <w:r w:rsidR="00EA4412" w:rsidRPr="00BC587F">
        <w:t>was manufactured, the first ingredient listed contributed the largest amount and the last ingredient listed contributed the least. For example, if sugar or a sugar containing ingredient, such as honey, is listed near the start of the list the product contains a greater</w:t>
      </w:r>
      <w:r w:rsidR="00704EB8">
        <w:t xml:space="preserve"> proportion of this ingredient.</w:t>
      </w:r>
    </w:p>
    <w:p w14:paraId="5BE3E7A0" w14:textId="462E6774" w:rsidR="005B73C5" w:rsidRPr="00BC587F" w:rsidRDefault="005B73C5" w:rsidP="00011A01">
      <w:r w:rsidRPr="00BC587F">
        <w:t>In listing the ingredients, manufacturers must describe the ingredient by a name that it is commonly known, or a name that describes the true nature of the ingredient, or a generic name specified in the Code. In relation to sugar, the generic name ‘sugar’ is permitted to be used for various forms of sucrose. The generic name ‘sugars’ is not permitted.</w:t>
      </w:r>
    </w:p>
    <w:p w14:paraId="49D3E3DF" w14:textId="6549B877" w:rsidR="00466614" w:rsidRPr="00CB626B" w:rsidRDefault="00EA4412" w:rsidP="00011A01">
      <w:r w:rsidRPr="00CB626B">
        <w:t>Anecdotally, consumers may use the ingredient list to make healthy food choices</w:t>
      </w:r>
      <w:r w:rsidR="007E4E27" w:rsidRPr="00CB626B">
        <w:t>. For example, a common rule-of-</w:t>
      </w:r>
      <w:r w:rsidRPr="00CB626B">
        <w:t>thumb recommended by nutrition professionals is to avoid foods that contain sugar</w:t>
      </w:r>
      <w:r w:rsidR="009B4724" w:rsidRPr="00CB626B">
        <w:t>s</w:t>
      </w:r>
      <w:r w:rsidRPr="00CB626B">
        <w:t xml:space="preserve">, </w:t>
      </w:r>
      <w:proofErr w:type="gramStart"/>
      <w:r w:rsidRPr="00CB626B">
        <w:t>salt</w:t>
      </w:r>
      <w:proofErr w:type="gramEnd"/>
      <w:r w:rsidRPr="00CB626B">
        <w:t xml:space="preserve"> or fat</w:t>
      </w:r>
      <w:r w:rsidR="009B4724" w:rsidRPr="00CB626B">
        <w:t>s</w:t>
      </w:r>
      <w:r w:rsidRPr="00CB626B">
        <w:t xml:space="preserve"> in the first three ingredients</w:t>
      </w:r>
      <w:r w:rsidRPr="00CB626B">
        <w:rPr>
          <w:rStyle w:val="FootnoteReference"/>
        </w:rPr>
        <w:footnoteReference w:id="62"/>
      </w:r>
      <w:r w:rsidR="001242AA" w:rsidRPr="00B161D1">
        <w:rPr>
          <w:vertAlign w:val="superscript"/>
        </w:rPr>
        <w:t>,</w:t>
      </w:r>
      <w:r w:rsidRPr="00CB626B">
        <w:rPr>
          <w:rStyle w:val="FootnoteReference"/>
        </w:rPr>
        <w:footnoteReference w:id="63"/>
      </w:r>
      <w:r w:rsidRPr="00CB626B">
        <w:t xml:space="preserve">. </w:t>
      </w:r>
      <w:r w:rsidR="005B73C5" w:rsidRPr="00CB626B">
        <w:t>A</w:t>
      </w:r>
      <w:r w:rsidR="00876F3B">
        <w:t xml:space="preserve"> </w:t>
      </w:r>
      <w:r w:rsidR="005B73C5" w:rsidRPr="00CB626B">
        <w:t xml:space="preserve">consumer could use the statement of ingredients to identify foods that contain added sugars (given that any sugar-based ingredient in the ingredient list would be an ‘added sugar’), however, this requires the consumer to </w:t>
      </w:r>
      <w:r w:rsidR="009C66C8" w:rsidRPr="00CB626B">
        <w:t>be able to recognise sugar</w:t>
      </w:r>
      <w:r w:rsidR="009B4724" w:rsidRPr="00CB626B">
        <w:t>s</w:t>
      </w:r>
      <w:r w:rsidR="009C66C8" w:rsidRPr="00CB626B">
        <w:t>-based ingredients in the statement of ingredients, and these can be declared under many different names</w:t>
      </w:r>
      <w:r w:rsidR="00376563">
        <w:t xml:space="preserve"> (some examples of these names include: malt, barley malt, blackstrap molasses, demerara, dextrose, fruit juice concentrate, muscovado, panela, palm sugar, </w:t>
      </w:r>
      <w:proofErr w:type="spellStart"/>
      <w:r w:rsidR="00376563">
        <w:t>rapadura</w:t>
      </w:r>
      <w:proofErr w:type="spellEnd"/>
      <w:r w:rsidR="00376563">
        <w:t>, turbinado and treacle)</w:t>
      </w:r>
      <w:r w:rsidR="00876F3B">
        <w:t>.</w:t>
      </w:r>
    </w:p>
    <w:p w14:paraId="2FA4D84D" w14:textId="77777777" w:rsidR="00EA4412" w:rsidRPr="00EA64CB" w:rsidRDefault="00EA4412" w:rsidP="00314A5D">
      <w:pPr>
        <w:pStyle w:val="Heading4"/>
      </w:pPr>
      <w:bookmarkStart w:id="99" w:name="_Toc490826172"/>
      <w:bookmarkStart w:id="100" w:name="_Toc512604562"/>
      <w:bookmarkStart w:id="101" w:name="_Toc512605032"/>
      <w:bookmarkStart w:id="102" w:name="_Toc512860865"/>
      <w:bookmarkStart w:id="103" w:name="_Toc513468713"/>
      <w:bookmarkStart w:id="104" w:name="_Toc513546886"/>
      <w:bookmarkStart w:id="105" w:name="_Toc1480923"/>
      <w:bookmarkStart w:id="106" w:name="_Toc1634481"/>
      <w:bookmarkStart w:id="107" w:name="_Toc2252886"/>
      <w:bookmarkStart w:id="108" w:name="_Toc3905559"/>
      <w:r w:rsidRPr="00EA64CB">
        <w:t>Nutrition Information Panel (NIP)</w:t>
      </w:r>
      <w:bookmarkEnd w:id="99"/>
      <w:bookmarkEnd w:id="100"/>
      <w:bookmarkEnd w:id="101"/>
      <w:bookmarkEnd w:id="102"/>
      <w:bookmarkEnd w:id="103"/>
      <w:bookmarkEnd w:id="104"/>
      <w:bookmarkEnd w:id="105"/>
      <w:bookmarkEnd w:id="106"/>
      <w:bookmarkEnd w:id="107"/>
      <w:bookmarkEnd w:id="108"/>
    </w:p>
    <w:p w14:paraId="620AC52E" w14:textId="22F84CA2" w:rsidR="00EA4412" w:rsidRPr="00CB626B" w:rsidRDefault="00EA4412" w:rsidP="00BC587F">
      <w:r w:rsidRPr="00CB626B">
        <w:t xml:space="preserve">Most food labels are required to carry a NIP which provides the average </w:t>
      </w:r>
      <w:r w:rsidR="00CB17BA" w:rsidRPr="00CB626B">
        <w:t xml:space="preserve">quantity </w:t>
      </w:r>
      <w:r w:rsidRPr="00CB626B">
        <w:t xml:space="preserve">of energy, protein, fat, saturated fat, carbohydrate, </w:t>
      </w:r>
      <w:proofErr w:type="gramStart"/>
      <w:r w:rsidRPr="00CB626B">
        <w:t>sugars</w:t>
      </w:r>
      <w:proofErr w:type="gramEnd"/>
      <w:r w:rsidRPr="00CB626B">
        <w:t xml:space="preserve"> and sodium in the food (per serv</w:t>
      </w:r>
      <w:r w:rsidR="00CB17BA" w:rsidRPr="00CB626B">
        <w:t>ing</w:t>
      </w:r>
      <w:r w:rsidRPr="00CB626B">
        <w:t xml:space="preserve"> and per 100g), as well as any other nutrient</w:t>
      </w:r>
      <w:r w:rsidR="00ED5E73">
        <w:t xml:space="preserve"> or biologically active substance</w:t>
      </w:r>
      <w:r w:rsidRPr="00CB626B">
        <w:t xml:space="preserve"> about which a claim has been made.</w:t>
      </w:r>
    </w:p>
    <w:p w14:paraId="5DACF7A0" w14:textId="77F92ECC" w:rsidR="00D716AF" w:rsidRPr="00CB626B" w:rsidRDefault="00EA4412" w:rsidP="00BC587F">
      <w:r w:rsidRPr="00CB626B">
        <w:t xml:space="preserve">A food’s </w:t>
      </w:r>
      <w:r w:rsidR="0034296A" w:rsidRPr="00CB626B">
        <w:t xml:space="preserve">total </w:t>
      </w:r>
      <w:r w:rsidRPr="00CB626B">
        <w:t>sugar</w:t>
      </w:r>
      <w:r w:rsidR="002057BF">
        <w:t>s</w:t>
      </w:r>
      <w:r w:rsidRPr="00CB626B">
        <w:t xml:space="preserve"> content is reported in the NIP as part of the total carbohydrates and is also listed separately. Sugars are defined as monosaccharides and disaccharides for the purposes of the NIP declaration and therefore the </w:t>
      </w:r>
      <w:proofErr w:type="gramStart"/>
      <w:r w:rsidRPr="00CB626B">
        <w:t>amount</w:t>
      </w:r>
      <w:proofErr w:type="gramEnd"/>
      <w:r w:rsidRPr="00CB626B">
        <w:t xml:space="preserve"> of</w:t>
      </w:r>
      <w:r w:rsidR="002057BF">
        <w:t xml:space="preserve"> total</w:t>
      </w:r>
      <w:r w:rsidRPr="00CB626B">
        <w:t xml:space="preserve"> sugars in the NIP includes sugars naturally present, such as those found in fruit or milk, as well as added sugars. </w:t>
      </w:r>
      <w:r w:rsidR="0034296A" w:rsidRPr="00CB626B">
        <w:t>Added sugars are not required to be qu</w:t>
      </w:r>
      <w:r w:rsidR="00876F3B">
        <w:t>antified separately in the NIP.</w:t>
      </w:r>
    </w:p>
    <w:p w14:paraId="4DC2C835" w14:textId="77777777" w:rsidR="00AF382C" w:rsidRPr="00B44104" w:rsidRDefault="00AF382C" w:rsidP="00314A5D">
      <w:pPr>
        <w:pStyle w:val="Heading3"/>
      </w:pPr>
      <w:bookmarkStart w:id="109" w:name="_Toc512604563"/>
      <w:bookmarkStart w:id="110" w:name="_Toc2252887"/>
      <w:bookmarkStart w:id="111" w:name="_Toc3905560"/>
      <w:r w:rsidRPr="00B44104">
        <w:t>Voluntary labelling</w:t>
      </w:r>
      <w:bookmarkEnd w:id="109"/>
      <w:bookmarkEnd w:id="110"/>
      <w:bookmarkEnd w:id="111"/>
    </w:p>
    <w:p w14:paraId="4487696D" w14:textId="77777777" w:rsidR="00EA4412" w:rsidRPr="00EA64CB" w:rsidRDefault="00EA4412" w:rsidP="00314A5D">
      <w:pPr>
        <w:pStyle w:val="Heading4"/>
      </w:pPr>
      <w:bookmarkStart w:id="112" w:name="_Toc490826174"/>
      <w:bookmarkStart w:id="113" w:name="_Toc512604564"/>
      <w:bookmarkStart w:id="114" w:name="_Toc512605033"/>
      <w:bookmarkStart w:id="115" w:name="_Toc512860866"/>
      <w:bookmarkStart w:id="116" w:name="_Toc513468714"/>
      <w:bookmarkStart w:id="117" w:name="_Toc513546887"/>
      <w:bookmarkStart w:id="118" w:name="_Toc1480925"/>
      <w:bookmarkStart w:id="119" w:name="_Toc1634483"/>
      <w:bookmarkStart w:id="120" w:name="_Toc2252888"/>
      <w:bookmarkStart w:id="121" w:name="_Toc3905561"/>
      <w:r w:rsidRPr="00EA64CB">
        <w:t>Percentage Daily Intake</w:t>
      </w:r>
      <w:bookmarkEnd w:id="112"/>
      <w:bookmarkEnd w:id="113"/>
      <w:bookmarkEnd w:id="114"/>
      <w:bookmarkEnd w:id="115"/>
      <w:bookmarkEnd w:id="116"/>
      <w:bookmarkEnd w:id="117"/>
      <w:bookmarkEnd w:id="118"/>
      <w:bookmarkEnd w:id="119"/>
      <w:bookmarkEnd w:id="120"/>
      <w:bookmarkEnd w:id="121"/>
    </w:p>
    <w:p w14:paraId="699346D2" w14:textId="5769D0B4" w:rsidR="0034296A" w:rsidRPr="00CB626B" w:rsidRDefault="00EA4412" w:rsidP="00011A01">
      <w:r w:rsidRPr="00CB626B">
        <w:t xml:space="preserve">Percentage daily intake (%DI) may be voluntarily provided in the NIP. The %DI expresses the percentage of the daily intake </w:t>
      </w:r>
      <w:r w:rsidR="00CB17BA" w:rsidRPr="00CB626B">
        <w:t>of energy</w:t>
      </w:r>
      <w:r w:rsidRPr="00CB626B">
        <w:t xml:space="preserve"> </w:t>
      </w:r>
      <w:r w:rsidR="006C797B" w:rsidRPr="00CB626B">
        <w:t>from</w:t>
      </w:r>
      <w:r w:rsidRPr="00CB626B">
        <w:t xml:space="preserve"> selected nutrients, including sugar</w:t>
      </w:r>
      <w:r w:rsidR="009B4724" w:rsidRPr="00CB626B">
        <w:t>s</w:t>
      </w:r>
      <w:r w:rsidRPr="00CB626B">
        <w:t>, obtained from consuming one serving of the food (the serving size is established by the manufacturer). For</w:t>
      </w:r>
      <w:r w:rsidR="009C66C8" w:rsidRPr="00CB626B">
        <w:t xml:space="preserve"> total</w:t>
      </w:r>
      <w:r w:rsidRPr="00CB626B">
        <w:t xml:space="preserve"> sugar</w:t>
      </w:r>
      <w:r w:rsidR="009B4724" w:rsidRPr="00CB626B">
        <w:t>s</w:t>
      </w:r>
      <w:r w:rsidRPr="00CB626B">
        <w:t>, the reference value for calculating the %DI is 90g per day, which is 17.5% of daily energy</w:t>
      </w:r>
      <w:r w:rsidR="00340389" w:rsidRPr="00CB626B">
        <w:rPr>
          <w:rStyle w:val="FootnoteReference"/>
        </w:rPr>
        <w:footnoteReference w:id="64"/>
      </w:r>
      <w:r w:rsidRPr="00CB626B">
        <w:t xml:space="preserve">. Therefore, as an example, a food that contains 45g of </w:t>
      </w:r>
      <w:r w:rsidR="009C66C8" w:rsidRPr="00CB626B">
        <w:t xml:space="preserve">total </w:t>
      </w:r>
      <w:r w:rsidRPr="00CB626B">
        <w:t>sugar per serv</w:t>
      </w:r>
      <w:r w:rsidR="00CB17BA" w:rsidRPr="00CB626B">
        <w:t>ing</w:t>
      </w:r>
      <w:r w:rsidRPr="00CB626B">
        <w:t xml:space="preserve"> may state that the product contains 50% of the Daily Intake for </w:t>
      </w:r>
      <w:r w:rsidR="009C66C8" w:rsidRPr="00CB626B">
        <w:t xml:space="preserve">total </w:t>
      </w:r>
      <w:r w:rsidRPr="00CB626B">
        <w:t>sugar. The %DI values are based on a single set of average reference values for adults, and as such, are not directly applicable to individual needs or specific sub-groups of the population such as children.</w:t>
      </w:r>
    </w:p>
    <w:p w14:paraId="6A2B66B0" w14:textId="6306DB50" w:rsidR="0034296A" w:rsidRPr="00CB626B" w:rsidRDefault="00EA4412" w:rsidP="00011A01">
      <w:r w:rsidRPr="00CB626B">
        <w:t>The %DI reference value for sugar</w:t>
      </w:r>
      <w:r w:rsidR="009B4724" w:rsidRPr="00CB626B">
        <w:t>s</w:t>
      </w:r>
      <w:r w:rsidRPr="00CB626B">
        <w:t xml:space="preserve"> was sourced from the following statement in the 2003 Australian Dietary Guidelines</w:t>
      </w:r>
      <w:r w:rsidRPr="000403B2">
        <w:rPr>
          <w:rStyle w:val="FootnoteReference"/>
        </w:rPr>
        <w:footnoteReference w:id="65"/>
      </w:r>
      <w:r w:rsidRPr="000403B2">
        <w:t xml:space="preserve">: </w:t>
      </w:r>
      <w:r w:rsidRPr="000403B2">
        <w:rPr>
          <w:rStyle w:val="Emphasis"/>
        </w:rPr>
        <w:t>There is no evidence that, for most Australians, consumption of up to 15-20 per cent of energy as [total] sugars is incompatible with a healthy diet</w:t>
      </w:r>
      <w:r w:rsidRPr="000403B2">
        <w:t>.</w:t>
      </w:r>
      <w:r w:rsidRPr="00CB626B">
        <w:t xml:space="preserve"> The mid-point of the range (17.5%) was used as the basis of the reference value.</w:t>
      </w:r>
    </w:p>
    <w:p w14:paraId="34E3171C" w14:textId="1FD4636E" w:rsidR="00466614" w:rsidRPr="00C71F51" w:rsidRDefault="002B7C98" w:rsidP="00011A01">
      <w:r w:rsidRPr="00CB626B">
        <w:t>There is currently no</w:t>
      </w:r>
      <w:r w:rsidR="0046776C" w:rsidRPr="00CB626B">
        <w:t xml:space="preserve"> reference value for added sugar</w:t>
      </w:r>
      <w:r w:rsidR="009B4724" w:rsidRPr="00CB626B">
        <w:t>s</w:t>
      </w:r>
      <w:r w:rsidR="0046776C" w:rsidRPr="00CB626B">
        <w:t xml:space="preserve"> in the </w:t>
      </w:r>
      <w:r w:rsidRPr="00CB626B">
        <w:t>C</w:t>
      </w:r>
      <w:r w:rsidR="0046776C" w:rsidRPr="00CB626B">
        <w:t>ode.</w:t>
      </w:r>
      <w:bookmarkStart w:id="122" w:name="_Toc490826175"/>
      <w:bookmarkStart w:id="123" w:name="_Toc512604565"/>
      <w:bookmarkStart w:id="124" w:name="_Toc512605034"/>
      <w:bookmarkStart w:id="125" w:name="_Toc512860867"/>
      <w:bookmarkStart w:id="126" w:name="_Toc513468715"/>
      <w:bookmarkStart w:id="127" w:name="_Toc513546888"/>
    </w:p>
    <w:p w14:paraId="5093F1AA" w14:textId="77777777" w:rsidR="00EA4412" w:rsidRPr="00EA64CB" w:rsidRDefault="00EA4412" w:rsidP="00314A5D">
      <w:pPr>
        <w:pStyle w:val="Heading4"/>
      </w:pPr>
      <w:bookmarkStart w:id="128" w:name="_Toc1480926"/>
      <w:bookmarkStart w:id="129" w:name="_Toc1634484"/>
      <w:bookmarkStart w:id="130" w:name="_Toc2252889"/>
      <w:bookmarkStart w:id="131" w:name="_Toc3905562"/>
      <w:r w:rsidRPr="00EA64CB">
        <w:t>Nutrition content claims</w:t>
      </w:r>
      <w:bookmarkEnd w:id="122"/>
      <w:bookmarkEnd w:id="123"/>
      <w:bookmarkEnd w:id="124"/>
      <w:bookmarkEnd w:id="125"/>
      <w:bookmarkEnd w:id="126"/>
      <w:bookmarkEnd w:id="127"/>
      <w:bookmarkEnd w:id="128"/>
      <w:bookmarkEnd w:id="129"/>
      <w:bookmarkEnd w:id="130"/>
      <w:bookmarkEnd w:id="131"/>
    </w:p>
    <w:p w14:paraId="42BAC998" w14:textId="2127C398" w:rsidR="004720BF" w:rsidRPr="00BC587F" w:rsidRDefault="00EA4412" w:rsidP="00011A01">
      <w:r w:rsidRPr="00BC587F">
        <w:t>Nutrition content claims are voluntary claims about the content of certain nutrients or substances in a f</w:t>
      </w:r>
      <w:r w:rsidR="001242AA" w:rsidRPr="00BC587F">
        <w:t>ood, such as ‘no added sugar’, ‘</w:t>
      </w:r>
      <w:r w:rsidRPr="00BC587F">
        <w:t>low sugar’ or ‘% sugar free’. In relation to sugar</w:t>
      </w:r>
      <w:r w:rsidR="009B4724" w:rsidRPr="00BC587F">
        <w:t>s</w:t>
      </w:r>
      <w:r w:rsidRPr="00BC587F">
        <w:t xml:space="preserve">, these claims are permitted under the Code if the product meets </w:t>
      </w:r>
      <w:proofErr w:type="gramStart"/>
      <w:r w:rsidRPr="00BC587F">
        <w:t>particular conditions</w:t>
      </w:r>
      <w:proofErr w:type="gramEnd"/>
      <w:r w:rsidRPr="00BC587F">
        <w:t xml:space="preserve"> about its sugar content, for example, a ‘low sugar’ claim and a ‘% sugar free’ claim can be made if the food contains no more than 5g sugars per 100g of solid food, or no more than 2.5g sugars per 100mL of liquid food.</w:t>
      </w:r>
    </w:p>
    <w:p w14:paraId="237E3EE0" w14:textId="6E847EE3" w:rsidR="004720BF" w:rsidRDefault="00EA4412" w:rsidP="00011A01">
      <w:r w:rsidRPr="00CB626B">
        <w:t>There is currently no specific definition of ‘added sugars’ in the Code</w:t>
      </w:r>
      <w:r w:rsidR="005A1D22" w:rsidRPr="00CB626B">
        <w:t xml:space="preserve">. Conditions set </w:t>
      </w:r>
      <w:r w:rsidR="0016297B" w:rsidRPr="00CB626B">
        <w:t xml:space="preserve">in the Code </w:t>
      </w:r>
      <w:r w:rsidR="005A1D22" w:rsidRPr="00CB626B">
        <w:t>for making a</w:t>
      </w:r>
      <w:r w:rsidRPr="00CB626B">
        <w:t xml:space="preserve"> ‘no added sugars’ </w:t>
      </w:r>
      <w:r w:rsidR="005A1D22" w:rsidRPr="00CB626B">
        <w:t>claim</w:t>
      </w:r>
      <w:r w:rsidRPr="00CB626B">
        <w:rPr>
          <w:rStyle w:val="FootnoteReference"/>
        </w:rPr>
        <w:footnoteReference w:id="66"/>
      </w:r>
      <w:r w:rsidRPr="00CB626B">
        <w:t xml:space="preserve">, </w:t>
      </w:r>
      <w:r w:rsidR="006C797B" w:rsidRPr="00CB626B">
        <w:t xml:space="preserve">are </w:t>
      </w:r>
      <w:r w:rsidR="0030223D" w:rsidRPr="00CB626B">
        <w:t>that the food contains no added</w:t>
      </w:r>
      <w:r w:rsidR="006C797B" w:rsidRPr="00CB626B">
        <w:t xml:space="preserve"> </w:t>
      </w:r>
      <w:r w:rsidRPr="00CB626B">
        <w:t>‘sugars’</w:t>
      </w:r>
      <w:r w:rsidR="006C797B" w:rsidRPr="00CB626B">
        <w:t xml:space="preserve"> as defined in the Code</w:t>
      </w:r>
      <w:r w:rsidRPr="00CB626B">
        <w:t xml:space="preserve"> </w:t>
      </w:r>
      <w:r w:rsidR="0016297B" w:rsidRPr="00CB626B">
        <w:t>(</w:t>
      </w:r>
      <w:r w:rsidRPr="00CB626B">
        <w:t>monosaccharides and disaccharides</w:t>
      </w:r>
      <w:r w:rsidR="0016297B" w:rsidRPr="00CB626B">
        <w:t>) as well as</w:t>
      </w:r>
      <w:r w:rsidR="00C746BE" w:rsidRPr="00CB626B">
        <w:t xml:space="preserve"> </w:t>
      </w:r>
      <w:r w:rsidRPr="00CB626B">
        <w:t>other products such as starch hydrolysate and maltodextrin</w:t>
      </w:r>
      <w:r w:rsidR="006C797B" w:rsidRPr="00CB626B">
        <w:t xml:space="preserve">, </w:t>
      </w:r>
      <w:r w:rsidR="00BE1817" w:rsidRPr="00CB626B">
        <w:t xml:space="preserve">and </w:t>
      </w:r>
      <w:r w:rsidRPr="00CB626B">
        <w:t xml:space="preserve">no added honey, malt and malt extracts, concentrated fruit </w:t>
      </w:r>
      <w:r w:rsidR="00BE1817" w:rsidRPr="00CB626B">
        <w:t>juice</w:t>
      </w:r>
      <w:r w:rsidRPr="00CB626B">
        <w:t xml:space="preserve"> or deionised fruit juice (with some exception</w:t>
      </w:r>
      <w:r w:rsidR="000403B2">
        <w:t>s in relation to these juices).</w:t>
      </w:r>
    </w:p>
    <w:p w14:paraId="42D17250" w14:textId="764E1454" w:rsidR="00AE1358" w:rsidRPr="00C71F51" w:rsidRDefault="00EA4412" w:rsidP="00011A01">
      <w:r w:rsidRPr="00CB626B">
        <w:t xml:space="preserve">The Code does not have any specific provisions for ‘sugar free’ claims; these are permitted and regulated under </w:t>
      </w:r>
      <w:r w:rsidR="0016297B" w:rsidRPr="00CB626B">
        <w:t xml:space="preserve">consumer and </w:t>
      </w:r>
      <w:proofErr w:type="gramStart"/>
      <w:r w:rsidRPr="00CB626B">
        <w:t>fair trading</w:t>
      </w:r>
      <w:proofErr w:type="gramEnd"/>
      <w:r w:rsidRPr="00CB626B">
        <w:t xml:space="preserve"> laws.</w:t>
      </w:r>
      <w:bookmarkStart w:id="132" w:name="_Toc490826177"/>
      <w:bookmarkStart w:id="133" w:name="_Toc512604566"/>
      <w:bookmarkStart w:id="134" w:name="_Toc512605035"/>
      <w:bookmarkStart w:id="135" w:name="_Toc512860868"/>
      <w:bookmarkStart w:id="136" w:name="_Toc513468716"/>
      <w:bookmarkStart w:id="137" w:name="_Toc513546889"/>
    </w:p>
    <w:p w14:paraId="47D16DF6" w14:textId="6DF18172" w:rsidR="007E4E27" w:rsidRPr="00EA64CB" w:rsidRDefault="002B7C98" w:rsidP="00314A5D">
      <w:pPr>
        <w:pStyle w:val="Heading4"/>
      </w:pPr>
      <w:bookmarkStart w:id="138" w:name="_Toc1480927"/>
      <w:bookmarkStart w:id="139" w:name="_Toc1634485"/>
      <w:bookmarkStart w:id="140" w:name="_Toc2252890"/>
      <w:bookmarkStart w:id="141" w:name="_Toc3905563"/>
      <w:r w:rsidRPr="00EA64CB">
        <w:t>Heal</w:t>
      </w:r>
      <w:r w:rsidR="007E4E27" w:rsidRPr="00EA64CB">
        <w:t>th Star Rating (HSR) System</w:t>
      </w:r>
      <w:bookmarkEnd w:id="132"/>
      <w:bookmarkEnd w:id="133"/>
      <w:bookmarkEnd w:id="134"/>
      <w:bookmarkEnd w:id="135"/>
      <w:bookmarkEnd w:id="136"/>
      <w:bookmarkEnd w:id="137"/>
      <w:bookmarkEnd w:id="138"/>
      <w:bookmarkEnd w:id="139"/>
      <w:bookmarkEnd w:id="140"/>
      <w:bookmarkEnd w:id="141"/>
      <w:r w:rsidR="007E4E27" w:rsidRPr="00EA64CB">
        <w:t xml:space="preserve"> </w:t>
      </w:r>
    </w:p>
    <w:p w14:paraId="3424112C" w14:textId="151D0F22" w:rsidR="005B50E4" w:rsidRPr="00CB626B" w:rsidRDefault="00AF382C" w:rsidP="00011A01">
      <w:r w:rsidRPr="00CB626B">
        <w:t>The HSR system is not implemented under the Code. It</w:t>
      </w:r>
      <w:r w:rsidR="005B50E4" w:rsidRPr="00CB626B">
        <w:t xml:space="preserve"> is a voluntary front-of-</w:t>
      </w:r>
      <w:r w:rsidR="007E4E27" w:rsidRPr="00CB626B">
        <w:t>pack</w:t>
      </w:r>
      <w:r w:rsidR="005B50E4" w:rsidRPr="00CB626B">
        <w:t xml:space="preserve"> food </w:t>
      </w:r>
      <w:r w:rsidR="007E4E27" w:rsidRPr="00CB626B">
        <w:t>labelling system that is intended to make it easier for consumers to choose healthier packaged foods</w:t>
      </w:r>
      <w:r w:rsidR="005B50E4" w:rsidRPr="00CB626B">
        <w:t xml:space="preserve"> and drinks</w:t>
      </w:r>
      <w:r w:rsidR="007E4E27" w:rsidRPr="00CB626B">
        <w:t xml:space="preserve">. </w:t>
      </w:r>
      <w:r w:rsidR="005B50E4" w:rsidRPr="00CB626B">
        <w:t>It uses a star rating scale of half a star to five stars to rate the overall nutrient profile of packaged foods. For manufacturers that choose to adopt the HSR system, a product’s star rating is presented on the front of t</w:t>
      </w:r>
      <w:r w:rsidR="000403B2">
        <w:t>he label for packaged products.</w:t>
      </w:r>
    </w:p>
    <w:p w14:paraId="1398F98F" w14:textId="0482473B" w:rsidR="007E4E27" w:rsidRPr="00CB626B" w:rsidRDefault="009C66C8" w:rsidP="00011A01">
      <w:r w:rsidRPr="00CB626B">
        <w:t>A</w:t>
      </w:r>
      <w:r w:rsidR="007E4E27" w:rsidRPr="00CB626B">
        <w:t xml:space="preserve"> HSR calculator and style guide and other materials to support industry to adopt the HSR </w:t>
      </w:r>
      <w:r w:rsidR="00BE1817" w:rsidRPr="00CB626B">
        <w:t>are</w:t>
      </w:r>
      <w:r w:rsidR="007E4E27" w:rsidRPr="00CB626B">
        <w:t xml:space="preserve"> available on a </w:t>
      </w:r>
      <w:proofErr w:type="gramStart"/>
      <w:r w:rsidR="007E4E27" w:rsidRPr="00CB626B">
        <w:t>Government</w:t>
      </w:r>
      <w:proofErr w:type="gramEnd"/>
      <w:r w:rsidR="007E4E27" w:rsidRPr="00CB626B">
        <w:t xml:space="preserve"> website. The HSR algorithm is based on the balance of multiple nutrients, including sugars; it uses the total sugar</w:t>
      </w:r>
      <w:r w:rsidR="009B4724" w:rsidRPr="00CB626B">
        <w:t>s</w:t>
      </w:r>
      <w:r w:rsidR="007E4E27" w:rsidRPr="00CB626B">
        <w:t xml:space="preserve"> content of a f</w:t>
      </w:r>
      <w:r w:rsidR="00F706EA">
        <w:t xml:space="preserve">ood, rather than added sugars. </w:t>
      </w:r>
      <w:r w:rsidR="007E4E27" w:rsidRPr="00CB626B">
        <w:t>Amongst other things, this is based on the need for alignment with the NIP for packaged foods relating to total (not added) sugar</w:t>
      </w:r>
      <w:r w:rsidR="009B4724" w:rsidRPr="00CB626B">
        <w:t>s</w:t>
      </w:r>
      <w:r w:rsidR="007E4E27" w:rsidRPr="00CB626B">
        <w:t>, the lack of methodology to accurately analyse added sugars in processed foods, and the potential burden on industry associated with reporting added sugar</w:t>
      </w:r>
      <w:r w:rsidR="009B4724" w:rsidRPr="00CB626B">
        <w:t>s</w:t>
      </w:r>
      <w:r w:rsidR="00F706EA">
        <w:t xml:space="preserve"> content. </w:t>
      </w:r>
      <w:r w:rsidR="0030223D" w:rsidRPr="00CB626B">
        <w:t xml:space="preserve">To </w:t>
      </w:r>
      <w:r w:rsidR="007E4E27" w:rsidRPr="00CB626B">
        <w:t>recognise,</w:t>
      </w:r>
      <w:r w:rsidR="0030223D" w:rsidRPr="00CB626B">
        <w:t xml:space="preserve"> and in some way compensate for</w:t>
      </w:r>
      <w:r w:rsidR="007E4E27" w:rsidRPr="00CB626B">
        <w:t>, the naturally occurring sugars in milk and milk products</w:t>
      </w:r>
      <w:r w:rsidR="0030223D" w:rsidRPr="00CB626B">
        <w:t>, dairy beverages and the da</w:t>
      </w:r>
      <w:r w:rsidR="00ED5E73">
        <w:t>i</w:t>
      </w:r>
      <w:r w:rsidR="0030223D" w:rsidRPr="00CB626B">
        <w:t>ry food category are re-scaled in the HSR scheme</w:t>
      </w:r>
      <w:r w:rsidR="000403B2">
        <w:t>.</w:t>
      </w:r>
    </w:p>
    <w:p w14:paraId="253958A7" w14:textId="6D6E6B5D" w:rsidR="007E4E27" w:rsidRPr="00CB626B" w:rsidRDefault="007E4E27" w:rsidP="00011A01">
      <w:r w:rsidRPr="00CB626B">
        <w:t>The HSR permits an optional nutrient icon where information about the energy content of a product, as well as the levels of saturated fat, sodium, and total sugars are displayed.</w:t>
      </w:r>
    </w:p>
    <w:p w14:paraId="0715DB3F" w14:textId="5B280FFC" w:rsidR="00466614" w:rsidRPr="00920450" w:rsidRDefault="007E4E27" w:rsidP="00011A01">
      <w:r w:rsidRPr="00CB626B">
        <w:t xml:space="preserve">The </w:t>
      </w:r>
      <w:r w:rsidR="009A79FA">
        <w:t xml:space="preserve">HSR </w:t>
      </w:r>
      <w:r w:rsidRPr="00CB626B">
        <w:t xml:space="preserve">five-year review </w:t>
      </w:r>
      <w:r w:rsidR="009A79FA">
        <w:t>is being finalised and it is expected th</w:t>
      </w:r>
      <w:r w:rsidRPr="00CB626B">
        <w:t xml:space="preserve">e review report will be provided to the Forum in </w:t>
      </w:r>
      <w:r w:rsidR="000338E4">
        <w:t>mid</w:t>
      </w:r>
      <w:r w:rsidR="000338E4" w:rsidRPr="00CB626B">
        <w:t>-2019</w:t>
      </w:r>
      <w:r w:rsidRPr="00CB626B">
        <w:t xml:space="preserve">. The issue of whether the algorithm could </w:t>
      </w:r>
      <w:r w:rsidR="00BE1817" w:rsidRPr="00CB626B">
        <w:t xml:space="preserve">include </w:t>
      </w:r>
      <w:r w:rsidRPr="00CB626B">
        <w:t>added sugars</w:t>
      </w:r>
      <w:r w:rsidR="003C0674" w:rsidRPr="00CB626B">
        <w:t xml:space="preserve"> rather than total </w:t>
      </w:r>
      <w:r w:rsidR="00C746BE" w:rsidRPr="00CB626B">
        <w:t>sugars</w:t>
      </w:r>
      <w:r w:rsidRPr="00CB626B">
        <w:t xml:space="preserve"> </w:t>
      </w:r>
      <w:r w:rsidR="009C66C8" w:rsidRPr="00CB626B">
        <w:t>has been</w:t>
      </w:r>
      <w:r w:rsidRPr="00CB626B">
        <w:t xml:space="preserve"> raised in this review.</w:t>
      </w:r>
      <w:bookmarkStart w:id="142" w:name="_Toc512604567"/>
      <w:bookmarkStart w:id="143" w:name="_Toc512605036"/>
      <w:bookmarkStart w:id="144" w:name="_Toc512860869"/>
      <w:bookmarkStart w:id="145" w:name="_Toc513468717"/>
      <w:bookmarkStart w:id="146" w:name="_Toc513546890"/>
    </w:p>
    <w:p w14:paraId="4EB9498E" w14:textId="6B8F43A7" w:rsidR="000758D7" w:rsidRPr="00E170DA" w:rsidRDefault="000758D7" w:rsidP="00314A5D">
      <w:pPr>
        <w:pStyle w:val="Heading4"/>
      </w:pPr>
      <w:bookmarkStart w:id="147" w:name="_Toc1480928"/>
      <w:bookmarkStart w:id="148" w:name="_Toc1634486"/>
      <w:bookmarkStart w:id="149" w:name="_Toc2252891"/>
      <w:bookmarkStart w:id="150" w:name="_Toc3905564"/>
      <w:r w:rsidRPr="00E170DA">
        <w:t>Voluntary declaration of added sugar</w:t>
      </w:r>
      <w:r w:rsidR="004720BF" w:rsidRPr="00E170DA">
        <w:t>s</w:t>
      </w:r>
      <w:r w:rsidRPr="00E170DA">
        <w:t xml:space="preserve"> content</w:t>
      </w:r>
      <w:bookmarkEnd w:id="142"/>
      <w:bookmarkEnd w:id="143"/>
      <w:bookmarkEnd w:id="144"/>
      <w:bookmarkEnd w:id="145"/>
      <w:bookmarkEnd w:id="146"/>
      <w:r w:rsidR="004720BF" w:rsidRPr="00E170DA">
        <w:t xml:space="preserve"> and other similar claims</w:t>
      </w:r>
      <w:bookmarkEnd w:id="147"/>
      <w:bookmarkEnd w:id="148"/>
      <w:bookmarkEnd w:id="149"/>
      <w:bookmarkEnd w:id="150"/>
    </w:p>
    <w:p w14:paraId="33002E6B" w14:textId="219239DB" w:rsidR="00E728FD" w:rsidRDefault="0049183D" w:rsidP="00BC587F">
      <w:r>
        <w:t>S</w:t>
      </w:r>
      <w:r w:rsidR="000758D7" w:rsidRPr="00CB626B">
        <w:t xml:space="preserve">ome manufacturers are choosing to voluntarily state the </w:t>
      </w:r>
      <w:proofErr w:type="gramStart"/>
      <w:r w:rsidR="000758D7" w:rsidRPr="00CB626B">
        <w:t>amount</w:t>
      </w:r>
      <w:proofErr w:type="gramEnd"/>
      <w:r w:rsidR="000758D7" w:rsidRPr="00CB626B">
        <w:t xml:space="preserve"> of added sugars in their products</w:t>
      </w:r>
      <w:r w:rsidR="00A06C0C">
        <w:t>, or clarify the source of the sugar in the product</w:t>
      </w:r>
      <w:r w:rsidR="000758D7" w:rsidRPr="00CB626B">
        <w:t xml:space="preserve">, </w:t>
      </w:r>
      <w:r w:rsidR="00E728FD">
        <w:t>F</w:t>
      </w:r>
      <w:r w:rsidR="000758D7" w:rsidRPr="00CB626B">
        <w:t>or example</w:t>
      </w:r>
      <w:r w:rsidR="00E728FD">
        <w:t>:</w:t>
      </w:r>
    </w:p>
    <w:p w14:paraId="7334F730" w14:textId="14642F7F" w:rsidR="00E728FD" w:rsidRDefault="000758D7" w:rsidP="00C84941">
      <w:pPr>
        <w:pStyle w:val="Bullets"/>
      </w:pPr>
      <w:r w:rsidRPr="000403B2">
        <w:rPr>
          <w:rStyle w:val="Emphasis"/>
        </w:rPr>
        <w:t>Milo Active Go</w:t>
      </w:r>
      <w:r w:rsidRPr="00CB626B">
        <w:t xml:space="preserve"> </w:t>
      </w:r>
      <w:r w:rsidR="00162775" w:rsidRPr="00CB626B">
        <w:t xml:space="preserve">(200mL tetra pack) </w:t>
      </w:r>
      <w:r w:rsidRPr="00CB626B">
        <w:t>states underneath the NIP</w:t>
      </w:r>
      <w:r w:rsidR="00B161D1">
        <w:t> </w:t>
      </w:r>
      <w:r w:rsidRPr="00CB626B">
        <w:t>that ‘over half the total sugars are naturally occurring in the milk with just over 1tsp (4.7g) o</w:t>
      </w:r>
      <w:r w:rsidR="00F706EA">
        <w:t>f added table sugar per pack</w:t>
      </w:r>
      <w:proofErr w:type="gramStart"/>
      <w:r w:rsidR="00F706EA">
        <w:t>’</w:t>
      </w:r>
      <w:r w:rsidR="00E728FD">
        <w:t>;</w:t>
      </w:r>
      <w:proofErr w:type="gramEnd"/>
    </w:p>
    <w:p w14:paraId="64750226" w14:textId="627EC792" w:rsidR="00E728FD" w:rsidRDefault="00E24B47" w:rsidP="00C84941">
      <w:pPr>
        <w:pStyle w:val="Bullets"/>
      </w:pPr>
      <w:r w:rsidRPr="000403B2">
        <w:rPr>
          <w:rStyle w:val="Emphasis"/>
        </w:rPr>
        <w:t>Kellogg Sultana Bran</w:t>
      </w:r>
      <w:r>
        <w:t xml:space="preserve"> uses a notation</w:t>
      </w:r>
      <w:r w:rsidR="0049183D">
        <w:t xml:space="preserve"> in the NIP to indicate what</w:t>
      </w:r>
      <w:r w:rsidR="004720BF">
        <w:t xml:space="preserve"> percent</w:t>
      </w:r>
      <w:r w:rsidR="0049183D">
        <w:t xml:space="preserve"> of total sugars in the</w:t>
      </w:r>
      <w:r w:rsidR="006520A4">
        <w:t xml:space="preserve"> product are derived from </w:t>
      </w:r>
      <w:proofErr w:type="gramStart"/>
      <w:r w:rsidR="006520A4">
        <w:t>fruit</w:t>
      </w:r>
      <w:r w:rsidR="00E728FD">
        <w:t>;</w:t>
      </w:r>
      <w:proofErr w:type="gramEnd"/>
    </w:p>
    <w:p w14:paraId="2CB7C9EB" w14:textId="4BCA07B4" w:rsidR="00E728FD" w:rsidRDefault="00E728FD" w:rsidP="00C84941">
      <w:pPr>
        <w:pStyle w:val="Bullets"/>
      </w:pPr>
      <w:r>
        <w:t xml:space="preserve">Iced Coffee brand </w:t>
      </w:r>
      <w:r w:rsidRPr="000403B2">
        <w:rPr>
          <w:rStyle w:val="Emphasis"/>
        </w:rPr>
        <w:t>Minor Figures</w:t>
      </w:r>
      <w:r>
        <w:t xml:space="preserve"> uses a symbol next to total sugars in the NIP which links to a statement ‘sugars found naturally in </w:t>
      </w:r>
      <w:proofErr w:type="gramStart"/>
      <w:r>
        <w:t>oats’</w:t>
      </w:r>
      <w:r w:rsidR="00A06C0C">
        <w:t>;</w:t>
      </w:r>
      <w:proofErr w:type="gramEnd"/>
    </w:p>
    <w:p w14:paraId="4DF4797E" w14:textId="0C8712FE" w:rsidR="00376563" w:rsidRDefault="006520A4" w:rsidP="00C84941">
      <w:pPr>
        <w:pStyle w:val="Bullets"/>
      </w:pPr>
      <w:proofErr w:type="spellStart"/>
      <w:r w:rsidRPr="000403B2">
        <w:rPr>
          <w:rStyle w:val="Emphasis"/>
        </w:rPr>
        <w:t>Kez’</w:t>
      </w:r>
      <w:r w:rsidR="004720BF" w:rsidRPr="000403B2">
        <w:rPr>
          <w:rStyle w:val="Emphasis"/>
        </w:rPr>
        <w:t>s</w:t>
      </w:r>
      <w:proofErr w:type="spellEnd"/>
      <w:r w:rsidR="004720BF" w:rsidRPr="000403B2">
        <w:rPr>
          <w:rStyle w:val="Emphasis"/>
        </w:rPr>
        <w:t xml:space="preserve"> K</w:t>
      </w:r>
      <w:r w:rsidRPr="000403B2">
        <w:rPr>
          <w:rStyle w:val="Emphasis"/>
        </w:rPr>
        <w:t xml:space="preserve">itchen </w:t>
      </w:r>
      <w:r w:rsidR="004720BF" w:rsidRPr="000403B2">
        <w:rPr>
          <w:rStyle w:val="Emphasis"/>
        </w:rPr>
        <w:t>Choc Mud B</w:t>
      </w:r>
      <w:r w:rsidRPr="000403B2">
        <w:rPr>
          <w:rStyle w:val="Emphasis"/>
        </w:rPr>
        <w:t>ars</w:t>
      </w:r>
      <w:r>
        <w:t xml:space="preserve"> include a note that the sugars listed in the NIP are comprised of ‘</w:t>
      </w:r>
      <w:r w:rsidRPr="004720BF">
        <w:t xml:space="preserve">only naturally occurring </w:t>
      </w:r>
      <w:proofErr w:type="gramStart"/>
      <w:r w:rsidRPr="004720BF">
        <w:t>sugars’</w:t>
      </w:r>
      <w:proofErr w:type="gramEnd"/>
      <w:r w:rsidRPr="004720BF">
        <w:t>.</w:t>
      </w:r>
    </w:p>
    <w:p w14:paraId="7CC89E4A" w14:textId="4E3C6FE4" w:rsidR="00A06C0C" w:rsidRDefault="006520A4" w:rsidP="00C84941">
      <w:pPr>
        <w:pStyle w:val="Bullets"/>
      </w:pPr>
      <w:r>
        <w:t>Other manufacturers are using cl</w:t>
      </w:r>
      <w:r w:rsidR="00376563">
        <w:t xml:space="preserve">aims such as ‘no refined sugar’ </w:t>
      </w:r>
      <w:r>
        <w:t xml:space="preserve">even when the </w:t>
      </w:r>
      <w:r w:rsidR="00C64CDB">
        <w:t>product contains coconut sugar</w:t>
      </w:r>
      <w:r w:rsidR="00376563">
        <w:t xml:space="preserve"> which is a type of sugar is</w:t>
      </w:r>
      <w:r w:rsidR="00E6691C">
        <w:t xml:space="preserve"> extracted from a coconut palm.</w:t>
      </w:r>
    </w:p>
    <w:p w14:paraId="3547A0E2" w14:textId="2587CAD8" w:rsidR="000758D7" w:rsidRDefault="006520A4" w:rsidP="00BC587F">
      <w:r w:rsidRPr="00CB626B">
        <w:t>It is not known what proportion of manufacturers have adopted th</w:t>
      </w:r>
      <w:r>
        <w:t>ese</w:t>
      </w:r>
      <w:r w:rsidRPr="00CB626B">
        <w:t xml:space="preserve"> practice</w:t>
      </w:r>
      <w:r>
        <w:t>s</w:t>
      </w:r>
      <w:r w:rsidR="007E49F8">
        <w:t xml:space="preserve"> across Australia and New Zealand</w:t>
      </w:r>
      <w:r w:rsidR="003A7517">
        <w:t xml:space="preserve">. </w:t>
      </w:r>
      <w:r w:rsidR="007E49F8">
        <w:t>One recently published study examined use of these types of claims on non-alcoholic, non-milk beverages sampled across 17 supermarkets in Adelaide in 2016. The researchers reported that 7.9% of products were carrying a claim to indicate it was naturally sweetened or that the sugar was natural or from fruit</w:t>
      </w:r>
      <w:r w:rsidR="007E49F8" w:rsidRPr="00A16691">
        <w:rPr>
          <w:rStyle w:val="FootnoteReference"/>
        </w:rPr>
        <w:footnoteReference w:id="67"/>
      </w:r>
      <w:r w:rsidRPr="003A7517">
        <w:t>.</w:t>
      </w:r>
    </w:p>
    <w:p w14:paraId="6C6B795D" w14:textId="116392D5" w:rsidR="007933BF" w:rsidRPr="00DD5445" w:rsidRDefault="002B7C98" w:rsidP="00BC587F">
      <w:r w:rsidRPr="00DD5445">
        <w:t>The process for calculating and presenting a food’s added sugar</w:t>
      </w:r>
      <w:r w:rsidR="009B4724" w:rsidRPr="00DD5445">
        <w:t>s</w:t>
      </w:r>
      <w:r w:rsidRPr="00DD5445">
        <w:t xml:space="preserve"> content</w:t>
      </w:r>
      <w:r w:rsidR="00F706EA" w:rsidRPr="00DD5445">
        <w:t xml:space="preserve"> is not specified in the Code</w:t>
      </w:r>
      <w:r w:rsidR="006520A4" w:rsidRPr="00DD5445">
        <w:t xml:space="preserve"> and the Code does not define</w:t>
      </w:r>
      <w:r w:rsidR="00C64CDB" w:rsidRPr="00DD5445">
        <w:t xml:space="preserve"> ‘added </w:t>
      </w:r>
      <w:proofErr w:type="gramStart"/>
      <w:r w:rsidR="00C64CDB" w:rsidRPr="00DD5445">
        <w:t>sugars’</w:t>
      </w:r>
      <w:proofErr w:type="gramEnd"/>
      <w:r w:rsidR="00C64CDB" w:rsidRPr="00DD5445">
        <w:t xml:space="preserve"> or</w:t>
      </w:r>
      <w:r w:rsidR="006520A4" w:rsidRPr="00DD5445">
        <w:t xml:space="preserve"> terms </w:t>
      </w:r>
      <w:r w:rsidR="00A06C0C" w:rsidRPr="00DD5445">
        <w:t>seen in the market</w:t>
      </w:r>
      <w:r w:rsidR="006520A4" w:rsidRPr="00DD5445">
        <w:t xml:space="preserve"> such as ‘naturally occurring sugars’ or ‘</w:t>
      </w:r>
      <w:r w:rsidR="003A7517" w:rsidRPr="00DD5445">
        <w:t xml:space="preserve">no </w:t>
      </w:r>
      <w:r w:rsidR="004720BF" w:rsidRPr="00DD5445">
        <w:t>refined sugar</w:t>
      </w:r>
      <w:r w:rsidR="006520A4" w:rsidRPr="00DD5445">
        <w:t xml:space="preserve">’. </w:t>
      </w:r>
      <w:r w:rsidR="006D12E7" w:rsidRPr="00DD5445">
        <w:t xml:space="preserve">There is also no consistent industry standard as to how added sugars are calculated or represented on a </w:t>
      </w:r>
      <w:r w:rsidR="00DE310D" w:rsidRPr="00DD5445">
        <w:t xml:space="preserve">food </w:t>
      </w:r>
      <w:r w:rsidR="006D12E7" w:rsidRPr="00DD5445">
        <w:t>label. M</w:t>
      </w:r>
      <w:r w:rsidR="00E152E3" w:rsidRPr="00DD5445">
        <w:t>anufacturers</w:t>
      </w:r>
      <w:r w:rsidR="009C66C8" w:rsidRPr="00DD5445">
        <w:t>’ estimates of a food’</w:t>
      </w:r>
      <w:r w:rsidR="00E152E3" w:rsidRPr="00DD5445">
        <w:t>s added sugar</w:t>
      </w:r>
      <w:r w:rsidR="009B4724" w:rsidRPr="00DD5445">
        <w:t>s</w:t>
      </w:r>
      <w:r w:rsidR="00E152E3" w:rsidRPr="00DD5445">
        <w:t xml:space="preserve"> content </w:t>
      </w:r>
      <w:r w:rsidR="006D12E7" w:rsidRPr="00DD5445">
        <w:t xml:space="preserve">can be highly variable </w:t>
      </w:r>
      <w:r w:rsidRPr="00DD5445">
        <w:t xml:space="preserve">due to different </w:t>
      </w:r>
      <w:r w:rsidR="00E152E3" w:rsidRPr="00DD5445">
        <w:t>calculation methods</w:t>
      </w:r>
      <w:r w:rsidR="00967CDB" w:rsidRPr="00DD5445">
        <w:t xml:space="preserve"> </w:t>
      </w:r>
      <w:r w:rsidRPr="00DD5445">
        <w:t xml:space="preserve">and </w:t>
      </w:r>
      <w:r w:rsidR="006D12E7" w:rsidRPr="00DD5445">
        <w:t>the type</w:t>
      </w:r>
      <w:r w:rsidR="009B4724" w:rsidRPr="00DD5445">
        <w:t xml:space="preserve"> of sugars</w:t>
      </w:r>
      <w:r w:rsidRPr="00DD5445">
        <w:t xml:space="preserve"> counted as ‘added sugars’</w:t>
      </w:r>
      <w:r w:rsidR="004720BF" w:rsidRPr="00DD5445">
        <w:t>, ‘</w:t>
      </w:r>
      <w:r w:rsidR="006520A4" w:rsidRPr="00DD5445">
        <w:t>naturally occurring</w:t>
      </w:r>
      <w:r w:rsidR="004720BF" w:rsidRPr="00DD5445">
        <w:t>’</w:t>
      </w:r>
      <w:r w:rsidR="006520A4" w:rsidRPr="00DD5445">
        <w:t xml:space="preserve"> or </w:t>
      </w:r>
      <w:r w:rsidR="004720BF" w:rsidRPr="00DD5445">
        <w:t>‘</w:t>
      </w:r>
      <w:r w:rsidR="006520A4" w:rsidRPr="00DD5445">
        <w:t xml:space="preserve">refined </w:t>
      </w:r>
      <w:proofErr w:type="gramStart"/>
      <w:r w:rsidR="006520A4" w:rsidRPr="00DD5445">
        <w:t>sugars</w:t>
      </w:r>
      <w:r w:rsidR="004720BF" w:rsidRPr="00DD5445">
        <w:t>’</w:t>
      </w:r>
      <w:proofErr w:type="gramEnd"/>
      <w:r w:rsidR="002057BF" w:rsidRPr="00DD5445">
        <w:t xml:space="preserve">. </w:t>
      </w:r>
      <w:r w:rsidR="003A7517" w:rsidRPr="00DD5445">
        <w:t xml:space="preserve">This </w:t>
      </w:r>
      <w:r w:rsidR="006D12E7" w:rsidRPr="00DD5445">
        <w:t>means</w:t>
      </w:r>
      <w:r w:rsidR="004720BF" w:rsidRPr="00DD5445">
        <w:t xml:space="preserve"> consumer</w:t>
      </w:r>
      <w:r w:rsidR="006D12E7" w:rsidRPr="00DD5445">
        <w:t xml:space="preserve">s are unable </w:t>
      </w:r>
      <w:r w:rsidR="004720BF" w:rsidRPr="00DD5445">
        <w:t>to accurately compare products</w:t>
      </w:r>
      <w:r w:rsidR="006D12E7" w:rsidRPr="00DD5445">
        <w:t>.</w:t>
      </w:r>
      <w:bookmarkStart w:id="151" w:name="_Toc512860870"/>
      <w:bookmarkStart w:id="152" w:name="_Toc513468718"/>
      <w:bookmarkStart w:id="153" w:name="_Toc513546891"/>
    </w:p>
    <w:p w14:paraId="2C757C95" w14:textId="08BA7328" w:rsidR="00EA4412" w:rsidRPr="00CB626B" w:rsidRDefault="003663E3" w:rsidP="00314A5D">
      <w:pPr>
        <w:pStyle w:val="Heading2"/>
      </w:pPr>
      <w:r>
        <w:t xml:space="preserve"> </w:t>
      </w:r>
      <w:bookmarkStart w:id="154" w:name="_Toc6323604"/>
      <w:r w:rsidR="00EA4412" w:rsidRPr="00CB626B">
        <w:t xml:space="preserve">Consumer </w:t>
      </w:r>
      <w:r w:rsidR="002222CC" w:rsidRPr="00CB626B">
        <w:t xml:space="preserve">knowledge, attitudes and behaviours relating to </w:t>
      </w:r>
      <w:proofErr w:type="gramStart"/>
      <w:r w:rsidR="002222CC" w:rsidRPr="00CB626B">
        <w:t>sugars</w:t>
      </w:r>
      <w:bookmarkEnd w:id="151"/>
      <w:bookmarkEnd w:id="152"/>
      <w:bookmarkEnd w:id="153"/>
      <w:bookmarkEnd w:id="154"/>
      <w:proofErr w:type="gramEnd"/>
    </w:p>
    <w:p w14:paraId="54BD1B71" w14:textId="672D621A" w:rsidR="00756A47" w:rsidRPr="00CB626B" w:rsidRDefault="007E4E27" w:rsidP="00BC587F">
      <w:r w:rsidRPr="00CB626B">
        <w:t xml:space="preserve">FSANZ has </w:t>
      </w:r>
      <w:r w:rsidR="00EA4412" w:rsidRPr="00CB626B">
        <w:t>undertaken a literature review to examine consumer knowledge, attitudes and behaviours relating to sugars in foods as presented on food labelling</w:t>
      </w:r>
      <w:r w:rsidR="00417A3A" w:rsidRPr="00CB626B">
        <w:rPr>
          <w:rStyle w:val="FootnoteReference"/>
        </w:rPr>
        <w:footnoteReference w:id="68"/>
      </w:r>
      <w:r w:rsidR="00DD5445">
        <w:t>.</w:t>
      </w:r>
    </w:p>
    <w:p w14:paraId="2FF6E9E2" w14:textId="5137E1CC" w:rsidR="000C295E" w:rsidRDefault="00EA4412" w:rsidP="00BC587F">
      <w:r w:rsidRPr="00CB626B">
        <w:t xml:space="preserve">The literature review reported that consumers in Australia and New Zealand seek out </w:t>
      </w:r>
      <w:proofErr w:type="gramStart"/>
      <w:r w:rsidRPr="00CB626B">
        <w:t>sugar</w:t>
      </w:r>
      <w:r w:rsidR="009B4724" w:rsidRPr="00CB626B">
        <w:t>s</w:t>
      </w:r>
      <w:proofErr w:type="gramEnd"/>
      <w:r w:rsidRPr="00CB626B">
        <w:t xml:space="preserve"> information as one of the first elements</w:t>
      </w:r>
      <w:r w:rsidR="00F706EA">
        <w:t xml:space="preserve"> they look at on a food label. </w:t>
      </w:r>
      <w:r w:rsidRPr="00CB626B">
        <w:t xml:space="preserve">Using the mandated information on food labels in Australia and New Zealand, consumers in these countries are generally able to identify which of two products is the lower in </w:t>
      </w:r>
      <w:r w:rsidR="00FC715E" w:rsidRPr="00CB626B">
        <w:t xml:space="preserve">total </w:t>
      </w:r>
      <w:r w:rsidRPr="00CB626B">
        <w:t>sugar</w:t>
      </w:r>
      <w:r w:rsidR="009B4724" w:rsidRPr="00CB626B">
        <w:t>s</w:t>
      </w:r>
      <w:r w:rsidRPr="00CB626B">
        <w:t>. However international research reports that when examining a single product, consumers had difficulty in determining whether a single pro</w:t>
      </w:r>
      <w:r w:rsidR="000403B2">
        <w:t>duct was high or low in sugars.</w:t>
      </w:r>
    </w:p>
    <w:p w14:paraId="2D9DBA88" w14:textId="1AF9672C" w:rsidR="00EA4412" w:rsidRPr="00CB626B" w:rsidRDefault="00EA4412" w:rsidP="00BC587F">
      <w:r w:rsidRPr="00CB626B">
        <w:t xml:space="preserve">The evidence suggested that additional </w:t>
      </w:r>
      <w:r w:rsidR="00FC715E" w:rsidRPr="00CB626B">
        <w:t xml:space="preserve">interpretive or </w:t>
      </w:r>
      <w:r w:rsidRPr="00CB626B">
        <w:t>contextual information</w:t>
      </w:r>
      <w:r w:rsidR="00741DCC" w:rsidRPr="00CB626B">
        <w:t xml:space="preserve"> </w:t>
      </w:r>
      <w:r w:rsidR="00FC715E" w:rsidRPr="00CB626B">
        <w:t>(such as</w:t>
      </w:r>
      <w:r w:rsidR="00B161D1">
        <w:t> </w:t>
      </w:r>
      <w:r w:rsidR="00FC715E" w:rsidRPr="00CB626B">
        <w:t>daily recommendation for sugar</w:t>
      </w:r>
      <w:r w:rsidR="009B4724" w:rsidRPr="00CB626B">
        <w:t>s</w:t>
      </w:r>
      <w:r w:rsidR="00FC715E" w:rsidRPr="00CB626B">
        <w:t>, or advice about whether the product’s sugar</w:t>
      </w:r>
      <w:r w:rsidR="009B4724" w:rsidRPr="00CB626B">
        <w:t>s</w:t>
      </w:r>
      <w:r w:rsidR="00FC715E" w:rsidRPr="00CB626B">
        <w:t xml:space="preserve"> content is high or low) </w:t>
      </w:r>
      <w:r w:rsidR="00741DCC" w:rsidRPr="00CB626B">
        <w:t>on the label</w:t>
      </w:r>
      <w:r w:rsidRPr="00CB626B">
        <w:t>, may offer consumers further assistance in understanding food labels and making decisions about purchasing and/or</w:t>
      </w:r>
      <w:r w:rsidR="000403B2">
        <w:t xml:space="preserve"> consuming </w:t>
      </w:r>
      <w:proofErr w:type="gramStart"/>
      <w:r w:rsidR="000403B2">
        <w:t>particular products</w:t>
      </w:r>
      <w:proofErr w:type="gramEnd"/>
      <w:r w:rsidR="000403B2">
        <w:t>.</w:t>
      </w:r>
    </w:p>
    <w:p w14:paraId="6DAC4036" w14:textId="4386F51F" w:rsidR="00756A47" w:rsidRPr="00CB626B" w:rsidRDefault="00EA4412" w:rsidP="00BC587F">
      <w:r w:rsidRPr="00CB626B">
        <w:t xml:space="preserve">The literature review </w:t>
      </w:r>
      <w:r w:rsidR="00F477A0" w:rsidRPr="00CB626B">
        <w:t xml:space="preserve">also </w:t>
      </w:r>
      <w:r w:rsidRPr="00CB626B">
        <w:t>identified that consumers may be confused about the different names for sugar</w:t>
      </w:r>
      <w:r w:rsidR="009B4724" w:rsidRPr="00CB626B">
        <w:t>s-based</w:t>
      </w:r>
      <w:r w:rsidRPr="00CB626B">
        <w:t xml:space="preserve"> ingredients and have trouble deciding whether these are </w:t>
      </w:r>
      <w:r w:rsidR="00417A3A" w:rsidRPr="00CB626B">
        <w:t>‘</w:t>
      </w:r>
      <w:r w:rsidRPr="00CB626B">
        <w:t>added</w:t>
      </w:r>
      <w:r w:rsidR="00417A3A" w:rsidRPr="00CB626B">
        <w:t>’</w:t>
      </w:r>
      <w:r w:rsidR="00F706EA">
        <w:t xml:space="preserve"> and ‘natural’ sugars. </w:t>
      </w:r>
      <w:r w:rsidRPr="00CB626B">
        <w:t xml:space="preserve">Sugars that are derived from sources such as honey and fruit are often considered to be </w:t>
      </w:r>
      <w:r w:rsidR="009B4724" w:rsidRPr="00CB626B">
        <w:t>‘</w:t>
      </w:r>
      <w:r w:rsidRPr="00CB626B">
        <w:t>natural sugars</w:t>
      </w:r>
      <w:r w:rsidR="009B4724" w:rsidRPr="00CB626B">
        <w:t>’</w:t>
      </w:r>
      <w:r w:rsidRPr="00CB626B">
        <w:t xml:space="preserve">, however, consumers are unsure how to classify sugars with more ‘technical’ names such as </w:t>
      </w:r>
      <w:proofErr w:type="spellStart"/>
      <w:r w:rsidRPr="00CB626B">
        <w:t>isoglucose</w:t>
      </w:r>
      <w:proofErr w:type="spellEnd"/>
      <w:r w:rsidRPr="00CB626B">
        <w:t xml:space="preserve">. Other research reported that consumers considered ‘fruit sugar’ to be healthier than ‘sugar’ suggesting that the source of the sugar may play a role </w:t>
      </w:r>
      <w:r w:rsidR="000403B2">
        <w:t>in its perceived healthfulness.</w:t>
      </w:r>
    </w:p>
    <w:p w14:paraId="19E92E9C" w14:textId="4FD76BCC" w:rsidR="00756A47" w:rsidRPr="00CB626B" w:rsidRDefault="00756A47" w:rsidP="00BC587F">
      <w:r w:rsidRPr="00CB626B">
        <w:t xml:space="preserve">Even though </w:t>
      </w:r>
      <w:proofErr w:type="gramStart"/>
      <w:r w:rsidRPr="00CB626B">
        <w:t>the majority of</w:t>
      </w:r>
      <w:proofErr w:type="gramEnd"/>
      <w:r w:rsidRPr="00CB626B">
        <w:t xml:space="preserve"> consumers understand that a food carrying a ‘no added sugar’ claim may contain naturally occurring sugar</w:t>
      </w:r>
      <w:r w:rsidR="009B4724" w:rsidRPr="00CB626B">
        <w:t>s</w:t>
      </w:r>
      <w:r w:rsidRPr="00CB626B">
        <w:t>, the claim can lead some consumers to incorrectly conclude that the food does not contain any sugar</w:t>
      </w:r>
      <w:r w:rsidR="009B4724" w:rsidRPr="00CB626B">
        <w:t>s</w:t>
      </w:r>
      <w:r w:rsidRPr="00CB626B">
        <w:t>.</w:t>
      </w:r>
    </w:p>
    <w:p w14:paraId="23E03D97" w14:textId="25250943" w:rsidR="00EA4412" w:rsidRPr="00CB626B" w:rsidRDefault="00EA4412" w:rsidP="00BC587F">
      <w:r w:rsidRPr="00CB626B">
        <w:t xml:space="preserve">Other research reviewed reported that consumers generally understood that sugar-sweetened beverages and other discretionary foods </w:t>
      </w:r>
      <w:r w:rsidR="009B4724" w:rsidRPr="00CB626B">
        <w:t>are high in</w:t>
      </w:r>
      <w:r w:rsidRPr="00CB626B">
        <w:t xml:space="preserve"> </w:t>
      </w:r>
      <w:proofErr w:type="gramStart"/>
      <w:r w:rsidRPr="00CB626B">
        <w:t>su</w:t>
      </w:r>
      <w:r w:rsidR="009C66C8" w:rsidRPr="00CB626B">
        <w:t>gar</w:t>
      </w:r>
      <w:r w:rsidR="009B4724" w:rsidRPr="00CB626B">
        <w:t>s</w:t>
      </w:r>
      <w:r w:rsidR="009C66C8" w:rsidRPr="00CB626B">
        <w:t xml:space="preserve">, </w:t>
      </w:r>
      <w:r w:rsidRPr="00CB626B">
        <w:t>but</w:t>
      </w:r>
      <w:proofErr w:type="gramEnd"/>
      <w:r w:rsidRPr="00CB626B">
        <w:t xml:space="preserve"> may underestimate the total amount of sugar</w:t>
      </w:r>
      <w:r w:rsidR="009B4724" w:rsidRPr="00CB626B">
        <w:t>s</w:t>
      </w:r>
      <w:r w:rsidRPr="00CB626B">
        <w:t xml:space="preserve"> in these products. </w:t>
      </w:r>
      <w:r w:rsidR="008A3083" w:rsidRPr="00CB626B">
        <w:t>Finally, despite the general lack of evidence of impact of sugar</w:t>
      </w:r>
      <w:r w:rsidR="009B4724" w:rsidRPr="00CB626B">
        <w:t>s</w:t>
      </w:r>
      <w:r w:rsidR="008A3083" w:rsidRPr="00CB626B">
        <w:t xml:space="preserve"> labelling on behaviour, in the case of </w:t>
      </w:r>
      <w:r w:rsidR="00F24EA3" w:rsidRPr="00CB626B">
        <w:t>sugar-sweetened beverage</w:t>
      </w:r>
      <w:r w:rsidR="008A3083" w:rsidRPr="00CB626B">
        <w:t>s, there is evidence that some labelling interventions may reduce purchase inten</w:t>
      </w:r>
      <w:r w:rsidR="00417A3A" w:rsidRPr="00CB626B">
        <w:t>tions for, and actual purchases</w:t>
      </w:r>
      <w:r w:rsidR="008A3083" w:rsidRPr="00CB626B">
        <w:t xml:space="preserve"> of</w:t>
      </w:r>
      <w:r w:rsidR="00417A3A" w:rsidRPr="00CB626B">
        <w:t>,</w:t>
      </w:r>
      <w:r w:rsidR="008A3083" w:rsidRPr="00CB626B">
        <w:t xml:space="preserve"> </w:t>
      </w:r>
      <w:r w:rsidR="00F24EA3" w:rsidRPr="00CB626B">
        <w:t>sugar-sweetened beverage</w:t>
      </w:r>
      <w:r w:rsidR="008A3083" w:rsidRPr="00CB626B">
        <w:t>s. However, intention to consume those foods often depends on attitudes and priorities relating to health.</w:t>
      </w:r>
    </w:p>
    <w:p w14:paraId="6CA78E0A" w14:textId="4440A8B9" w:rsidR="00836AA7" w:rsidRPr="00CB626B" w:rsidRDefault="002F418B" w:rsidP="00314A5D">
      <w:pPr>
        <w:pStyle w:val="Heading2"/>
      </w:pPr>
      <w:bookmarkStart w:id="155" w:name="_Toc512860871"/>
      <w:bookmarkStart w:id="156" w:name="_Toc513468719"/>
      <w:bookmarkStart w:id="157" w:name="_Toc513546892"/>
      <w:bookmarkStart w:id="158" w:name="_Toc6323605"/>
      <w:r w:rsidRPr="00CB626B">
        <w:t>Other</w:t>
      </w:r>
      <w:r w:rsidR="00836AA7" w:rsidRPr="00CB626B">
        <w:t xml:space="preserve"> sources of information about added sugar content of foods in Australia and New Zealand</w:t>
      </w:r>
      <w:bookmarkEnd w:id="155"/>
      <w:bookmarkEnd w:id="156"/>
      <w:bookmarkEnd w:id="157"/>
      <w:bookmarkEnd w:id="158"/>
    </w:p>
    <w:p w14:paraId="079EF34F" w14:textId="502999B5" w:rsidR="009C66C8" w:rsidRPr="00CB626B" w:rsidRDefault="00836AA7" w:rsidP="00BC587F">
      <w:r w:rsidRPr="00CB626B">
        <w:t xml:space="preserve">There is currently limited information </w:t>
      </w:r>
      <w:r w:rsidR="00DE310D">
        <w:t>available to consumers</w:t>
      </w:r>
      <w:r w:rsidR="00DE310D" w:rsidRPr="00CB626B">
        <w:t xml:space="preserve"> </w:t>
      </w:r>
      <w:r w:rsidRPr="00CB626B">
        <w:t>about which foods contain added sugar</w:t>
      </w:r>
      <w:r w:rsidR="009B4724" w:rsidRPr="00CB626B">
        <w:t>s</w:t>
      </w:r>
      <w:r w:rsidR="00F706EA">
        <w:t xml:space="preserve">. </w:t>
      </w:r>
      <w:r w:rsidRPr="00CB626B">
        <w:t xml:space="preserve">The dietary guidelines </w:t>
      </w:r>
      <w:r w:rsidR="00E2000F" w:rsidRPr="00CB626B">
        <w:t xml:space="preserve">consumer resources </w:t>
      </w:r>
      <w:r w:rsidRPr="00CB626B">
        <w:t xml:space="preserve">provide examples of some foods containing added </w:t>
      </w:r>
      <w:proofErr w:type="gramStart"/>
      <w:r w:rsidRPr="00CB626B">
        <w:t>sugar</w:t>
      </w:r>
      <w:r w:rsidR="009B4724" w:rsidRPr="00CB626B">
        <w:t>s</w:t>
      </w:r>
      <w:r w:rsidRPr="00CB626B">
        <w:t>,</w:t>
      </w:r>
      <w:proofErr w:type="gramEnd"/>
      <w:r w:rsidRPr="00CB626B">
        <w:t xml:space="preserve"> however, this is </w:t>
      </w:r>
      <w:r w:rsidR="00DE310D">
        <w:t>small</w:t>
      </w:r>
      <w:r w:rsidR="001F2201" w:rsidRPr="00CB626B">
        <w:t xml:space="preserve"> generic</w:t>
      </w:r>
      <w:r w:rsidR="00DE310D">
        <w:t xml:space="preserve"> list</w:t>
      </w:r>
      <w:r w:rsidR="001F2201" w:rsidRPr="00CB626B">
        <w:t xml:space="preserve"> (e.g. cakes, biscuits, sweetened soft drinks and cordials, honey, some sauces)</w:t>
      </w:r>
      <w:r w:rsidRPr="00CB626B">
        <w:t>.</w:t>
      </w:r>
      <w:r w:rsidR="002057BF">
        <w:t xml:space="preserve"> </w:t>
      </w:r>
      <w:r w:rsidR="008867C8">
        <w:t xml:space="preserve">Other health promotion websites and resources such as </w:t>
      </w:r>
      <w:r w:rsidR="008867C8" w:rsidRPr="000403B2">
        <w:rPr>
          <w:rStyle w:val="Emphasis"/>
        </w:rPr>
        <w:t>‘Rethink sugary drinks’</w:t>
      </w:r>
      <w:r w:rsidR="008867C8">
        <w:t xml:space="preserve"> provide general information about drinks high in added sugar</w:t>
      </w:r>
      <w:r w:rsidR="002057BF">
        <w:t>s</w:t>
      </w:r>
      <w:r w:rsidR="000403B2">
        <w:t>.</w:t>
      </w:r>
    </w:p>
    <w:p w14:paraId="2AC6AFE3" w14:textId="46422BE9" w:rsidR="008D1E4E" w:rsidRPr="00CB626B" w:rsidRDefault="009C66C8" w:rsidP="00BC587F">
      <w:r w:rsidRPr="00CB626B">
        <w:t xml:space="preserve">Another source of information on the added sugar content of foods </w:t>
      </w:r>
      <w:r w:rsidR="002057BF">
        <w:t xml:space="preserve">in Australia </w:t>
      </w:r>
      <w:r w:rsidRPr="00CB626B">
        <w:t>is</w:t>
      </w:r>
      <w:r w:rsidR="00AF6317">
        <w:t xml:space="preserve"> a dataset developed by FSANZ. </w:t>
      </w:r>
      <w:r w:rsidRPr="00CB626B">
        <w:t>FSANZ</w:t>
      </w:r>
      <w:r w:rsidR="00836AA7" w:rsidRPr="00CB626B">
        <w:t xml:space="preserve"> estimated the added sugar</w:t>
      </w:r>
      <w:r w:rsidR="009B4724" w:rsidRPr="00CB626B">
        <w:t>s</w:t>
      </w:r>
      <w:r w:rsidR="00836AA7" w:rsidRPr="00CB626B">
        <w:t xml:space="preserve"> content of foods consumed by participants in the 2011</w:t>
      </w:r>
      <w:r w:rsidR="00285D85">
        <w:noBreakHyphen/>
      </w:r>
      <w:r w:rsidR="00836AA7" w:rsidRPr="00CB626B">
        <w:t>12 Australian Health Survey for the purposes of analysing survey data</w:t>
      </w:r>
      <w:r w:rsidR="00C64CDB" w:rsidRPr="00CB626B">
        <w:rPr>
          <w:rStyle w:val="FootnoteReference"/>
        </w:rPr>
        <w:footnoteReference w:id="69"/>
      </w:r>
      <w:r w:rsidR="00C64CDB">
        <w:t xml:space="preserve"> </w:t>
      </w:r>
      <w:r w:rsidR="00836AA7" w:rsidRPr="00CB626B">
        <w:t>and this information is available free online</w:t>
      </w:r>
      <w:r w:rsidR="0030223D" w:rsidRPr="00CB626B">
        <w:rPr>
          <w:rStyle w:val="FootnoteReference"/>
        </w:rPr>
        <w:footnoteReference w:id="70"/>
      </w:r>
      <w:r w:rsidR="00F706EA">
        <w:t xml:space="preserve">. </w:t>
      </w:r>
      <w:r w:rsidR="00836AA7" w:rsidRPr="00CB626B">
        <w:t xml:space="preserve">However, as this work was undertaken for survey analysis purposes, the data represent food composition and availability in 2011-12 and the database is not updated to reflect trends </w:t>
      </w:r>
      <w:r w:rsidR="00E2000F" w:rsidRPr="00CB626B">
        <w:t>in the Australian food s</w:t>
      </w:r>
      <w:r w:rsidR="00F706EA">
        <w:t xml:space="preserve">upply. </w:t>
      </w:r>
      <w:r w:rsidR="00E2000F" w:rsidRPr="00CB626B">
        <w:t xml:space="preserve">This database is also generic and </w:t>
      </w:r>
      <w:r w:rsidR="002F418B" w:rsidRPr="00CB626B">
        <w:t xml:space="preserve">generally </w:t>
      </w:r>
      <w:r w:rsidR="00E2000F" w:rsidRPr="00CB626B">
        <w:t xml:space="preserve">does not capture variations between brands. </w:t>
      </w:r>
      <w:r w:rsidR="001F2201" w:rsidRPr="00CB626B">
        <w:t>The database is available on a technical part of the FSANZ website, and because it is not intended to be a consumer resource, it is not presented in a consumer-friendly format.</w:t>
      </w:r>
      <w:r w:rsidR="00C64CDB">
        <w:t xml:space="preserve"> In January 2019, </w:t>
      </w:r>
      <w:r w:rsidR="00C64CDB" w:rsidRPr="00C64CDB">
        <w:t xml:space="preserve">FSANZ published more recent data on the added sugars content of foods as part of the </w:t>
      </w:r>
      <w:r w:rsidR="00C64CDB" w:rsidRPr="000403B2">
        <w:rPr>
          <w:rStyle w:val="Emphasis"/>
        </w:rPr>
        <w:t>Australian Food Composition Database – Release 1</w:t>
      </w:r>
      <w:r w:rsidR="00C64CDB" w:rsidRPr="000403B2">
        <w:rPr>
          <w:rStyle w:val="FootnoteReference"/>
        </w:rPr>
        <w:footnoteReference w:id="71"/>
      </w:r>
      <w:r w:rsidR="00C64CDB" w:rsidRPr="000403B2">
        <w:t xml:space="preserve">. </w:t>
      </w:r>
      <w:r w:rsidR="00C64CDB" w:rsidRPr="00C64CDB">
        <w:t>While this resource provides more recent data, the values are still generic and generally do not capture variations between brands.</w:t>
      </w:r>
    </w:p>
    <w:p w14:paraId="5BA58B1C" w14:textId="22E2CF5B" w:rsidR="008867C8" w:rsidRDefault="008867C8" w:rsidP="00BC587F">
      <w:r>
        <w:t>Similarly, r</w:t>
      </w:r>
      <w:r w:rsidR="0014779F">
        <w:t>esearchers in New Zealand</w:t>
      </w:r>
      <w:r w:rsidR="0014779F">
        <w:rPr>
          <w:rStyle w:val="FootnoteReference"/>
        </w:rPr>
        <w:footnoteReference w:id="72"/>
      </w:r>
      <w:r w:rsidR="0014779F">
        <w:t xml:space="preserve"> have calculated the added sugars content of foods in the </w:t>
      </w:r>
      <w:r w:rsidR="000403B2">
        <w:t xml:space="preserve">New </w:t>
      </w:r>
      <w:r w:rsidR="0014779F">
        <w:t>Zea</w:t>
      </w:r>
      <w:r>
        <w:t>land food composition database and f</w:t>
      </w:r>
      <w:r w:rsidR="0038261F">
        <w:t xml:space="preserve">rom April 2019, added sugars information will be available in the New Zealand national food composition database. </w:t>
      </w:r>
      <w:r>
        <w:t>Like</w:t>
      </w:r>
      <w:r w:rsidR="0014779F">
        <w:t xml:space="preserve"> the Australian </w:t>
      </w:r>
      <w:r w:rsidR="009403BF">
        <w:t xml:space="preserve">food composition </w:t>
      </w:r>
      <w:r w:rsidR="0014779F">
        <w:t>data</w:t>
      </w:r>
      <w:r w:rsidR="007B25D2">
        <w:t>base</w:t>
      </w:r>
      <w:r w:rsidR="0014779F">
        <w:t>, this</w:t>
      </w:r>
      <w:r w:rsidR="009403BF">
        <w:t xml:space="preserve"> doesn’t include all foods available in the New Zealand food supply,</w:t>
      </w:r>
      <w:r w:rsidR="0014779F">
        <w:t xml:space="preserve"> </w:t>
      </w:r>
      <w:r w:rsidR="004E557A">
        <w:t xml:space="preserve">is </w:t>
      </w:r>
      <w:r w:rsidR="0014779F">
        <w:t>not necessarily brand specific</w:t>
      </w:r>
      <w:r w:rsidR="004E557A">
        <w:t>,</w:t>
      </w:r>
      <w:r w:rsidR="0014779F">
        <w:t xml:space="preserve"> </w:t>
      </w:r>
      <w:r w:rsidR="009403BF">
        <w:t xml:space="preserve">is </w:t>
      </w:r>
      <w:r w:rsidR="004E557A">
        <w:t xml:space="preserve">not designed for consumers </w:t>
      </w:r>
      <w:r w:rsidR="0014779F">
        <w:t>and not regularly updated</w:t>
      </w:r>
      <w:r w:rsidR="009403BF">
        <w:t xml:space="preserve"> as new foods become available or product formulations change</w:t>
      </w:r>
      <w:r w:rsidR="000403B2">
        <w:t>.</w:t>
      </w:r>
    </w:p>
    <w:p w14:paraId="35A7E94A" w14:textId="134FC465" w:rsidR="008867C8" w:rsidRDefault="008867C8" w:rsidP="00BC587F">
      <w:r>
        <w:t>Another source of informati</w:t>
      </w:r>
      <w:r w:rsidR="002057BF">
        <w:t xml:space="preserve">on about added sugars in foods </w:t>
      </w:r>
      <w:r>
        <w:t xml:space="preserve">is the </w:t>
      </w:r>
      <w:r w:rsidR="004E557A">
        <w:t xml:space="preserve">George Institute </w:t>
      </w:r>
      <w:r>
        <w:t xml:space="preserve">(based in Australia) </w:t>
      </w:r>
      <w:r w:rsidR="004E557A">
        <w:t xml:space="preserve">food composition database </w:t>
      </w:r>
      <w:proofErr w:type="spellStart"/>
      <w:r w:rsidR="004E557A" w:rsidRPr="000403B2">
        <w:rPr>
          <w:rStyle w:val="Emphasis"/>
        </w:rPr>
        <w:t>FoodSwitch</w:t>
      </w:r>
      <w:proofErr w:type="spellEnd"/>
      <w:r w:rsidR="004E557A" w:rsidRPr="000403B2">
        <w:rPr>
          <w:rStyle w:val="Emphasis"/>
        </w:rPr>
        <w:t>.</w:t>
      </w:r>
      <w:r w:rsidR="004E557A">
        <w:t xml:space="preserve"> Added sugar</w:t>
      </w:r>
      <w:r w:rsidR="002057BF">
        <w:t>s</w:t>
      </w:r>
      <w:r w:rsidR="004E557A">
        <w:t xml:space="preserve"> information is available in this database for some foods where the manufacturer has listed the added sugar</w:t>
      </w:r>
      <w:r w:rsidR="002057BF">
        <w:t>s</w:t>
      </w:r>
      <w:r w:rsidR="004E557A">
        <w:t xml:space="preserve"> cont</w:t>
      </w:r>
      <w:r w:rsidR="00DE310D">
        <w:t xml:space="preserve">ent of the product on the label. For food products where added sugars are not listed on the label, </w:t>
      </w:r>
      <w:r w:rsidR="004E557A">
        <w:t xml:space="preserve">the George Institute has estimated the </w:t>
      </w:r>
      <w:r w:rsidR="00DE310D">
        <w:t xml:space="preserve">food’s </w:t>
      </w:r>
      <w:r w:rsidR="004E557A">
        <w:t>added sugar</w:t>
      </w:r>
      <w:r w:rsidR="002057BF">
        <w:t>s</w:t>
      </w:r>
      <w:r w:rsidR="004E557A">
        <w:t xml:space="preserve"> content </w:t>
      </w:r>
      <w:r w:rsidR="00DE310D">
        <w:t xml:space="preserve">using values derived from the FSANZ food composition database. </w:t>
      </w:r>
      <w:r w:rsidR="004E557A">
        <w:t xml:space="preserve">The </w:t>
      </w:r>
      <w:r w:rsidR="004E557A" w:rsidRPr="0073490D">
        <w:t xml:space="preserve">George Institute </w:t>
      </w:r>
      <w:r w:rsidRPr="0073490D">
        <w:t xml:space="preserve">has </w:t>
      </w:r>
      <w:r w:rsidR="004E557A" w:rsidRPr="0073490D">
        <w:t>noted that the added sugars data in the</w:t>
      </w:r>
      <w:r w:rsidR="004E557A" w:rsidRPr="00125C95">
        <w:rPr>
          <w:rStyle w:val="Emphasis"/>
        </w:rPr>
        <w:t xml:space="preserve"> </w:t>
      </w:r>
      <w:proofErr w:type="spellStart"/>
      <w:r w:rsidR="004E557A" w:rsidRPr="000403B2">
        <w:rPr>
          <w:rStyle w:val="Emphasis"/>
        </w:rPr>
        <w:t>FoodSwitch</w:t>
      </w:r>
      <w:proofErr w:type="spellEnd"/>
      <w:r w:rsidR="004E557A" w:rsidRPr="000403B2">
        <w:rPr>
          <w:rStyle w:val="Emphasis"/>
        </w:rPr>
        <w:t xml:space="preserve"> </w:t>
      </w:r>
      <w:r w:rsidR="004E557A" w:rsidRPr="00125C95">
        <w:t>database</w:t>
      </w:r>
      <w:r w:rsidR="004E557A" w:rsidRPr="0073490D">
        <w:t xml:space="preserve"> is </w:t>
      </w:r>
      <w:r w:rsidRPr="0073490D">
        <w:t xml:space="preserve">primarily </w:t>
      </w:r>
      <w:r w:rsidR="0073490D" w:rsidRPr="0073490D">
        <w:t xml:space="preserve">used for research purposes, as this data currently does not provide consumers with </w:t>
      </w:r>
      <w:r w:rsidR="0073490D">
        <w:t xml:space="preserve">a consistent format of </w:t>
      </w:r>
      <w:r w:rsidR="0073490D" w:rsidRPr="0073490D">
        <w:t>information on added sugars content at the point of purchase</w:t>
      </w:r>
      <w:r w:rsidR="004E557A" w:rsidRPr="0073490D">
        <w:t>.</w:t>
      </w:r>
    </w:p>
    <w:p w14:paraId="0A1AA813" w14:textId="7AC8E602" w:rsidR="004B7596" w:rsidRDefault="004E557A" w:rsidP="00BC587F">
      <w:r w:rsidRPr="008867C8">
        <w:t>Some food</w:t>
      </w:r>
      <w:r>
        <w:t xml:space="preserve"> manufacturers </w:t>
      </w:r>
      <w:r w:rsidR="008867C8">
        <w:t xml:space="preserve">have </w:t>
      </w:r>
      <w:r>
        <w:t xml:space="preserve">calculated </w:t>
      </w:r>
      <w:r w:rsidR="003126F2">
        <w:t xml:space="preserve">the added sugars content of some </w:t>
      </w:r>
      <w:r>
        <w:t xml:space="preserve">products </w:t>
      </w:r>
      <w:r w:rsidR="003126F2">
        <w:t>as part of</w:t>
      </w:r>
      <w:r>
        <w:t xml:space="preserve"> the </w:t>
      </w:r>
      <w:r w:rsidR="009A79FA">
        <w:t>HSR five</w:t>
      </w:r>
      <w:r w:rsidR="003A7517">
        <w:t xml:space="preserve">-year </w:t>
      </w:r>
      <w:r>
        <w:t>review</w:t>
      </w:r>
      <w:r w:rsidR="003126F2">
        <w:t xml:space="preserve">. </w:t>
      </w:r>
      <w:r w:rsidR="003A7517">
        <w:t xml:space="preserve">Data on the </w:t>
      </w:r>
      <w:proofErr w:type="gramStart"/>
      <w:r w:rsidR="003A7517">
        <w:t>amount</w:t>
      </w:r>
      <w:proofErr w:type="gramEnd"/>
      <w:r w:rsidR="003A7517">
        <w:t xml:space="preserve"> of </w:t>
      </w:r>
      <w:r w:rsidR="004B7596">
        <w:t xml:space="preserve">added sugars </w:t>
      </w:r>
      <w:r w:rsidR="003A7517">
        <w:t>in</w:t>
      </w:r>
      <w:r w:rsidR="004B7596" w:rsidRPr="004B7596">
        <w:t xml:space="preserve"> 1,875 products</w:t>
      </w:r>
      <w:r w:rsidR="004B7596">
        <w:t xml:space="preserve"> from 33 companies were provided to the </w:t>
      </w:r>
      <w:r w:rsidR="00E17C39">
        <w:t>HSR</w:t>
      </w:r>
      <w:r w:rsidR="004B7596">
        <w:t xml:space="preserve"> Technical Advisory Group to model the impact of incorporating added sugars in the </w:t>
      </w:r>
      <w:r w:rsidR="00E17C39">
        <w:t>HSR</w:t>
      </w:r>
      <w:r w:rsidR="004B7596">
        <w:t xml:space="preserve"> algorithm. </w:t>
      </w:r>
      <w:r w:rsidR="004B7596" w:rsidRPr="004B7596">
        <w:t xml:space="preserve">Almost all 42 </w:t>
      </w:r>
      <w:r w:rsidR="004B7596">
        <w:t>food</w:t>
      </w:r>
      <w:r w:rsidR="00DA4008">
        <w:t xml:space="preserve"> categories are represented.</w:t>
      </w:r>
      <w:r w:rsidR="004B7596" w:rsidRPr="004B7596">
        <w:t xml:space="preserve"> </w:t>
      </w:r>
      <w:r w:rsidR="004B7596">
        <w:t>However, the</w:t>
      </w:r>
      <w:r w:rsidR="003A7517">
        <w:t>se</w:t>
      </w:r>
      <w:r w:rsidR="004B7596">
        <w:t xml:space="preserve"> added sugars data </w:t>
      </w:r>
      <w:r w:rsidR="003A7517">
        <w:t xml:space="preserve">were provided by companies specifically for use in the </w:t>
      </w:r>
      <w:r w:rsidR="00E17C39">
        <w:t>HSR</w:t>
      </w:r>
      <w:r w:rsidR="003A7517">
        <w:t xml:space="preserve"> modelling and </w:t>
      </w:r>
      <w:r w:rsidR="004B7596">
        <w:t>are not available to the public.</w:t>
      </w:r>
    </w:p>
    <w:p w14:paraId="782CDF8F" w14:textId="3FF63DCF" w:rsidR="000000B0" w:rsidRPr="00CB626B" w:rsidRDefault="000000B0" w:rsidP="00314A5D">
      <w:pPr>
        <w:pStyle w:val="Heading2"/>
      </w:pPr>
      <w:bookmarkStart w:id="159" w:name="_Toc512860872"/>
      <w:bookmarkStart w:id="160" w:name="_Toc513468720"/>
      <w:bookmarkStart w:id="161" w:name="_Toc513546893"/>
      <w:bookmarkStart w:id="162" w:name="_Toc6323606"/>
      <w:r w:rsidRPr="00CB626B">
        <w:t xml:space="preserve">Current </w:t>
      </w:r>
      <w:r w:rsidR="00CD3B1D" w:rsidRPr="00CB626B">
        <w:t xml:space="preserve">actions that are underway to support reducing </w:t>
      </w:r>
      <w:r w:rsidR="006E72DB">
        <w:t xml:space="preserve">intakes of </w:t>
      </w:r>
      <w:proofErr w:type="gramStart"/>
      <w:r w:rsidR="00CD3B1D" w:rsidRPr="00CB626B">
        <w:t>sugar</w:t>
      </w:r>
      <w:r w:rsidR="006E72DB">
        <w:t>s</w:t>
      </w:r>
      <w:bookmarkEnd w:id="159"/>
      <w:bookmarkEnd w:id="160"/>
      <w:bookmarkEnd w:id="161"/>
      <w:bookmarkEnd w:id="162"/>
      <w:proofErr w:type="gramEnd"/>
    </w:p>
    <w:p w14:paraId="7A6B6ABE" w14:textId="4B1247FB" w:rsidR="001A6251" w:rsidRDefault="002761BF" w:rsidP="00BC587F">
      <w:r w:rsidRPr="00CB626B">
        <w:t xml:space="preserve">The FSANZ </w:t>
      </w:r>
      <w:r w:rsidR="009A0EAC" w:rsidRPr="00CB626B">
        <w:t>literature review on consumer knowledge, attitudes and behaviours relating to sugars and food labelling</w:t>
      </w:r>
      <w:r w:rsidRPr="00CB626B">
        <w:t xml:space="preserve"> found that there is little evidence to suggest that nutritional labelling changes behaviour, and individual factors such as health consciousness and personal motivation are key drivers of consumer use of nutritional labelling and consumption behaviours</w:t>
      </w:r>
      <w:r w:rsidRPr="00CB626B">
        <w:rPr>
          <w:rStyle w:val="FootnoteReference"/>
        </w:rPr>
        <w:footnoteReference w:id="73"/>
      </w:r>
      <w:r w:rsidRPr="00CB626B">
        <w:t>.</w:t>
      </w:r>
    </w:p>
    <w:p w14:paraId="0E35C6A1" w14:textId="3D9804FD" w:rsidR="002761BF" w:rsidRPr="00CB626B" w:rsidRDefault="002761BF" w:rsidP="00BC587F">
      <w:r w:rsidRPr="00CB626B">
        <w:t xml:space="preserve">In recognition of </w:t>
      </w:r>
      <w:r w:rsidR="007D4A16">
        <w:t>this information</w:t>
      </w:r>
      <w:r w:rsidRPr="00CB626B">
        <w:t>, FRSC notes that a range of other actions are underway across all level</w:t>
      </w:r>
      <w:r w:rsidR="00BE1817" w:rsidRPr="00CB626B">
        <w:t>s</w:t>
      </w:r>
      <w:r w:rsidRPr="00CB626B">
        <w:t xml:space="preserve"> of Government in Australia and New Zealand to support consumers to limit consumption of foods containing added sugars. These activities are detailed at </w:t>
      </w:r>
      <w:hyperlink w:anchor="_Attachment_B_–" w:history="1">
        <w:r w:rsidRPr="002B7189">
          <w:rPr>
            <w:rStyle w:val="Hyperlink"/>
          </w:rPr>
          <w:t xml:space="preserve">Attachment </w:t>
        </w:r>
        <w:r w:rsidR="002F418B" w:rsidRPr="002B7189">
          <w:rPr>
            <w:rStyle w:val="Hyperlink"/>
          </w:rPr>
          <w:t>B</w:t>
        </w:r>
      </w:hyperlink>
      <w:r w:rsidRPr="000403B2">
        <w:t>.</w:t>
      </w:r>
      <w:r w:rsidRPr="00CB626B">
        <w:t xml:space="preserve"> These actions include working with the food industry to reduce sugar</w:t>
      </w:r>
      <w:r w:rsidR="009B4724" w:rsidRPr="00CB626B">
        <w:t>s</w:t>
      </w:r>
      <w:r w:rsidRPr="00CB626B">
        <w:t xml:space="preserve"> content of foods (on a voluntary basis), providing education and advice about the recommendations in dietary guidelines and the advice to reduce con</w:t>
      </w:r>
      <w:r w:rsidR="00AF382C" w:rsidRPr="00CB626B">
        <w:t>sumption of foods high in added</w:t>
      </w:r>
      <w:r w:rsidRPr="00CB626B">
        <w:t xml:space="preserve"> sugars (many are particularly focussed on soft drinks) and restricting access to foods that are high</w:t>
      </w:r>
      <w:r w:rsidR="009A0EAC" w:rsidRPr="00CB626B">
        <w:t xml:space="preserve"> in </w:t>
      </w:r>
      <w:r w:rsidR="002222CC" w:rsidRPr="00CB626B">
        <w:t>/contain</w:t>
      </w:r>
      <w:r w:rsidRPr="00CB626B">
        <w:t xml:space="preserve"> added sugars in settings such as schools, early </w:t>
      </w:r>
      <w:proofErr w:type="gramStart"/>
      <w:r w:rsidRPr="00CB626B">
        <w:t>c</w:t>
      </w:r>
      <w:r w:rsidR="000403B2">
        <w:t>hildcare</w:t>
      </w:r>
      <w:proofErr w:type="gramEnd"/>
      <w:r w:rsidR="000403B2">
        <w:t xml:space="preserve"> and health facilities.</w:t>
      </w:r>
    </w:p>
    <w:p w14:paraId="4011D1A0" w14:textId="64BF0104" w:rsidR="002761BF" w:rsidRPr="00CB626B" w:rsidRDefault="00AF382C" w:rsidP="00BC587F">
      <w:r w:rsidRPr="00CB626B">
        <w:t>T</w:t>
      </w:r>
      <w:r w:rsidR="002761BF" w:rsidRPr="00CB626B">
        <w:t>he education and communication aspects of the actions outlined above may help increase consumers</w:t>
      </w:r>
      <w:r w:rsidR="008D1E4E" w:rsidRPr="00CB626B">
        <w:t>’</w:t>
      </w:r>
      <w:r w:rsidR="002761BF" w:rsidRPr="00CB626B">
        <w:t xml:space="preserve"> motivations</w:t>
      </w:r>
      <w:r w:rsidR="008D1E4E" w:rsidRPr="00CB626B">
        <w:t xml:space="preserve"> and skills</w:t>
      </w:r>
      <w:r w:rsidR="002761BF" w:rsidRPr="00CB626B">
        <w:t xml:space="preserve"> to</w:t>
      </w:r>
      <w:r w:rsidR="008D1E4E" w:rsidRPr="00CB626B">
        <w:t xml:space="preserve"> better</w:t>
      </w:r>
      <w:r w:rsidR="002761BF" w:rsidRPr="00CB626B">
        <w:t xml:space="preserve"> use food labels</w:t>
      </w:r>
      <w:r w:rsidRPr="00CB626B">
        <w:t xml:space="preserve"> to make informed food choices in relation to the die</w:t>
      </w:r>
      <w:r w:rsidR="00F706EA">
        <w:t xml:space="preserve">tary guidelines. </w:t>
      </w:r>
      <w:r w:rsidRPr="00CB626B">
        <w:t>However, with the l</w:t>
      </w:r>
      <w:r w:rsidR="009C66C8" w:rsidRPr="00CB626B">
        <w:t>ack of</w:t>
      </w:r>
      <w:r w:rsidRPr="00CB626B">
        <w:t xml:space="preserve"> information available on food labels and other sources about added sugar</w:t>
      </w:r>
      <w:r w:rsidR="009B4724" w:rsidRPr="00CB626B">
        <w:t>s</w:t>
      </w:r>
      <w:r w:rsidRPr="00CB626B">
        <w:t>, consumers</w:t>
      </w:r>
      <w:r w:rsidR="00BE1817" w:rsidRPr="00CB626B">
        <w:t>’</w:t>
      </w:r>
      <w:r w:rsidRPr="00CB626B">
        <w:t xml:space="preserve"> ability </w:t>
      </w:r>
      <w:r w:rsidR="00BE1817" w:rsidRPr="00CB626B">
        <w:t xml:space="preserve">to </w:t>
      </w:r>
      <w:r w:rsidRPr="00CB626B">
        <w:t>implement the recommendations in the dietary guidelines</w:t>
      </w:r>
      <w:r w:rsidR="009C66C8" w:rsidRPr="00CB626B">
        <w:t xml:space="preserve"> is limited</w:t>
      </w:r>
      <w:r w:rsidR="0070624D">
        <w:t>.</w:t>
      </w:r>
    </w:p>
    <w:p w14:paraId="53E5D52D" w14:textId="564565E7" w:rsidR="004D3C05" w:rsidRPr="00BC587F" w:rsidRDefault="002761BF" w:rsidP="00BC587F">
      <w:r w:rsidRPr="00BC587F">
        <w:t xml:space="preserve">Food labelling can also facilitate the implementation of the actions described in </w:t>
      </w:r>
      <w:hyperlink w:anchor="_Attachment_B_–" w:history="1">
        <w:r w:rsidR="000403B2" w:rsidRPr="002B7189">
          <w:rPr>
            <w:rStyle w:val="Hyperlink"/>
          </w:rPr>
          <w:t xml:space="preserve">Attachment </w:t>
        </w:r>
        <w:r w:rsidR="002F418B" w:rsidRPr="002B7189">
          <w:rPr>
            <w:rStyle w:val="Hyperlink"/>
          </w:rPr>
          <w:t>B</w:t>
        </w:r>
      </w:hyperlink>
      <w:r w:rsidR="00AF382C" w:rsidRPr="00BC587F">
        <w:t>. F</w:t>
      </w:r>
      <w:r w:rsidRPr="00BC587F">
        <w:t>or example, labels can be used to identify which foods can and cannot be sold in settings such as schools, early childcare and health facilities and labels can also provide the opportunity for food manufacture</w:t>
      </w:r>
      <w:r w:rsidR="00C64CDB" w:rsidRPr="00BC587F">
        <w:t>r</w:t>
      </w:r>
      <w:r w:rsidRPr="00BC587F">
        <w:t xml:space="preserve">s to communicate the results of their efforts in reducing </w:t>
      </w:r>
      <w:r w:rsidR="002F418B" w:rsidRPr="00BC587F">
        <w:t xml:space="preserve">added </w:t>
      </w:r>
      <w:r w:rsidRPr="00BC587F">
        <w:t>sugar</w:t>
      </w:r>
      <w:r w:rsidR="009B4724" w:rsidRPr="00BC587F">
        <w:t>s</w:t>
      </w:r>
      <w:r w:rsidR="00F706EA" w:rsidRPr="00BC587F">
        <w:t xml:space="preserve"> content of their products. </w:t>
      </w:r>
      <w:r w:rsidR="00AF382C" w:rsidRPr="00BC587F">
        <w:t>However, as food labels currently provide limited information about added sugar</w:t>
      </w:r>
      <w:r w:rsidR="009B4724" w:rsidRPr="00BC587F">
        <w:t>s</w:t>
      </w:r>
      <w:r w:rsidR="00AF382C" w:rsidRPr="00BC587F">
        <w:t>, the potential for food labels to support</w:t>
      </w:r>
      <w:r w:rsidR="0034717B" w:rsidRPr="00BC587F">
        <w:t xml:space="preserve"> the implementation of</w:t>
      </w:r>
      <w:r w:rsidR="00AF382C" w:rsidRPr="00BC587F">
        <w:t xml:space="preserve"> these </w:t>
      </w:r>
      <w:r w:rsidR="0034717B" w:rsidRPr="00BC587F">
        <w:t>initiatives</w:t>
      </w:r>
      <w:r w:rsidR="00AF382C" w:rsidRPr="00BC587F">
        <w:t xml:space="preserve"> is </w:t>
      </w:r>
      <w:r w:rsidR="0034717B" w:rsidRPr="00BC587F">
        <w:t>constrained</w:t>
      </w:r>
      <w:r w:rsidR="000403B2" w:rsidRPr="00BC587F">
        <w:t>.</w:t>
      </w:r>
    </w:p>
    <w:p w14:paraId="3330004E" w14:textId="6EC5F6F9" w:rsidR="004D3C05" w:rsidRPr="00CB626B" w:rsidRDefault="004D3C05" w:rsidP="00A8387E">
      <w:pPr>
        <w:pStyle w:val="Heading1"/>
      </w:pPr>
      <w:bookmarkStart w:id="163" w:name="_Toc6323607"/>
      <w:r w:rsidRPr="00CB626B">
        <w:t>Objectives</w:t>
      </w:r>
      <w:bookmarkEnd w:id="163"/>
    </w:p>
    <w:p w14:paraId="53888BD3" w14:textId="77777777" w:rsidR="00EA4412" w:rsidRPr="00BC587F" w:rsidRDefault="00765CF9" w:rsidP="00BC587F">
      <w:r w:rsidRPr="00BC587F">
        <w:t>Under t</w:t>
      </w:r>
      <w:r w:rsidR="00EA4412" w:rsidRPr="00BC587F">
        <w:t>he Overarching Strategic Statement</w:t>
      </w:r>
      <w:r w:rsidRPr="00BC587F">
        <w:t xml:space="preserve"> for the Food Regulatory System, </w:t>
      </w:r>
      <w:r w:rsidR="00EA4412" w:rsidRPr="00BC587F">
        <w:t>the aims of the food regulatory system are:</w:t>
      </w:r>
    </w:p>
    <w:p w14:paraId="3868EF2D" w14:textId="77777777" w:rsidR="00EA4412" w:rsidRPr="00CB626B" w:rsidRDefault="00EA4412" w:rsidP="00C84941">
      <w:pPr>
        <w:pStyle w:val="Bullets"/>
      </w:pPr>
      <w:r w:rsidRPr="00CB626B">
        <w:t xml:space="preserve">Protecting the health and safety of consumers by reducing risks related to </w:t>
      </w:r>
      <w:proofErr w:type="gramStart"/>
      <w:r w:rsidRPr="00CB626B">
        <w:t>food;</w:t>
      </w:r>
      <w:proofErr w:type="gramEnd"/>
    </w:p>
    <w:p w14:paraId="2CAC5CCD" w14:textId="77777777" w:rsidR="00EA4412" w:rsidRPr="00CB626B" w:rsidRDefault="00EA4412" w:rsidP="00C84941">
      <w:pPr>
        <w:pStyle w:val="Bullets"/>
      </w:pPr>
      <w:r w:rsidRPr="00CB626B">
        <w:t xml:space="preserve">Enabling consumers to make informed choices about food by ensuring that they have sufficient information and by preventing them from being </w:t>
      </w:r>
      <w:proofErr w:type="gramStart"/>
      <w:r w:rsidRPr="00CB626B">
        <w:t>misled;</w:t>
      </w:r>
      <w:proofErr w:type="gramEnd"/>
    </w:p>
    <w:p w14:paraId="6B70FAF0" w14:textId="77777777" w:rsidR="00EA4412" w:rsidRPr="00CB626B" w:rsidRDefault="00EA4412" w:rsidP="00C84941">
      <w:pPr>
        <w:pStyle w:val="Bullets"/>
      </w:pPr>
      <w:r w:rsidRPr="00CB626B">
        <w:t xml:space="preserve">Supporting public health objectives by promoting healthy food choices, </w:t>
      </w:r>
      <w:proofErr w:type="gramStart"/>
      <w:r w:rsidRPr="00CB626B">
        <w:t>maintaining</w:t>
      </w:r>
      <w:proofErr w:type="gramEnd"/>
      <w:r w:rsidRPr="00CB626B">
        <w:t xml:space="preserve"> and enhancing the nutritional qualities of food and responding to specific public health issues; and</w:t>
      </w:r>
    </w:p>
    <w:p w14:paraId="089CACAF" w14:textId="3A8B3F3C" w:rsidR="00EA4412" w:rsidRPr="00CB626B" w:rsidRDefault="00103530" w:rsidP="00C84941">
      <w:pPr>
        <w:pStyle w:val="Bullets"/>
      </w:pPr>
      <w:r w:rsidRPr="00CB626B">
        <w:t>Enabling a</w:t>
      </w:r>
      <w:r w:rsidR="00EA4412" w:rsidRPr="00CB626B">
        <w:t xml:space="preserve"> strong sustainable food industry to assist in achieving diverse, affordable food supply and general economic benefit.</w:t>
      </w:r>
    </w:p>
    <w:p w14:paraId="03E6AC4D" w14:textId="3CFCB063" w:rsidR="00EA4412" w:rsidRPr="00BC587F" w:rsidRDefault="00AB7520" w:rsidP="00BC587F">
      <w:r w:rsidRPr="00BC587F">
        <w:t>Added s</w:t>
      </w:r>
      <w:r w:rsidR="00EA4412" w:rsidRPr="00BC587F">
        <w:t>ugar</w:t>
      </w:r>
      <w:r w:rsidR="009B4724" w:rsidRPr="00BC587F">
        <w:t>s</w:t>
      </w:r>
      <w:r w:rsidR="00EA4412" w:rsidRPr="00BC587F">
        <w:t xml:space="preserve"> labelling </w:t>
      </w:r>
      <w:r w:rsidR="004A6D84" w:rsidRPr="00BC587F">
        <w:t>is</w:t>
      </w:r>
      <w:r w:rsidR="00EA4412" w:rsidRPr="00BC587F">
        <w:t xml:space="preserve"> related to the second and third objectives of the Food Regulatory System.</w:t>
      </w:r>
    </w:p>
    <w:p w14:paraId="436CB28E" w14:textId="77777777" w:rsidR="00EA4412" w:rsidRPr="00BC587F" w:rsidRDefault="00EA4412" w:rsidP="00BC587F">
      <w:r w:rsidRPr="00BC587F">
        <w:t xml:space="preserve">The Overarching Strategic Statement recognises that food labelling policy is complex, and to support decision making </w:t>
      </w:r>
      <w:proofErr w:type="gramStart"/>
      <w:r w:rsidRPr="00BC587F">
        <w:t>in the area of</w:t>
      </w:r>
      <w:proofErr w:type="gramEnd"/>
      <w:r w:rsidRPr="00BC587F">
        <w:t xml:space="preserve"> food labelling, the aims of the food regulatory system have been translated into the following risk-based issues hierarchy:</w:t>
      </w:r>
    </w:p>
    <w:p w14:paraId="3C0ACE59" w14:textId="77777777" w:rsidR="00EA4412" w:rsidRPr="00CB626B" w:rsidRDefault="00EA4412" w:rsidP="00DD3D9C">
      <w:pPr>
        <w:numPr>
          <w:ilvl w:val="0"/>
          <w:numId w:val="1"/>
        </w:numPr>
        <w:spacing w:before="60"/>
        <w:ind w:left="426" w:hanging="426"/>
        <w:jc w:val="both"/>
      </w:pPr>
      <w:r w:rsidRPr="00CB626B">
        <w:t>Food safety</w:t>
      </w:r>
    </w:p>
    <w:p w14:paraId="059B013B" w14:textId="77777777" w:rsidR="00EA4412" w:rsidRPr="00CB626B" w:rsidRDefault="00EA4412" w:rsidP="00DD3D9C">
      <w:pPr>
        <w:numPr>
          <w:ilvl w:val="0"/>
          <w:numId w:val="1"/>
        </w:numPr>
        <w:spacing w:before="60"/>
        <w:ind w:left="426" w:hanging="426"/>
        <w:jc w:val="both"/>
      </w:pPr>
      <w:r w:rsidRPr="00CB626B">
        <w:t>Preventive health</w:t>
      </w:r>
    </w:p>
    <w:p w14:paraId="38C794A3" w14:textId="034BD8BA" w:rsidR="00EA4412" w:rsidRPr="00A16691" w:rsidRDefault="00EA4412" w:rsidP="00DD3D9C">
      <w:pPr>
        <w:numPr>
          <w:ilvl w:val="0"/>
          <w:numId w:val="1"/>
        </w:numPr>
        <w:spacing w:before="60"/>
        <w:ind w:left="426" w:hanging="426"/>
        <w:jc w:val="both"/>
      </w:pPr>
      <w:r w:rsidRPr="00CB626B">
        <w:t>Consumer values</w:t>
      </w:r>
    </w:p>
    <w:p w14:paraId="59688644" w14:textId="4C0D92CD" w:rsidR="004A6D84" w:rsidRPr="00BC587F" w:rsidRDefault="00EA4412" w:rsidP="00BC587F">
      <w:r w:rsidRPr="00BC587F">
        <w:t xml:space="preserve">Preventive health issues include the indirect, </w:t>
      </w:r>
      <w:proofErr w:type="gramStart"/>
      <w:r w:rsidRPr="00BC587F">
        <w:t>long term</w:t>
      </w:r>
      <w:proofErr w:type="gramEnd"/>
      <w:r w:rsidRPr="00BC587F">
        <w:t xml:space="preserve"> impacts on health and particularly include chronic disease and overweight and obesity. </w:t>
      </w:r>
      <w:r w:rsidR="00C1471B" w:rsidRPr="00BC587F">
        <w:t xml:space="preserve">The Dietary </w:t>
      </w:r>
      <w:r w:rsidR="00376563" w:rsidRPr="00BC587F">
        <w:t>Guideline’s</w:t>
      </w:r>
      <w:r w:rsidR="00C1471B" w:rsidRPr="00BC587F">
        <w:t xml:space="preserve"> recommended limiting consumption of added sugars for a healthy diet and the prevention of overweight and obesity and dental caries. </w:t>
      </w:r>
      <w:r w:rsidRPr="00BC587F">
        <w:t xml:space="preserve">Providing </w:t>
      </w:r>
      <w:r w:rsidR="003C3C72" w:rsidRPr="00BC587F">
        <w:t xml:space="preserve">more contextual </w:t>
      </w:r>
      <w:r w:rsidRPr="00BC587F">
        <w:t xml:space="preserve">information </w:t>
      </w:r>
      <w:r w:rsidR="0000707B" w:rsidRPr="00BC587F">
        <w:t xml:space="preserve">about </w:t>
      </w:r>
      <w:r w:rsidR="003C3C72" w:rsidRPr="00BC587F">
        <w:t>sugar</w:t>
      </w:r>
      <w:r w:rsidR="009B4724" w:rsidRPr="00BC587F">
        <w:t>s</w:t>
      </w:r>
      <w:r w:rsidR="003C3C72" w:rsidRPr="00BC587F">
        <w:t xml:space="preserve">, specifically </w:t>
      </w:r>
      <w:r w:rsidR="00AB7520" w:rsidRPr="00BC587F">
        <w:t xml:space="preserve">added </w:t>
      </w:r>
      <w:r w:rsidR="0000707B" w:rsidRPr="00BC587F">
        <w:t>sugar</w:t>
      </w:r>
      <w:r w:rsidR="009B4724" w:rsidRPr="00BC587F">
        <w:t>s</w:t>
      </w:r>
      <w:r w:rsidR="0000707B" w:rsidRPr="00BC587F">
        <w:t xml:space="preserve"> </w:t>
      </w:r>
      <w:r w:rsidRPr="00BC587F">
        <w:t>on the label</w:t>
      </w:r>
      <w:r w:rsidR="0000707B" w:rsidRPr="00BC587F">
        <w:t xml:space="preserve"> may</w:t>
      </w:r>
      <w:r w:rsidRPr="00BC587F">
        <w:t xml:space="preserve"> assist consumers to </w:t>
      </w:r>
      <w:r w:rsidR="002222CC" w:rsidRPr="00BC587F">
        <w:t xml:space="preserve">identify foods </w:t>
      </w:r>
      <w:r w:rsidR="00AB7520" w:rsidRPr="00BC587F">
        <w:t>which contain added sugar</w:t>
      </w:r>
      <w:r w:rsidR="009B4724" w:rsidRPr="00BC587F">
        <w:t>s</w:t>
      </w:r>
      <w:r w:rsidR="00C1471B" w:rsidRPr="00BC587F">
        <w:t xml:space="preserve"> and therefore contribute to preventive health outcomes.</w:t>
      </w:r>
    </w:p>
    <w:p w14:paraId="367CD859" w14:textId="1A145E14" w:rsidR="00EA4412" w:rsidRPr="00BC587F" w:rsidRDefault="004A6D84" w:rsidP="00BC587F">
      <w:proofErr w:type="gramStart"/>
      <w:r w:rsidRPr="00BC587F">
        <w:t>In light of</w:t>
      </w:r>
      <w:proofErr w:type="gramEnd"/>
      <w:r w:rsidRPr="00BC587F">
        <w:t xml:space="preserve"> the stateme</w:t>
      </w:r>
      <w:r w:rsidR="00103530" w:rsidRPr="00BC587F">
        <w:t>nt of the problem described at P</w:t>
      </w:r>
      <w:r w:rsidRPr="00BC587F">
        <w:t xml:space="preserve">art </w:t>
      </w:r>
      <w:r w:rsidR="00103530" w:rsidRPr="00BC587F">
        <w:t>1</w:t>
      </w:r>
      <w:r w:rsidRPr="00BC587F">
        <w:t xml:space="preserve">, </w:t>
      </w:r>
      <w:r w:rsidR="0000707B" w:rsidRPr="00BC587F">
        <w:t xml:space="preserve">the </w:t>
      </w:r>
      <w:r w:rsidRPr="00BC587F">
        <w:t>objectives of the food regulatory system</w:t>
      </w:r>
      <w:r w:rsidR="0000707B" w:rsidRPr="00BC587F">
        <w:t xml:space="preserve"> and the Forum’s desire to take a whole-of-diet, holistic approach to food labelling</w:t>
      </w:r>
      <w:r w:rsidRPr="00BC587F">
        <w:t xml:space="preserve">, the </w:t>
      </w:r>
      <w:r w:rsidR="00C64CDB" w:rsidRPr="00BC587F">
        <w:t>desired outcome of this work is:</w:t>
      </w:r>
    </w:p>
    <w:p w14:paraId="73178770" w14:textId="61237B90" w:rsidR="0087622A" w:rsidRPr="00A16691" w:rsidRDefault="00765CF9" w:rsidP="000403B2">
      <w:pPr>
        <w:pStyle w:val="Boxtext"/>
      </w:pPr>
      <w:r w:rsidRPr="00CB626B">
        <w:t>Food labels provide adequate contextual information about sugars to enable consumers to make informed choices in support of the dietary guidelines.</w:t>
      </w:r>
    </w:p>
    <w:p w14:paraId="68B3C0DB" w14:textId="3A800146" w:rsidR="0087622A" w:rsidRPr="00BC587F" w:rsidRDefault="00A16691" w:rsidP="00BC587F">
      <w:r w:rsidRPr="00BC587F">
        <w:t xml:space="preserve">In this situation, ‘contextual information’ </w:t>
      </w:r>
      <w:r w:rsidR="0087622A" w:rsidRPr="00BC587F">
        <w:t>re</w:t>
      </w:r>
      <w:r w:rsidR="001213D5" w:rsidRPr="00BC587F">
        <w:t>fers</w:t>
      </w:r>
      <w:r w:rsidR="0087622A" w:rsidRPr="00BC587F">
        <w:t xml:space="preserve"> to information that can support consumers to </w:t>
      </w:r>
      <w:r w:rsidR="00447665" w:rsidRPr="00BC587F">
        <w:t xml:space="preserve">use and </w:t>
      </w:r>
      <w:r w:rsidR="0087622A" w:rsidRPr="00BC587F">
        <w:t>interpret a food label.</w:t>
      </w:r>
    </w:p>
    <w:p w14:paraId="0D38170F" w14:textId="3C4D7B5D" w:rsidR="00673C6C" w:rsidRPr="00BC587F" w:rsidRDefault="00320C55" w:rsidP="00BC587F">
      <w:r w:rsidRPr="00BC587F">
        <w:t>It is recognised that a</w:t>
      </w:r>
      <w:r w:rsidR="00673C6C" w:rsidRPr="00BC587F">
        <w:t xml:space="preserve"> range of factors broader than food labelling influence consumer behaviour and dietary intakes</w:t>
      </w:r>
      <w:r w:rsidR="00C64CDB" w:rsidRPr="00BC587F">
        <w:t>. T</w:t>
      </w:r>
      <w:r w:rsidR="00673C6C" w:rsidRPr="00BC587F">
        <w:t>he desired outcome of this work relates to provision of information to support informed choices, rather than specifically reducing intakes of added sugars, overweight and obesity, or dental caries. Consumers’ health interest and nutrition knowledge influence their motivation to use a food label to make food choices, and food labelling alone does not necessarily result in consumer behaviour change</w:t>
      </w:r>
      <w:r w:rsidR="00673C6C" w:rsidRPr="002B3D81">
        <w:rPr>
          <w:vertAlign w:val="superscript"/>
        </w:rPr>
        <w:footnoteReference w:id="74"/>
      </w:r>
      <w:r w:rsidR="00673C6C" w:rsidRPr="00BC587F">
        <w:t>. However, if consumers do make informed food choices that are consistent with the dietary guidelines, reduced consumption of added sugars and associated better h</w:t>
      </w:r>
      <w:r w:rsidR="000403B2" w:rsidRPr="00BC587F">
        <w:t>ealth outcomes can be expected.</w:t>
      </w:r>
    </w:p>
    <w:p w14:paraId="7597E415" w14:textId="72427FA1" w:rsidR="004D3C05" w:rsidRPr="00B161D1" w:rsidRDefault="004D3C05" w:rsidP="00A8387E">
      <w:pPr>
        <w:pStyle w:val="Heading1"/>
      </w:pPr>
      <w:bookmarkStart w:id="164" w:name="_Toc6323608"/>
      <w:r w:rsidRPr="00E11379">
        <w:t>Statement of options</w:t>
      </w:r>
      <w:bookmarkEnd w:id="164"/>
    </w:p>
    <w:p w14:paraId="5F15FF13" w14:textId="18689F44" w:rsidR="007C2840" w:rsidRPr="00BC587F" w:rsidRDefault="00A16691" w:rsidP="00BC587F">
      <w:r w:rsidRPr="00BC587F">
        <w:t>S</w:t>
      </w:r>
      <w:r w:rsidR="00AD3DCB" w:rsidRPr="00BC587F">
        <w:t>ix</w:t>
      </w:r>
      <w:r w:rsidR="00D04E02" w:rsidRPr="00BC587F">
        <w:t xml:space="preserve"> options (</w:t>
      </w:r>
      <w:r w:rsidR="00AD3DCB" w:rsidRPr="00BC587F">
        <w:t>in addition to</w:t>
      </w:r>
      <w:r w:rsidR="00D04E02" w:rsidRPr="00BC587F">
        <w:t xml:space="preserve"> the status quo)</w:t>
      </w:r>
      <w:r w:rsidRPr="00BC587F">
        <w:t xml:space="preserve"> were </w:t>
      </w:r>
      <w:r w:rsidR="00331D93" w:rsidRPr="00BC587F">
        <w:t xml:space="preserve">proposed and </w:t>
      </w:r>
      <w:r w:rsidR="00C64CDB" w:rsidRPr="00BC587F">
        <w:t xml:space="preserve">assessed to consider the extent to which they could </w:t>
      </w:r>
      <w:r w:rsidR="00D04E02" w:rsidRPr="00BC587F">
        <w:t>achieve the desired outcome. These options are not necessarily mutually exclusive</w:t>
      </w:r>
      <w:r w:rsidR="007377AC" w:rsidRPr="00BC587F">
        <w:t>.</w:t>
      </w:r>
    </w:p>
    <w:p w14:paraId="3E8CADE3" w14:textId="355A8F62" w:rsidR="00FA1519" w:rsidRPr="00BC587F" w:rsidRDefault="005E2084" w:rsidP="00BC587F">
      <w:r w:rsidRPr="00BC587F">
        <w:t xml:space="preserve">The status quo and each of the six proposed options are described below. </w:t>
      </w:r>
      <w:r w:rsidR="00A81F92" w:rsidRPr="00BC587F">
        <w:t>Strengths and weaknesses are described in comparison to the status quo</w:t>
      </w:r>
      <w:r w:rsidR="00083B13" w:rsidRPr="00BC587F">
        <w:t>. Feedback from the stakeholder consultation has been incorporated into the description of the options and the strengths and weaknesses.</w:t>
      </w:r>
    </w:p>
    <w:p w14:paraId="06715714" w14:textId="45266139" w:rsidR="005E2084" w:rsidRPr="00D120B1" w:rsidRDefault="005E2084" w:rsidP="00314A5D">
      <w:pPr>
        <w:pStyle w:val="Heading2"/>
      </w:pPr>
      <w:bookmarkStart w:id="165" w:name="_Toc6323609"/>
      <w:r w:rsidRPr="00D120B1">
        <w:t>Option 1: Status quo</w:t>
      </w:r>
      <w:bookmarkEnd w:id="165"/>
    </w:p>
    <w:p w14:paraId="09D5C635" w14:textId="7D52CD37" w:rsidR="00BC587F" w:rsidRPr="00B44104" w:rsidRDefault="005E2084" w:rsidP="00314A5D">
      <w:pPr>
        <w:pStyle w:val="Heading3"/>
      </w:pPr>
      <w:r w:rsidRPr="00B44104">
        <w:t>Description</w:t>
      </w:r>
    </w:p>
    <w:p w14:paraId="7D480D5B" w14:textId="07C0C86E" w:rsidR="00F159C0" w:rsidRPr="00CB626B" w:rsidRDefault="009E0DE8" w:rsidP="00BC587F">
      <w:r w:rsidRPr="00CB626B">
        <w:t>The status quo relating to labelling of sugar</w:t>
      </w:r>
      <w:r w:rsidR="00F159C0" w:rsidRPr="00CB626B">
        <w:t>s</w:t>
      </w:r>
      <w:r w:rsidR="000403B2">
        <w:t xml:space="preserve"> is described in detail in Part </w:t>
      </w:r>
      <w:r w:rsidR="009B4724" w:rsidRPr="00CB626B">
        <w:t xml:space="preserve">1.6 </w:t>
      </w:r>
      <w:r w:rsidR="00F706EA">
        <w:t xml:space="preserve">of this document. </w:t>
      </w:r>
      <w:r w:rsidR="00F159C0" w:rsidRPr="00CB626B">
        <w:t xml:space="preserve">Most food labelling focusses on total sugars, </w:t>
      </w:r>
      <w:r w:rsidR="00C64CDB">
        <w:t>rather than added sugars</w:t>
      </w:r>
      <w:r w:rsidR="00125C95">
        <w:t>.</w:t>
      </w:r>
    </w:p>
    <w:p w14:paraId="6DEE557D" w14:textId="40C4E695" w:rsidR="00F159C0" w:rsidRPr="00CB626B" w:rsidRDefault="009E0DE8" w:rsidP="00BC587F">
      <w:r w:rsidRPr="00CB626B">
        <w:t xml:space="preserve">Mandatory labelling </w:t>
      </w:r>
      <w:proofErr w:type="gramStart"/>
      <w:r w:rsidR="00F159C0" w:rsidRPr="00CB626B">
        <w:t>requires:</w:t>
      </w:r>
      <w:proofErr w:type="gramEnd"/>
      <w:r w:rsidRPr="00CB626B">
        <w:t xml:space="preserve"> ingredients (including sugar</w:t>
      </w:r>
      <w:r w:rsidR="009B4724" w:rsidRPr="00CB626B">
        <w:t>s</w:t>
      </w:r>
      <w:r w:rsidRPr="00CB626B">
        <w:t>-based ingredients) to be listed in descending order by ingoing weight, and</w:t>
      </w:r>
      <w:r w:rsidR="00F159C0" w:rsidRPr="00CB626B">
        <w:t>, the</w:t>
      </w:r>
      <w:r w:rsidRPr="00CB626B">
        <w:t xml:space="preserve"> quantification of average total sugars </w:t>
      </w:r>
      <w:r w:rsidR="00C64CDB">
        <w:t>(but not added sugars) per serving</w:t>
      </w:r>
      <w:r w:rsidRPr="00CB626B">
        <w:t xml:space="preserve"> an</w:t>
      </w:r>
      <w:r w:rsidR="00F159C0" w:rsidRPr="00CB626B">
        <w:t>d</w:t>
      </w:r>
      <w:r w:rsidRPr="00CB626B">
        <w:t xml:space="preserve"> per 100</w:t>
      </w:r>
      <w:r w:rsidR="00C64CDB">
        <w:t xml:space="preserve"> </w:t>
      </w:r>
      <w:r w:rsidRPr="00CB626B">
        <w:t>g in the NIP</w:t>
      </w:r>
      <w:r w:rsidR="00F159C0" w:rsidRPr="00CB626B">
        <w:t>.</w:t>
      </w:r>
    </w:p>
    <w:p w14:paraId="0E2FD379" w14:textId="0DF353B0" w:rsidR="005E2084" w:rsidRPr="00125C95" w:rsidRDefault="00F159C0" w:rsidP="00BC587F">
      <w:r w:rsidRPr="00CB626B">
        <w:t xml:space="preserve">Voluntary labelling </w:t>
      </w:r>
      <w:r w:rsidR="00481CC3" w:rsidRPr="00CB626B">
        <w:t>aspects</w:t>
      </w:r>
      <w:r w:rsidRPr="00CB626B">
        <w:t xml:space="preserve"> </w:t>
      </w:r>
      <w:proofErr w:type="gramStart"/>
      <w:r w:rsidRPr="00CB626B">
        <w:t>include:</w:t>
      </w:r>
      <w:proofErr w:type="gramEnd"/>
      <w:r w:rsidRPr="00CB626B">
        <w:t xml:space="preserve"> percent daily intake (for total sugars), nutrition content claims (which can include ‘no added sugars’ claims), </w:t>
      </w:r>
      <w:r w:rsidR="00850DFD" w:rsidRPr="00CB626B">
        <w:t>HSR</w:t>
      </w:r>
      <w:r w:rsidRPr="00CB626B">
        <w:t xml:space="preserve"> (which includes total sugars in the calculator, but not added sugars) and manufacturers may also voluntarily quantify the added sugar</w:t>
      </w:r>
      <w:r w:rsidR="00834B4E" w:rsidRPr="00CB626B">
        <w:t>s</w:t>
      </w:r>
      <w:r w:rsidRPr="00CB626B">
        <w:t xml:space="preserve"> content of their foods on the label</w:t>
      </w:r>
      <w:r w:rsidR="00083B13">
        <w:t xml:space="preserve"> using their discretion in the calculation method for quantifying a food’s added sugars content</w:t>
      </w:r>
      <w:r w:rsidR="00125C95" w:rsidRPr="00125C95">
        <w:t>.</w:t>
      </w:r>
    </w:p>
    <w:p w14:paraId="35F7B5A8" w14:textId="512B47E9" w:rsidR="009555CF" w:rsidRPr="00D120B1" w:rsidRDefault="009555CF" w:rsidP="00314A5D">
      <w:pPr>
        <w:pStyle w:val="Heading2"/>
      </w:pPr>
      <w:bookmarkStart w:id="166" w:name="_Toc6323610"/>
      <w:r w:rsidRPr="00D120B1">
        <w:t xml:space="preserve">Option </w:t>
      </w:r>
      <w:r w:rsidR="005E2084" w:rsidRPr="00D120B1">
        <w:t>2</w:t>
      </w:r>
      <w:r w:rsidRPr="00D120B1">
        <w:t xml:space="preserve">: Education on how to read and interpret labelling information about </w:t>
      </w:r>
      <w:proofErr w:type="gramStart"/>
      <w:r w:rsidRPr="00D120B1">
        <w:t>sugars</w:t>
      </w:r>
      <w:bookmarkEnd w:id="166"/>
      <w:proofErr w:type="gramEnd"/>
    </w:p>
    <w:p w14:paraId="073AC423" w14:textId="77777777" w:rsidR="007574D4" w:rsidRPr="00B44104" w:rsidRDefault="009555CF" w:rsidP="00314A5D">
      <w:pPr>
        <w:pStyle w:val="Heading3"/>
      </w:pPr>
      <w:r w:rsidRPr="00B44104">
        <w:t>Description</w:t>
      </w:r>
    </w:p>
    <w:p w14:paraId="66CCF585" w14:textId="0892EA7F" w:rsidR="009555CF" w:rsidRPr="00CB626B" w:rsidRDefault="009555CF" w:rsidP="00BC587F">
      <w:r w:rsidRPr="00CB626B">
        <w:t>This</w:t>
      </w:r>
      <w:r w:rsidR="007C369F" w:rsidRPr="00CB626B">
        <w:t xml:space="preserve"> option</w:t>
      </w:r>
      <w:r w:rsidRPr="00CB626B">
        <w:t xml:space="preserve"> proposes to provide consumers with education on how to read and interpret current labelling information about sugars. This </w:t>
      </w:r>
      <w:r w:rsidR="00333F52" w:rsidRPr="00CB626B">
        <w:t xml:space="preserve">option </w:t>
      </w:r>
      <w:r w:rsidRPr="00CB626B">
        <w:t>would not result in any changes to current food labels.</w:t>
      </w:r>
    </w:p>
    <w:p w14:paraId="2941B522" w14:textId="7A99EF21" w:rsidR="009555CF" w:rsidRPr="00CB626B" w:rsidRDefault="009555CF" w:rsidP="00BC587F">
      <w:r w:rsidRPr="00CB626B">
        <w:t xml:space="preserve">This </w:t>
      </w:r>
      <w:r w:rsidR="007C369F" w:rsidRPr="00CB626B">
        <w:t>option</w:t>
      </w:r>
      <w:r w:rsidRPr="00CB626B">
        <w:t xml:space="preserve"> aims to address the policy issue by reducing consumer confusion in relation to </w:t>
      </w:r>
      <w:r w:rsidR="00834B4E" w:rsidRPr="00CB626B">
        <w:t xml:space="preserve">information about </w:t>
      </w:r>
      <w:r w:rsidRPr="00CB626B">
        <w:t>sugar</w:t>
      </w:r>
      <w:r w:rsidR="00834B4E" w:rsidRPr="00CB626B">
        <w:t>s</w:t>
      </w:r>
      <w:r w:rsidRPr="00CB626B">
        <w:t xml:space="preserve"> on food labels. This </w:t>
      </w:r>
      <w:r w:rsidR="00F114F0" w:rsidRPr="00CB626B">
        <w:t>may</w:t>
      </w:r>
      <w:r w:rsidRPr="00CB626B">
        <w:t xml:space="preserve"> improve consumers’ ability to use and interpret food labels </w:t>
      </w:r>
      <w:proofErr w:type="gramStart"/>
      <w:r w:rsidRPr="00CB626B">
        <w:t>in order to</w:t>
      </w:r>
      <w:proofErr w:type="gramEnd"/>
      <w:r w:rsidRPr="00CB626B">
        <w:t xml:space="preserve"> make informed food choices in support of the dietary guidelines. Education may also provide contextual information to help consumers understand sugars, particularly added sugar, in relation to the broader dietary guidelines.</w:t>
      </w:r>
      <w:r w:rsidR="00180D9D">
        <w:t xml:space="preserve"> Education may be tailored to ensure appropriate messaging for all community groups including appropriate content for differing cultural, language and low-literacy groups.</w:t>
      </w:r>
    </w:p>
    <w:p w14:paraId="08FD1BAC" w14:textId="21FB1F8B" w:rsidR="009555CF" w:rsidRPr="00CB626B" w:rsidRDefault="009555CF" w:rsidP="00BC587F">
      <w:r w:rsidRPr="00CB626B">
        <w:t xml:space="preserve">This </w:t>
      </w:r>
      <w:r w:rsidR="007C369F" w:rsidRPr="00CB626B">
        <w:t>option</w:t>
      </w:r>
      <w:r w:rsidRPr="00CB626B">
        <w:t xml:space="preserve"> could be implemented through a multi-media campaign on </w:t>
      </w:r>
      <w:r w:rsidR="00834B4E" w:rsidRPr="00CB626B">
        <w:t xml:space="preserve">labelling of </w:t>
      </w:r>
      <w:r w:rsidRPr="00CB626B">
        <w:t>sugar</w:t>
      </w:r>
      <w:r w:rsidR="00834B4E" w:rsidRPr="00CB626B">
        <w:t>s</w:t>
      </w:r>
      <w:r w:rsidRPr="00CB626B">
        <w:t xml:space="preserve"> that explains how to use labels to identify foods lower in added sugar, with links to existing education on sugars and labels. Consideration would need to be given to the modes and duration of education that would be required to elicit a sufficient reduction in consumer confusion to make this option worthwhile.</w:t>
      </w:r>
    </w:p>
    <w:p w14:paraId="56C46601" w14:textId="77777777" w:rsidR="00E91513" w:rsidRPr="00B44104" w:rsidRDefault="009555CF" w:rsidP="00314A5D">
      <w:pPr>
        <w:pStyle w:val="Heading3"/>
      </w:pPr>
      <w:r w:rsidRPr="00B44104">
        <w:t>Rationale</w:t>
      </w:r>
    </w:p>
    <w:p w14:paraId="3E075FD5" w14:textId="172FA5B5" w:rsidR="009555CF" w:rsidRPr="00CB626B" w:rsidRDefault="009555CF" w:rsidP="00BC587F">
      <w:r w:rsidRPr="00CB626B">
        <w:t xml:space="preserve">Consumer research provides mixed evidence regarding whether Australian and </w:t>
      </w:r>
      <w:r w:rsidR="0008645B" w:rsidRPr="00CB626B">
        <w:t>New</w:t>
      </w:r>
      <w:r w:rsidR="0008645B">
        <w:t> </w:t>
      </w:r>
      <w:r w:rsidRPr="00CB626B">
        <w:t>Zealand consumers can use current labelling to make informed choices with respect to sugar</w:t>
      </w:r>
      <w:r w:rsidR="00834B4E" w:rsidRPr="00CB626B">
        <w:t>s</w:t>
      </w:r>
      <w:r w:rsidRPr="00CB626B">
        <w:t xml:space="preserve">. While consumers </w:t>
      </w:r>
      <w:proofErr w:type="gramStart"/>
      <w:r w:rsidRPr="00CB626B">
        <w:t>are able to</w:t>
      </w:r>
      <w:proofErr w:type="gramEnd"/>
      <w:r w:rsidRPr="00CB626B">
        <w:t xml:space="preserve"> compare products to identify which is lower in sugar</w:t>
      </w:r>
      <w:r w:rsidR="00834B4E" w:rsidRPr="00CB626B">
        <w:t>s</w:t>
      </w:r>
      <w:r w:rsidRPr="00CB626B">
        <w:t>, international evidence indicates that consumers are not able to use abstract information such as grams of sugar</w:t>
      </w:r>
      <w:r w:rsidR="00834B4E" w:rsidRPr="00CB626B">
        <w:t>s</w:t>
      </w:r>
      <w:r w:rsidRPr="00CB626B">
        <w:t xml:space="preserve"> listed on a label to evaluate whether a food is high or low in sugar</w:t>
      </w:r>
      <w:r w:rsidR="00834B4E" w:rsidRPr="00CB626B">
        <w:t>s</w:t>
      </w:r>
      <w:r w:rsidRPr="00CB626B">
        <w:t xml:space="preserve">. Consumer research also suggests that consumers are confused about what are ‘added sugars’ and can mistakenly consider that more ‘natural’ sugars such as honey are not </w:t>
      </w:r>
      <w:r w:rsidR="00834B4E" w:rsidRPr="00CB626B">
        <w:t>‘</w:t>
      </w:r>
      <w:r w:rsidRPr="00CB626B">
        <w:t>added sugars</w:t>
      </w:r>
      <w:r w:rsidR="00834B4E" w:rsidRPr="00CB626B">
        <w:t>’</w:t>
      </w:r>
      <w:r w:rsidRPr="00CB626B">
        <w:t xml:space="preserve"> (and therefore may not consider that recommendations to limit consumption of foods containing added sugars apply). This</w:t>
      </w:r>
      <w:r w:rsidR="00165145">
        <w:t xml:space="preserve"> </w:t>
      </w:r>
      <w:r w:rsidR="00333F52" w:rsidRPr="00CB626B">
        <w:t xml:space="preserve">option </w:t>
      </w:r>
      <w:r w:rsidRPr="00CB626B">
        <w:t>aims to address the above consumer misu</w:t>
      </w:r>
      <w:r w:rsidR="00125C95">
        <w:t>nderstanding through education.</w:t>
      </w:r>
    </w:p>
    <w:p w14:paraId="27384A5C" w14:textId="5B1523FF" w:rsidR="009555CF" w:rsidRPr="00CB626B" w:rsidRDefault="009555CF" w:rsidP="00BC587F">
      <w:r w:rsidRPr="00CB626B">
        <w:t>Consumer research also indicates that consumers with greater nutrition knowledge and health interests are more motivated to use nutrition labels in relation to sugar</w:t>
      </w:r>
      <w:r w:rsidR="00834B4E" w:rsidRPr="00CB626B">
        <w:t>s</w:t>
      </w:r>
      <w:r w:rsidR="000338E4">
        <w:t>.</w:t>
      </w:r>
      <w:r w:rsidRPr="00CB626B">
        <w:t xml:space="preserve"> This </w:t>
      </w:r>
      <w:r w:rsidR="007C369F" w:rsidRPr="00CB626B">
        <w:t>option</w:t>
      </w:r>
      <w:r w:rsidRPr="00CB626B">
        <w:t xml:space="preserve"> also has the potential to improve consumers’ nutrition knowledge and health interest </w:t>
      </w:r>
      <w:proofErr w:type="gramStart"/>
      <w:r w:rsidRPr="00CB626B">
        <w:t>in order to</w:t>
      </w:r>
      <w:proofErr w:type="gramEnd"/>
      <w:r w:rsidRPr="00CB626B">
        <w:t xml:space="preserve"> motivate them to use current </w:t>
      </w:r>
      <w:r w:rsidR="00834B4E" w:rsidRPr="00CB626B">
        <w:t xml:space="preserve">labelling information about </w:t>
      </w:r>
      <w:r w:rsidRPr="00CB626B">
        <w:t>sugar</w:t>
      </w:r>
      <w:r w:rsidR="00834B4E" w:rsidRPr="00CB626B">
        <w:t>s</w:t>
      </w:r>
      <w:r w:rsidR="00125C95">
        <w:t xml:space="preserve"> to make informed food choices.</w:t>
      </w:r>
    </w:p>
    <w:p w14:paraId="374F8ECC" w14:textId="15D340BE" w:rsidR="00011A01" w:rsidRPr="00B44104" w:rsidRDefault="009555CF" w:rsidP="00314A5D">
      <w:pPr>
        <w:pStyle w:val="Heading3"/>
      </w:pPr>
      <w:r w:rsidRPr="00B44104">
        <w:t>Current examples</w:t>
      </w:r>
    </w:p>
    <w:p w14:paraId="2E51AC81" w14:textId="1C34F960" w:rsidR="009555CF" w:rsidRPr="00CB626B" w:rsidRDefault="009555CF" w:rsidP="00BC587F">
      <w:r w:rsidRPr="00CB626B">
        <w:t xml:space="preserve">In Australia, consumer education about food labels is currently available through the </w:t>
      </w:r>
      <w:r w:rsidR="009A0EAC" w:rsidRPr="00CB626B">
        <w:t xml:space="preserve">Australian Government </w:t>
      </w:r>
      <w:r w:rsidRPr="000403B2">
        <w:rPr>
          <w:rStyle w:val="Emphasis"/>
        </w:rPr>
        <w:t>Eat for Health</w:t>
      </w:r>
      <w:r w:rsidRPr="00CB626B">
        <w:t xml:space="preserve"> website that hosts the Australian Dietary Guidelines</w:t>
      </w:r>
      <w:r w:rsidRPr="00CB626B">
        <w:rPr>
          <w:rStyle w:val="FootnoteReference"/>
        </w:rPr>
        <w:footnoteReference w:id="75"/>
      </w:r>
      <w:r w:rsidRPr="00CB626B">
        <w:t xml:space="preserve">. This website provides information on how to read food labels, including both mandatory and voluntary elements. In relation to the </w:t>
      </w:r>
      <w:r w:rsidR="00C64CDB">
        <w:t>NIP</w:t>
      </w:r>
      <w:r w:rsidRPr="00CB626B">
        <w:t>, specific information is provided on added sugars: ‘If sugar content per 100g is more than 15g, check that sugar (or alternative names for added sugar) is not listed high on the ingredient list.’</w:t>
      </w:r>
    </w:p>
    <w:p w14:paraId="0E53AAB5" w14:textId="425B48BF" w:rsidR="009555CF" w:rsidRPr="00CB626B" w:rsidRDefault="004A2244" w:rsidP="00BC587F">
      <w:r w:rsidRPr="00CB626B">
        <w:t>FSANZ</w:t>
      </w:r>
      <w:r w:rsidR="009555CF" w:rsidRPr="00CB626B">
        <w:t xml:space="preserve"> provides information for consumers on its website, covering the ingredients list, </w:t>
      </w:r>
      <w:r w:rsidR="00C64CDB">
        <w:t>the NIP</w:t>
      </w:r>
      <w:r w:rsidR="009555CF" w:rsidRPr="00CB626B">
        <w:t xml:space="preserve"> and health and nutrition content claims</w:t>
      </w:r>
      <w:r w:rsidR="009555CF" w:rsidRPr="00CB626B">
        <w:rPr>
          <w:rStyle w:val="FootnoteReference"/>
        </w:rPr>
        <w:footnoteReference w:id="76"/>
      </w:r>
      <w:r w:rsidR="009555CF" w:rsidRPr="00CB626B">
        <w:t>. Some specific information on sugar</w:t>
      </w:r>
      <w:r w:rsidR="00834B4E" w:rsidRPr="00CB626B">
        <w:t>s</w:t>
      </w:r>
      <w:r w:rsidR="009555CF" w:rsidRPr="00CB626B">
        <w:t xml:space="preserve"> is provided to guide consumers, for example, ‘if sugar is listed near the start of the [ingredients] list the product contains a greater proportion of this ingredient.’</w:t>
      </w:r>
    </w:p>
    <w:p w14:paraId="3AD87834" w14:textId="14D82C03" w:rsidR="009555CF" w:rsidRPr="00CB626B" w:rsidRDefault="009555CF" w:rsidP="00BC587F">
      <w:r w:rsidRPr="00CB626B">
        <w:t>Various states and territories provide further information for consumers, such as the Victorian Better Health Channel webpage on food labels, which lists many types of added sugar</w:t>
      </w:r>
      <w:r w:rsidR="00834B4E" w:rsidRPr="00CB626B">
        <w:t>s</w:t>
      </w:r>
      <w:r w:rsidRPr="00CB626B">
        <w:t xml:space="preserve"> to look for</w:t>
      </w:r>
      <w:r w:rsidRPr="00CB626B">
        <w:rPr>
          <w:rStyle w:val="FootnoteReference"/>
        </w:rPr>
        <w:footnoteReference w:id="77"/>
      </w:r>
      <w:r w:rsidRPr="00CB626B">
        <w:t>, and the Good Habits for Life – Sugar Swap Challenge</w:t>
      </w:r>
      <w:r w:rsidR="004A2244" w:rsidRPr="00CB626B">
        <w:rPr>
          <w:rStyle w:val="FootnoteReference"/>
        </w:rPr>
        <w:footnoteReference w:id="78"/>
      </w:r>
      <w:r w:rsidRPr="00CB626B">
        <w:t xml:space="preserve"> in the Australian Capital Territory, which provides online resources for families to recognise added sugar</w:t>
      </w:r>
      <w:r w:rsidR="00834B4E" w:rsidRPr="00CB626B">
        <w:t>s</w:t>
      </w:r>
      <w:r w:rsidR="00125C95">
        <w:t xml:space="preserve"> in their food and drinks.</w:t>
      </w:r>
    </w:p>
    <w:p w14:paraId="0CD117A8" w14:textId="38CB2CE0" w:rsidR="004D3C05" w:rsidRDefault="009555CF" w:rsidP="00BC587F">
      <w:r w:rsidRPr="00CB626B">
        <w:t>Other consumer information, with varying degrees of detail, is provided by nutrition</w:t>
      </w:r>
      <w:r w:rsidR="006534DE">
        <w:noBreakHyphen/>
      </w:r>
      <w:r w:rsidRPr="00CB626B">
        <w:t>focused organisations such as the Dietitians Association of Australia</w:t>
      </w:r>
      <w:r w:rsidR="009C0445" w:rsidRPr="00CB626B">
        <w:rPr>
          <w:rStyle w:val="FootnoteReference"/>
        </w:rPr>
        <w:footnoteReference w:id="79"/>
      </w:r>
      <w:r w:rsidRPr="00CB626B">
        <w:t xml:space="preserve"> and </w:t>
      </w:r>
      <w:r w:rsidR="009C0445" w:rsidRPr="00CB626B">
        <w:t>the National Heart Foundation of Australia</w:t>
      </w:r>
      <w:r w:rsidR="009C0445" w:rsidRPr="00CB626B">
        <w:rPr>
          <w:rStyle w:val="FootnoteReference"/>
        </w:rPr>
        <w:footnoteReference w:id="80"/>
      </w:r>
      <w:r w:rsidRPr="00CB626B">
        <w:t>. In New Zealand, consumer information</w:t>
      </w:r>
      <w:r w:rsidR="002C57F6" w:rsidRPr="00CB626B">
        <w:t xml:space="preserve"> that provides specific advice regarding sugars on labels</w:t>
      </w:r>
      <w:r w:rsidRPr="00CB626B">
        <w:t xml:space="preserve"> is available through the Health Navigator website</w:t>
      </w:r>
      <w:r w:rsidRPr="00CB626B">
        <w:rPr>
          <w:rStyle w:val="FootnoteReference"/>
        </w:rPr>
        <w:footnoteReference w:id="81"/>
      </w:r>
      <w:r w:rsidR="002C57F6" w:rsidRPr="00CB626B">
        <w:t xml:space="preserve"> the Ministry of Health’s Healthy Eating, Active Living resource</w:t>
      </w:r>
      <w:r w:rsidR="002C57F6" w:rsidRPr="00CB626B">
        <w:rPr>
          <w:rStyle w:val="FootnoteReference"/>
        </w:rPr>
        <w:footnoteReference w:id="82"/>
      </w:r>
      <w:r w:rsidR="002C57F6" w:rsidRPr="00CB626B">
        <w:t xml:space="preserve">, </w:t>
      </w:r>
      <w:r w:rsidR="00C64CDB">
        <w:t xml:space="preserve">and </w:t>
      </w:r>
      <w:r w:rsidR="002C57F6" w:rsidRPr="00CB626B">
        <w:t xml:space="preserve">the Health Promotion Agency’s resources entitled </w:t>
      </w:r>
      <w:r w:rsidR="002C57F6" w:rsidRPr="000403B2">
        <w:rPr>
          <w:rStyle w:val="Emphasis"/>
        </w:rPr>
        <w:t>‘How much sugar do you drink?’ and ‘What to look for on a food label’</w:t>
      </w:r>
      <w:r w:rsidR="002C57F6" w:rsidRPr="00D84060">
        <w:rPr>
          <w:rStyle w:val="FootnoteReference"/>
        </w:rPr>
        <w:footnoteReference w:id="83"/>
      </w:r>
      <w:r w:rsidR="002C57F6" w:rsidRPr="00CB626B">
        <w:t>.</w:t>
      </w:r>
    </w:p>
    <w:p w14:paraId="3F9AF789" w14:textId="66C277FC" w:rsidR="005235E3" w:rsidRPr="00BC587F" w:rsidRDefault="00C64CDB" w:rsidP="00BC587F">
      <w:r w:rsidRPr="00BC587F">
        <w:t>Some f</w:t>
      </w:r>
      <w:r w:rsidR="00572053" w:rsidRPr="00BC587F">
        <w:t xml:space="preserve">ood manufacturers and retail businesses regularly run consumer education campaigns to support labelling initiatives. A current example of this is </w:t>
      </w:r>
      <w:r w:rsidRPr="00BC587F">
        <w:t xml:space="preserve">related to </w:t>
      </w:r>
      <w:r w:rsidR="00572053" w:rsidRPr="00BC587F">
        <w:t xml:space="preserve">the </w:t>
      </w:r>
      <w:r w:rsidR="00BD75A1" w:rsidRPr="00BC587F">
        <w:t>HSR</w:t>
      </w:r>
      <w:r w:rsidR="00572053" w:rsidRPr="00BC587F">
        <w:t xml:space="preserve"> system. Major retailers such as Woolworths and</w:t>
      </w:r>
      <w:r w:rsidRPr="00BC587F">
        <w:t xml:space="preserve"> Coles provide in store activities</w:t>
      </w:r>
      <w:r w:rsidR="00572053" w:rsidRPr="00BC587F">
        <w:t>, store magazines and online content</w:t>
      </w:r>
      <w:r w:rsidR="00572053" w:rsidRPr="001D20E4">
        <w:rPr>
          <w:vertAlign w:val="superscript"/>
        </w:rPr>
        <w:footnoteReference w:id="84"/>
      </w:r>
      <w:r w:rsidR="00572053" w:rsidRPr="001D20E4">
        <w:rPr>
          <w:vertAlign w:val="superscript"/>
        </w:rPr>
        <w:t xml:space="preserve"> </w:t>
      </w:r>
      <w:r w:rsidR="00572053" w:rsidRPr="00BC587F">
        <w:t>to assist customers in applying the HSR and making healthier choices. Woolworths run further campaigns that provide tips and swaps to assist consumers to compare foods and make healthier choices and booklets for parents to assist in choosing lunch items for children</w:t>
      </w:r>
      <w:r w:rsidR="00572053" w:rsidRPr="002B3D81">
        <w:rPr>
          <w:vertAlign w:val="superscript"/>
        </w:rPr>
        <w:footnoteReference w:id="85"/>
      </w:r>
      <w:r w:rsidR="00572053" w:rsidRPr="00BC587F">
        <w:t>.</w:t>
      </w:r>
    </w:p>
    <w:p w14:paraId="16A9C64E" w14:textId="77777777" w:rsidR="00FD3C50" w:rsidRPr="00B44104" w:rsidRDefault="00FD3C50" w:rsidP="00314A5D">
      <w:pPr>
        <w:pStyle w:val="Heading3"/>
        <w:rPr>
          <w:rStyle w:val="Strong"/>
          <w:b/>
          <w:bCs/>
        </w:rPr>
      </w:pPr>
      <w:r w:rsidRPr="0011775A">
        <w:rPr>
          <w:rStyle w:val="Strong"/>
          <w:b/>
          <w:bCs/>
        </w:rPr>
        <w:t>Strengths</w:t>
      </w:r>
    </w:p>
    <w:p w14:paraId="0A294D78" w14:textId="5F66B7BC" w:rsidR="00FD3C50" w:rsidRPr="00CB626B" w:rsidRDefault="00FD3C50" w:rsidP="00C84941">
      <w:pPr>
        <w:pStyle w:val="Bullets"/>
        <w:rPr>
          <w:lang w:eastAsia="en-GB"/>
        </w:rPr>
      </w:pPr>
      <w:r w:rsidRPr="00CB626B">
        <w:rPr>
          <w:lang w:eastAsia="en-GB"/>
        </w:rPr>
        <w:t>An education campaign could increase consumer understanding of sugar</w:t>
      </w:r>
      <w:r w:rsidR="00834B4E" w:rsidRPr="00CB626B">
        <w:rPr>
          <w:lang w:eastAsia="en-GB"/>
        </w:rPr>
        <w:t>s</w:t>
      </w:r>
      <w:r w:rsidRPr="00CB626B">
        <w:rPr>
          <w:lang w:eastAsia="en-GB"/>
        </w:rPr>
        <w:t xml:space="preserve"> labelling with regard given to dietary guidelines, without the need for changes to current labels.</w:t>
      </w:r>
    </w:p>
    <w:p w14:paraId="6D8DB1BC" w14:textId="2E05357C" w:rsidR="00FD3C50" w:rsidRDefault="00FD3C50" w:rsidP="00C84941">
      <w:pPr>
        <w:pStyle w:val="Bullets"/>
        <w:rPr>
          <w:lang w:eastAsia="en-GB"/>
        </w:rPr>
      </w:pPr>
      <w:r w:rsidRPr="00CB626B">
        <w:rPr>
          <w:lang w:eastAsia="en-GB"/>
        </w:rPr>
        <w:t xml:space="preserve">May promote greater awareness of </w:t>
      </w:r>
      <w:r w:rsidR="00180D9D">
        <w:rPr>
          <w:lang w:eastAsia="en-GB"/>
        </w:rPr>
        <w:t xml:space="preserve">broader </w:t>
      </w:r>
      <w:r w:rsidRPr="00CB626B">
        <w:rPr>
          <w:lang w:eastAsia="en-GB"/>
        </w:rPr>
        <w:t>nutritional information resulting in improved consumer motivation and understanding of food labelling.</w:t>
      </w:r>
    </w:p>
    <w:p w14:paraId="6FE85B86" w14:textId="1DDE5612" w:rsidR="00FD3C50" w:rsidRPr="00CB626B" w:rsidRDefault="00180D9D" w:rsidP="00C84941">
      <w:pPr>
        <w:pStyle w:val="Bullets"/>
        <w:rPr>
          <w:lang w:eastAsia="en-GB"/>
        </w:rPr>
      </w:pPr>
      <w:r w:rsidRPr="00E9170F">
        <w:rPr>
          <w:lang w:eastAsia="en-GB"/>
        </w:rPr>
        <w:t>Education may be tailored to different consumer groups, such as non-English speaking people, health professionals etc.</w:t>
      </w:r>
    </w:p>
    <w:p w14:paraId="400C28FA" w14:textId="77777777" w:rsidR="00FD3C50" w:rsidRPr="00963422" w:rsidRDefault="00FD3C50" w:rsidP="00314A5D">
      <w:pPr>
        <w:pStyle w:val="Heading3"/>
        <w:rPr>
          <w:rStyle w:val="Strong"/>
          <w:b/>
          <w:bCs/>
        </w:rPr>
      </w:pPr>
      <w:r w:rsidRPr="0011775A">
        <w:rPr>
          <w:rStyle w:val="Strong"/>
          <w:b/>
          <w:bCs/>
        </w:rPr>
        <w:t>Weaknesses</w:t>
      </w:r>
    </w:p>
    <w:p w14:paraId="2D8CDE0E" w14:textId="18673A43" w:rsidR="00FD3C50" w:rsidRPr="00E37341" w:rsidRDefault="00FD3C50" w:rsidP="00C84941">
      <w:pPr>
        <w:pStyle w:val="Bullets"/>
        <w:rPr>
          <w:lang w:eastAsia="en-GB"/>
        </w:rPr>
      </w:pPr>
      <w:r w:rsidRPr="00E37341">
        <w:rPr>
          <w:lang w:eastAsia="en-GB"/>
        </w:rPr>
        <w:t>The impact on consumers’ ability to select foods lower in added sugar</w:t>
      </w:r>
      <w:r w:rsidR="00834B4E" w:rsidRPr="00E37341">
        <w:rPr>
          <w:lang w:eastAsia="en-GB"/>
        </w:rPr>
        <w:t>s</w:t>
      </w:r>
      <w:r w:rsidRPr="00E37341">
        <w:rPr>
          <w:lang w:eastAsia="en-GB"/>
        </w:rPr>
        <w:t xml:space="preserve"> may remain limited due to </w:t>
      </w:r>
      <w:r w:rsidR="009122CD" w:rsidRPr="00E37341">
        <w:rPr>
          <w:lang w:eastAsia="en-GB"/>
        </w:rPr>
        <w:t xml:space="preserve">information about </w:t>
      </w:r>
      <w:r w:rsidRPr="00E37341">
        <w:rPr>
          <w:lang w:eastAsia="en-GB"/>
        </w:rPr>
        <w:t xml:space="preserve">added sugars not being </w:t>
      </w:r>
      <w:r w:rsidR="009122CD" w:rsidRPr="00E37341">
        <w:rPr>
          <w:lang w:eastAsia="en-GB"/>
        </w:rPr>
        <w:t xml:space="preserve">available </w:t>
      </w:r>
      <w:r w:rsidRPr="00E37341">
        <w:rPr>
          <w:lang w:eastAsia="en-GB"/>
        </w:rPr>
        <w:t>on food labels.</w:t>
      </w:r>
    </w:p>
    <w:p w14:paraId="102F93C2" w14:textId="77777777" w:rsidR="00FD3C50" w:rsidRPr="00E37341" w:rsidRDefault="00FD3C50" w:rsidP="00C84941">
      <w:pPr>
        <w:pStyle w:val="Bullets"/>
        <w:rPr>
          <w:lang w:eastAsia="en-GB"/>
        </w:rPr>
      </w:pPr>
      <w:r w:rsidRPr="00E37341">
        <w:rPr>
          <w:lang w:eastAsia="en-GB"/>
        </w:rPr>
        <w:t>Likely to have a limited reach (not all consumers will necessarily be exposed to the education campaign).</w:t>
      </w:r>
    </w:p>
    <w:p w14:paraId="0C4436B2" w14:textId="14356BE6" w:rsidR="00FD3C50" w:rsidRPr="00E37341" w:rsidRDefault="00FD3C50" w:rsidP="00C84941">
      <w:pPr>
        <w:pStyle w:val="Bullets"/>
        <w:rPr>
          <w:lang w:eastAsia="en-GB"/>
        </w:rPr>
      </w:pPr>
      <w:r w:rsidRPr="00E37341">
        <w:rPr>
          <w:lang w:eastAsia="en-GB"/>
        </w:rPr>
        <w:t>Likely to be time limited: education may help improve understanding of sugar</w:t>
      </w:r>
      <w:r w:rsidR="00834B4E" w:rsidRPr="00E37341">
        <w:rPr>
          <w:lang w:eastAsia="en-GB"/>
        </w:rPr>
        <w:t>s</w:t>
      </w:r>
      <w:r w:rsidRPr="00E37341">
        <w:rPr>
          <w:lang w:eastAsia="en-GB"/>
        </w:rPr>
        <w:t xml:space="preserve"> labelling for a short period only (while the campaign is running).</w:t>
      </w:r>
    </w:p>
    <w:p w14:paraId="2FF30D80" w14:textId="429924D6" w:rsidR="00FD3C50" w:rsidRPr="00E37341" w:rsidRDefault="00FD3C50" w:rsidP="00C84941">
      <w:pPr>
        <w:pStyle w:val="Bullets"/>
        <w:rPr>
          <w:lang w:eastAsia="en-GB"/>
        </w:rPr>
      </w:pPr>
      <w:r w:rsidRPr="00E37341">
        <w:rPr>
          <w:lang w:eastAsia="en-GB"/>
        </w:rPr>
        <w:t>May place undue focus on sugar</w:t>
      </w:r>
      <w:r w:rsidR="00834B4E" w:rsidRPr="00E37341">
        <w:rPr>
          <w:lang w:eastAsia="en-GB"/>
        </w:rPr>
        <w:t>s</w:t>
      </w:r>
      <w:r w:rsidRPr="00E37341">
        <w:rPr>
          <w:lang w:eastAsia="en-GB"/>
        </w:rPr>
        <w:t xml:space="preserve"> relative to the rest of the dietary </w:t>
      </w:r>
      <w:proofErr w:type="gramStart"/>
      <w:r w:rsidRPr="00E37341">
        <w:rPr>
          <w:lang w:eastAsia="en-GB"/>
        </w:rPr>
        <w:t>guidelines</w:t>
      </w:r>
      <w:proofErr w:type="gramEnd"/>
      <w:r w:rsidRPr="00E37341">
        <w:rPr>
          <w:lang w:eastAsia="en-GB"/>
        </w:rPr>
        <w:t xml:space="preserve"> recommendations. This could be balanced if part of a broader education campaign about </w:t>
      </w:r>
      <w:r w:rsidR="00180D9D" w:rsidRPr="00E37341">
        <w:rPr>
          <w:lang w:eastAsia="en-GB"/>
        </w:rPr>
        <w:t xml:space="preserve">the </w:t>
      </w:r>
      <w:r w:rsidR="00376563">
        <w:rPr>
          <w:lang w:eastAsia="en-GB"/>
        </w:rPr>
        <w:t>D</w:t>
      </w:r>
      <w:r w:rsidRPr="00E37341">
        <w:rPr>
          <w:lang w:eastAsia="en-GB"/>
        </w:rPr>
        <w:t xml:space="preserve">ietary </w:t>
      </w:r>
      <w:r w:rsidR="00180D9D" w:rsidRPr="00E37341">
        <w:rPr>
          <w:lang w:eastAsia="en-GB"/>
        </w:rPr>
        <w:t>G</w:t>
      </w:r>
      <w:r w:rsidRPr="00E37341">
        <w:rPr>
          <w:lang w:eastAsia="en-GB"/>
        </w:rPr>
        <w:t>uidelines</w:t>
      </w:r>
      <w:r w:rsidR="0008645B" w:rsidRPr="00E37341">
        <w:rPr>
          <w:lang w:eastAsia="en-GB"/>
        </w:rPr>
        <w:t xml:space="preserve"> </w:t>
      </w:r>
      <w:r w:rsidRPr="00E37341">
        <w:rPr>
          <w:lang w:eastAsia="en-GB"/>
        </w:rPr>
        <w:t>(however, the advice on sugar</w:t>
      </w:r>
      <w:r w:rsidR="00834B4E" w:rsidRPr="00E37341">
        <w:rPr>
          <w:lang w:eastAsia="en-GB"/>
        </w:rPr>
        <w:t>s</w:t>
      </w:r>
      <w:r w:rsidRPr="00E37341">
        <w:rPr>
          <w:lang w:eastAsia="en-GB"/>
        </w:rPr>
        <w:t xml:space="preserve"> labelling may also be relatively lost amongst other information).</w:t>
      </w:r>
    </w:p>
    <w:p w14:paraId="52036A32" w14:textId="76A60846" w:rsidR="00BD75A1" w:rsidRPr="00E37341" w:rsidRDefault="00FD3C50" w:rsidP="00C84941">
      <w:pPr>
        <w:pStyle w:val="Bullets"/>
        <w:rPr>
          <w:lang w:eastAsia="en-GB"/>
        </w:rPr>
      </w:pPr>
      <w:r w:rsidRPr="00E37341">
        <w:rPr>
          <w:lang w:eastAsia="en-GB"/>
        </w:rPr>
        <w:t xml:space="preserve">Education campaigns are likely to be a cost borne </w:t>
      </w:r>
      <w:r w:rsidR="00180D9D" w:rsidRPr="00E37341">
        <w:rPr>
          <w:lang w:eastAsia="en-GB"/>
        </w:rPr>
        <w:t xml:space="preserve">largely </w:t>
      </w:r>
      <w:r w:rsidRPr="00E37341">
        <w:rPr>
          <w:lang w:eastAsia="en-GB"/>
        </w:rPr>
        <w:t>by Government.</w:t>
      </w:r>
    </w:p>
    <w:p w14:paraId="75BA9B5D" w14:textId="3C785CE1" w:rsidR="00283E52" w:rsidRPr="00D120B1" w:rsidRDefault="00283E52" w:rsidP="00314A5D">
      <w:pPr>
        <w:pStyle w:val="Heading2"/>
      </w:pPr>
      <w:bookmarkStart w:id="167" w:name="_Toc6323611"/>
      <w:r w:rsidRPr="00D120B1">
        <w:t xml:space="preserve">Option </w:t>
      </w:r>
      <w:r w:rsidR="005E2084" w:rsidRPr="00D120B1">
        <w:t>3</w:t>
      </w:r>
      <w:r w:rsidRPr="00D120B1">
        <w:t xml:space="preserve">: Change to </w:t>
      </w:r>
      <w:r w:rsidR="007C0F42" w:rsidRPr="00D120B1">
        <w:t>s</w:t>
      </w:r>
      <w:r w:rsidRPr="00D120B1">
        <w:t xml:space="preserve">tatement of </w:t>
      </w:r>
      <w:proofErr w:type="gramStart"/>
      <w:r w:rsidR="007C0F42" w:rsidRPr="00D120B1">
        <w:t>i</w:t>
      </w:r>
      <w:r w:rsidRPr="00D120B1">
        <w:t>ngredients</w:t>
      </w:r>
      <w:bookmarkEnd w:id="167"/>
      <w:proofErr w:type="gramEnd"/>
    </w:p>
    <w:p w14:paraId="29B1F20F" w14:textId="77777777" w:rsidR="007574D4" w:rsidRPr="00B44104" w:rsidRDefault="00213BE1" w:rsidP="00314A5D">
      <w:pPr>
        <w:pStyle w:val="Heading3"/>
      </w:pPr>
      <w:r w:rsidRPr="00B44104">
        <w:t>Description</w:t>
      </w:r>
    </w:p>
    <w:p w14:paraId="4B1AD0A9" w14:textId="72CFD1D6" w:rsidR="007C369F" w:rsidRPr="00BC587F" w:rsidRDefault="00213BE1" w:rsidP="00BC587F">
      <w:r w:rsidRPr="00BC587F">
        <w:t>This option proposes to change t</w:t>
      </w:r>
      <w:r w:rsidR="007C0F42" w:rsidRPr="00BC587F">
        <w:t>he</w:t>
      </w:r>
      <w:r w:rsidRPr="00BC587F">
        <w:t xml:space="preserve"> statement of ingredients</w:t>
      </w:r>
      <w:r w:rsidR="00572053" w:rsidRPr="00BC587F">
        <w:t xml:space="preserve"> only</w:t>
      </w:r>
      <w:r w:rsidRPr="00BC587F">
        <w:t xml:space="preserve"> to overtly identify sugars-based ingredients.</w:t>
      </w:r>
      <w:r w:rsidR="007C369F" w:rsidRPr="00BC587F">
        <w:t xml:space="preserve"> </w:t>
      </w:r>
      <w:r w:rsidR="00357D67" w:rsidRPr="00BC587F">
        <w:t>Sugar</w:t>
      </w:r>
      <w:r w:rsidR="009A6422" w:rsidRPr="00BC587F">
        <w:t>s</w:t>
      </w:r>
      <w:r w:rsidR="00357D67" w:rsidRPr="00BC587F">
        <w:t xml:space="preserve">-based ingredients added to a food are </w:t>
      </w:r>
      <w:r w:rsidR="00986F99" w:rsidRPr="00BC587F">
        <w:t>‘</w:t>
      </w:r>
      <w:r w:rsidR="00357D67" w:rsidRPr="00BC587F">
        <w:t xml:space="preserve">added </w:t>
      </w:r>
      <w:proofErr w:type="gramStart"/>
      <w:r w:rsidR="00357D67" w:rsidRPr="00BC587F">
        <w:t>sugars</w:t>
      </w:r>
      <w:r w:rsidR="00986F99" w:rsidRPr="00BC587F">
        <w:t>’</w:t>
      </w:r>
      <w:proofErr w:type="gramEnd"/>
      <w:r w:rsidR="000403B2" w:rsidRPr="00BC587F">
        <w:t>.</w:t>
      </w:r>
    </w:p>
    <w:p w14:paraId="142030EA" w14:textId="0DFB805F" w:rsidR="007C369F" w:rsidRPr="00BC587F" w:rsidRDefault="007C369F" w:rsidP="00BC587F">
      <w:r w:rsidRPr="00BC587F">
        <w:t xml:space="preserve">This option aims to address the policy </w:t>
      </w:r>
      <w:r w:rsidR="00986F99" w:rsidRPr="00BC587F">
        <w:t>issue</w:t>
      </w:r>
      <w:r w:rsidRPr="00BC587F">
        <w:t xml:space="preserve"> by overtly indicating which ingredients </w:t>
      </w:r>
      <w:r w:rsidR="000F3122" w:rsidRPr="00BC587F">
        <w:t>are added sugars</w:t>
      </w:r>
      <w:r w:rsidRPr="00BC587F">
        <w:t xml:space="preserve"> so that consumers can clearly identify foods containing added sugars and make informed choices in relation to the recommendat</w:t>
      </w:r>
      <w:r w:rsidR="000403B2" w:rsidRPr="00BC587F">
        <w:t>ions in the dietary guidelines.</w:t>
      </w:r>
    </w:p>
    <w:p w14:paraId="74F39772" w14:textId="5A28FBC6" w:rsidR="00BE303A" w:rsidRPr="00BC587F" w:rsidRDefault="00BE303A" w:rsidP="00BC587F">
      <w:r w:rsidRPr="00BC587F">
        <w:t xml:space="preserve">There are </w:t>
      </w:r>
      <w:proofErr w:type="gramStart"/>
      <w:r w:rsidR="00F114F0" w:rsidRPr="00BC587F">
        <w:t>a number</w:t>
      </w:r>
      <w:r w:rsidR="00B161D1" w:rsidRPr="00BC587F">
        <w:t xml:space="preserve"> of</w:t>
      </w:r>
      <w:proofErr w:type="gramEnd"/>
      <w:r w:rsidRPr="00BC587F">
        <w:t xml:space="preserve"> possible approaches to this option</w:t>
      </w:r>
      <w:r w:rsidR="00F114F0" w:rsidRPr="00BC587F">
        <w:t>, including</w:t>
      </w:r>
      <w:r w:rsidRPr="00BC587F">
        <w:t>:</w:t>
      </w:r>
    </w:p>
    <w:p w14:paraId="4005EFF1" w14:textId="07B76878" w:rsidR="00BE303A" w:rsidRPr="000403B2" w:rsidRDefault="00BE303A" w:rsidP="00C84941">
      <w:pPr>
        <w:pStyle w:val="Bullets"/>
      </w:pPr>
      <w:r w:rsidRPr="00D35AF0">
        <w:rPr>
          <w:rStyle w:val="Emphasis"/>
        </w:rPr>
        <w:t>Bracketed list</w:t>
      </w:r>
      <w:r w:rsidR="00D35AF0">
        <w:t>:</w:t>
      </w:r>
      <w:r w:rsidR="0070624D">
        <w:t xml:space="preserve"> </w:t>
      </w:r>
      <w:r w:rsidRPr="00CB626B">
        <w:t>Indicating the sugar</w:t>
      </w:r>
      <w:r w:rsidR="007C0F42" w:rsidRPr="00CB626B">
        <w:t>s</w:t>
      </w:r>
      <w:r w:rsidRPr="00CB626B">
        <w:t>-based ingredients through a term such as “sugars” followed by a bracketed list of individual sugars-based ingredients. The bracketed list and the ingredients within the bracketed list would be listed in desc</w:t>
      </w:r>
      <w:r w:rsidR="000403B2">
        <w:t>ending order of ingoing weight.</w:t>
      </w:r>
    </w:p>
    <w:p w14:paraId="389125A8" w14:textId="64147BDA" w:rsidR="00213BE1" w:rsidRPr="00D35AF0" w:rsidRDefault="00BE303A" w:rsidP="00C84941">
      <w:pPr>
        <w:pStyle w:val="Bullets"/>
      </w:pPr>
      <w:r w:rsidRPr="00D35AF0">
        <w:rPr>
          <w:rStyle w:val="Emphasis"/>
        </w:rPr>
        <w:t>Asterisked or emboldened</w:t>
      </w:r>
      <w:r w:rsidR="00021564" w:rsidRPr="00D35AF0">
        <w:rPr>
          <w:rStyle w:val="Emphasis"/>
        </w:rPr>
        <w:t>:</w:t>
      </w:r>
      <w:r w:rsidR="0070624D">
        <w:t xml:space="preserve"> </w:t>
      </w:r>
      <w:r w:rsidRPr="00CB626B">
        <w:t xml:space="preserve">Indicating the sugars-based ingredients through using an asterisk or </w:t>
      </w:r>
      <w:r w:rsidR="007C0F42" w:rsidRPr="00CB626B">
        <w:t>em</w:t>
      </w:r>
      <w:r w:rsidRPr="00CB626B">
        <w:t>bold</w:t>
      </w:r>
      <w:r w:rsidR="007C0F42" w:rsidRPr="00CB626B">
        <w:t>en</w:t>
      </w:r>
      <w:r w:rsidRPr="00CB626B">
        <w:t>ing the individual sugars</w:t>
      </w:r>
      <w:r w:rsidR="007C0F42" w:rsidRPr="00CB626B">
        <w:t>-</w:t>
      </w:r>
      <w:r w:rsidRPr="00CB626B">
        <w:t xml:space="preserve">based ingredients in the list. Ingredients would remain listed in </w:t>
      </w:r>
      <w:r w:rsidR="00BC2C72" w:rsidRPr="00CB626B">
        <w:t>de</w:t>
      </w:r>
      <w:r w:rsidR="00BC2C72">
        <w:t>scending</w:t>
      </w:r>
      <w:r w:rsidRPr="00CB626B">
        <w:t xml:space="preserve"> order of ingoing weight.</w:t>
      </w:r>
    </w:p>
    <w:p w14:paraId="11B65900" w14:textId="77777777" w:rsidR="007574D4" w:rsidRPr="00963422" w:rsidRDefault="00213BE1" w:rsidP="00314A5D">
      <w:pPr>
        <w:pStyle w:val="Heading3"/>
      </w:pPr>
      <w:r w:rsidRPr="00963422">
        <w:t>Rationale</w:t>
      </w:r>
    </w:p>
    <w:p w14:paraId="46AE5FC6" w14:textId="3C0E754A" w:rsidR="00BE303A" w:rsidRPr="00BC587F" w:rsidRDefault="007C369F" w:rsidP="00BC587F">
      <w:r w:rsidRPr="00CB626B">
        <w:t>Under the status quo, t</w:t>
      </w:r>
      <w:r w:rsidR="00213BE1" w:rsidRPr="00CB626B">
        <w:t xml:space="preserve">he statement of ingredients requires the individual ingredients in a food to be listed in descending order of ingoing weight. </w:t>
      </w:r>
      <w:r w:rsidR="00986F99" w:rsidRPr="00CB626B">
        <w:t>However</w:t>
      </w:r>
      <w:r w:rsidRPr="00CB626B">
        <w:rPr>
          <w:lang w:eastAsia="en-GB"/>
        </w:rPr>
        <w:t xml:space="preserve">, identifying the sugars-based ingredients in the statement of ingredients requires an awareness and knowledge of the </w:t>
      </w:r>
      <w:r w:rsidR="00986F99" w:rsidRPr="00CB626B">
        <w:rPr>
          <w:lang w:eastAsia="en-GB"/>
        </w:rPr>
        <w:t>many different</w:t>
      </w:r>
      <w:r w:rsidRPr="00CB626B">
        <w:rPr>
          <w:lang w:eastAsia="en-GB"/>
        </w:rPr>
        <w:t xml:space="preserve"> names </w:t>
      </w:r>
      <w:r w:rsidR="00986F99" w:rsidRPr="00CB626B">
        <w:rPr>
          <w:lang w:eastAsia="en-GB"/>
        </w:rPr>
        <w:t xml:space="preserve">that can be </w:t>
      </w:r>
      <w:r w:rsidRPr="00CB626B">
        <w:rPr>
          <w:lang w:eastAsia="en-GB"/>
        </w:rPr>
        <w:t xml:space="preserve">used to describe individual sugars-based ingredients. </w:t>
      </w:r>
      <w:r w:rsidR="00213BE1" w:rsidRPr="00CB626B">
        <w:t>This option would overtly identify individual sugars-based ingredients with</w:t>
      </w:r>
      <w:r w:rsidR="00357D67" w:rsidRPr="00CB626B">
        <w:t>in the statement of ingredients</w:t>
      </w:r>
      <w:r w:rsidRPr="00CB626B">
        <w:rPr>
          <w:lang w:eastAsia="en-GB"/>
        </w:rPr>
        <w:t xml:space="preserve"> so that consumers would not need this detailed level of knowledge and can access the information regarding sugars-based ingredients directly.</w:t>
      </w:r>
    </w:p>
    <w:p w14:paraId="2A9D13DC" w14:textId="7BF2E008" w:rsidR="00BE303A" w:rsidRPr="00CB626B" w:rsidRDefault="00E22359" w:rsidP="00BC587F">
      <w:r w:rsidRPr="00CB626B">
        <w:t>For the first approach above</w:t>
      </w:r>
      <w:r w:rsidR="00BE303A" w:rsidRPr="00CB626B">
        <w:t>, placement (in descending order of ingoing weight) of the bracketed list in the statement of ingredients may assist consumers to determine the relative contribution of added sugars in the context of other ingredients in that food.</w:t>
      </w:r>
    </w:p>
    <w:p w14:paraId="4DE18A7F" w14:textId="77777777" w:rsidR="007574D4" w:rsidRPr="00241C0B" w:rsidRDefault="00BE303A" w:rsidP="00314A5D">
      <w:pPr>
        <w:pStyle w:val="Heading3"/>
      </w:pPr>
      <w:r w:rsidRPr="00241C0B">
        <w:t>Current examples</w:t>
      </w:r>
    </w:p>
    <w:p w14:paraId="5D436561" w14:textId="630B91B4" w:rsidR="00D120B1" w:rsidRPr="00CB626B" w:rsidRDefault="00BE303A" w:rsidP="00BC587F">
      <w:r w:rsidRPr="00CB626B">
        <w:t xml:space="preserve">Grouping of sugars-based ingredients in the ingredient list </w:t>
      </w:r>
      <w:r w:rsidR="00572053">
        <w:t>is now required</w:t>
      </w:r>
      <w:r w:rsidRPr="00CB626B">
        <w:t xml:space="preserve"> in Canada with a </w:t>
      </w:r>
      <w:proofErr w:type="gramStart"/>
      <w:r w:rsidRPr="00CB626B">
        <w:t>five year</w:t>
      </w:r>
      <w:proofErr w:type="gramEnd"/>
      <w:r w:rsidRPr="00CB626B">
        <w:t xml:space="preserve"> transition period ending in 2021</w:t>
      </w:r>
      <w:r w:rsidR="00572053">
        <w:t xml:space="preserve"> (and therefore has not yet been fully implemented)</w:t>
      </w:r>
      <w:r w:rsidR="00D120B1">
        <w:rPr>
          <w:rStyle w:val="FootnoteReference"/>
        </w:rPr>
        <w:footnoteReference w:id="86"/>
      </w:r>
      <w:r w:rsidR="00572053" w:rsidRPr="00CB626B">
        <w:t>.</w:t>
      </w:r>
    </w:p>
    <w:p w14:paraId="24EDC731" w14:textId="0AE7CAB8" w:rsidR="005C3C94" w:rsidRPr="0011775A" w:rsidRDefault="00D35AF0" w:rsidP="00314A5D">
      <w:pPr>
        <w:pStyle w:val="Heading3"/>
      </w:pPr>
      <w:r w:rsidRPr="0011775A">
        <w:rPr>
          <w:rStyle w:val="Strong"/>
          <w:b/>
          <w:bCs/>
        </w:rPr>
        <w:t>Strengths</w:t>
      </w:r>
    </w:p>
    <w:p w14:paraId="50FF5C58" w14:textId="5BF0D4D1" w:rsidR="005C3C94" w:rsidRPr="00E37341" w:rsidRDefault="005C3C94" w:rsidP="00C84941">
      <w:pPr>
        <w:pStyle w:val="Bullets"/>
      </w:pPr>
      <w:r w:rsidRPr="00E37341">
        <w:t>Identification of sources of sugar</w:t>
      </w:r>
      <w:r w:rsidR="00834B4E" w:rsidRPr="00E37341">
        <w:t>s</w:t>
      </w:r>
      <w:r w:rsidRPr="00E37341">
        <w:t xml:space="preserve"> in the statement of ingredients may assist consumers to determine the relative contribution of added sugars in comparison to other ingredients in that food</w:t>
      </w:r>
      <w:r w:rsidR="009F1BFD" w:rsidRPr="00E37341">
        <w:t xml:space="preserve"> because it </w:t>
      </w:r>
      <w:r w:rsidR="00BC2C72">
        <w:t>may</w:t>
      </w:r>
      <w:r w:rsidR="009F1BFD" w:rsidRPr="00E37341">
        <w:t xml:space="preserve"> move added sugars up the statement of ingredients</w:t>
      </w:r>
      <w:r w:rsidR="00E23393">
        <w:t xml:space="preserve"> (if the bracketed list approach is taken)</w:t>
      </w:r>
      <w:r w:rsidR="00D35AF0">
        <w:t>.</w:t>
      </w:r>
    </w:p>
    <w:p w14:paraId="6C1034B9" w14:textId="0051E982" w:rsidR="009F1BFD" w:rsidRPr="00E37341" w:rsidRDefault="005C3C94" w:rsidP="00C84941">
      <w:pPr>
        <w:pStyle w:val="Bullets"/>
      </w:pPr>
      <w:r w:rsidRPr="00E37341">
        <w:t>Has the capacity to reduce confusion that consumers may have about various names used for sugars-based ingredients.</w:t>
      </w:r>
    </w:p>
    <w:p w14:paraId="6EA2EA3D" w14:textId="42C0ED96" w:rsidR="009F1BFD" w:rsidRPr="00E37341" w:rsidRDefault="009F1BFD" w:rsidP="00C84941">
      <w:pPr>
        <w:pStyle w:val="Bullets"/>
      </w:pPr>
      <w:r w:rsidRPr="00E37341">
        <w:t xml:space="preserve">Provides transparency </w:t>
      </w:r>
      <w:proofErr w:type="gramStart"/>
      <w:r w:rsidRPr="00E37341">
        <w:t>with regard to</w:t>
      </w:r>
      <w:proofErr w:type="gramEnd"/>
      <w:r w:rsidRPr="00E37341">
        <w:t xml:space="preserve"> added sugars in a food.</w:t>
      </w:r>
    </w:p>
    <w:p w14:paraId="75D31125" w14:textId="1CAC9D17" w:rsidR="00BD75A1" w:rsidRDefault="005C3C94" w:rsidP="00C84941">
      <w:pPr>
        <w:pStyle w:val="Bullets"/>
      </w:pPr>
      <w:r w:rsidRPr="00E37341">
        <w:t>Consumers report having an interest in sugar</w:t>
      </w:r>
      <w:r w:rsidR="00834B4E" w:rsidRPr="00E37341">
        <w:t>s</w:t>
      </w:r>
      <w:r w:rsidRPr="00E37341">
        <w:t xml:space="preserve"> and may be receptive to additional labelling</w:t>
      </w:r>
      <w:bookmarkStart w:id="168" w:name="_Ref512007491"/>
      <w:r w:rsidRPr="002B3D81">
        <w:rPr>
          <w:vertAlign w:val="superscript"/>
        </w:rPr>
        <w:footnoteReference w:id="87"/>
      </w:r>
      <w:bookmarkEnd w:id="168"/>
      <w:r w:rsidRPr="00E37341">
        <w:t>.</w:t>
      </w:r>
    </w:p>
    <w:p w14:paraId="25133580" w14:textId="2E0971AC" w:rsidR="00DE310D" w:rsidRPr="00E37341" w:rsidRDefault="00DE310D" w:rsidP="00C84941">
      <w:pPr>
        <w:pStyle w:val="Bullets"/>
      </w:pPr>
      <w:r>
        <w:rPr>
          <w:lang w:eastAsia="en-GB"/>
        </w:rPr>
        <w:t>Information is available to consumers at point-of-purchase.</w:t>
      </w:r>
    </w:p>
    <w:p w14:paraId="29C4748E" w14:textId="680DD5E1" w:rsidR="005C3C94" w:rsidRPr="00B44104" w:rsidRDefault="005C3C94" w:rsidP="00314A5D">
      <w:pPr>
        <w:pStyle w:val="Heading3"/>
      </w:pPr>
      <w:r w:rsidRPr="00B44104">
        <w:t>Weaknesses</w:t>
      </w:r>
    </w:p>
    <w:p w14:paraId="0BF8A3FC" w14:textId="44B4E449" w:rsidR="00320C55" w:rsidRDefault="00320C55" w:rsidP="00C84941">
      <w:pPr>
        <w:pStyle w:val="Bullets"/>
      </w:pPr>
      <w:r w:rsidRPr="00DA18F1">
        <w:t>Impact on industry, including cost associated with label changes.</w:t>
      </w:r>
    </w:p>
    <w:p w14:paraId="3A545799" w14:textId="20039F6C" w:rsidR="002D02F0" w:rsidRPr="00E37341" w:rsidRDefault="002D02F0" w:rsidP="00C84941">
      <w:pPr>
        <w:pStyle w:val="Bullets"/>
      </w:pPr>
      <w:r w:rsidRPr="00E37341">
        <w:t>There may be technical issues of defining sugars-based ingredients/added sugars, however, international examples can provide guidance</w:t>
      </w:r>
      <w:r w:rsidRPr="001D20E4">
        <w:rPr>
          <w:vertAlign w:val="superscript"/>
        </w:rPr>
        <w:footnoteReference w:id="88"/>
      </w:r>
      <w:r w:rsidRPr="004F13AA">
        <w:t>.</w:t>
      </w:r>
    </w:p>
    <w:p w14:paraId="28C7CD1E" w14:textId="2641FD0E" w:rsidR="00D120B1" w:rsidRDefault="005C3C94" w:rsidP="00C84941">
      <w:pPr>
        <w:pStyle w:val="Bullets"/>
      </w:pPr>
      <w:r w:rsidRPr="00E37341">
        <w:t>Would require analysis of implications in relation to existing labelling requirements – may be difficult to implement or conflict with existing requirements such as conditions for ‘no added sugar’ claims</w:t>
      </w:r>
      <w:r w:rsidR="009F1BFD" w:rsidRPr="00E37341">
        <w:t xml:space="preserve"> and for compound ingredients that contain added sugar</w:t>
      </w:r>
      <w:r w:rsidR="00473CAA" w:rsidRPr="00E37341">
        <w:t>s</w:t>
      </w:r>
      <w:r w:rsidR="00125C95">
        <w:t>.</w:t>
      </w:r>
    </w:p>
    <w:p w14:paraId="57067119" w14:textId="16890F7E" w:rsidR="002D02F0" w:rsidRPr="00E37341" w:rsidRDefault="005C3C94" w:rsidP="00C84941">
      <w:pPr>
        <w:pStyle w:val="Bullets"/>
      </w:pPr>
      <w:r w:rsidRPr="00E37341">
        <w:t xml:space="preserve">May result in confusion or misleading information for consumers due to changes in descending order of ingredients or declaration of total sugars in the NIP – this would require further </w:t>
      </w:r>
      <w:proofErr w:type="gramStart"/>
      <w:r w:rsidRPr="00E37341">
        <w:t>analysis</w:t>
      </w:r>
      <w:r w:rsidR="009F1BFD" w:rsidRPr="00E37341">
        <w:t>,</w:t>
      </w:r>
      <w:proofErr w:type="gramEnd"/>
      <w:r w:rsidR="009F1BFD" w:rsidRPr="00E37341">
        <w:t xml:space="preserve"> however education would help to mitigate confusion.</w:t>
      </w:r>
    </w:p>
    <w:p w14:paraId="67DD504C" w14:textId="4B3BAF2B" w:rsidR="002D02F0" w:rsidRPr="00E37341" w:rsidRDefault="005C3C94" w:rsidP="00C84941">
      <w:pPr>
        <w:pStyle w:val="Bullets"/>
      </w:pPr>
      <w:r w:rsidRPr="00E37341">
        <w:t>If the asterisks or emboldening option is implemented, may cause confusion where food producers and industry use emboldening or asterisks to indicate other qualities, for example identification of allergens.</w:t>
      </w:r>
    </w:p>
    <w:p w14:paraId="156CF476" w14:textId="32B5728B" w:rsidR="00DB167A" w:rsidRDefault="009F5D70" w:rsidP="00C84941">
      <w:pPr>
        <w:pStyle w:val="Bullets"/>
      </w:pPr>
      <w:r w:rsidRPr="00E37341">
        <w:t>Focusing on added sugars alone as a negative nutrient (without including other negative nutrients – saturated fat and s</w:t>
      </w:r>
      <w:r w:rsidR="00A141AE">
        <w:t>odium</w:t>
      </w:r>
      <w:r w:rsidRPr="00E37341">
        <w:t xml:space="preserve">) </w:t>
      </w:r>
      <w:r w:rsidR="005E3177" w:rsidRPr="00E37341">
        <w:t>may</w:t>
      </w:r>
      <w:r w:rsidRPr="00E37341">
        <w:t xml:space="preserve"> imply added sugars are a more concerning nutrient which is inconsiste</w:t>
      </w:r>
      <w:r w:rsidR="00125C95">
        <w:t>nt with the dietary guidelines.</w:t>
      </w:r>
    </w:p>
    <w:p w14:paraId="56282904" w14:textId="5A037D8A" w:rsidR="00E37341" w:rsidRPr="00E37341" w:rsidRDefault="009F5D70" w:rsidP="00C84941">
      <w:pPr>
        <w:pStyle w:val="Bullets"/>
      </w:pPr>
      <w:r w:rsidRPr="00E37341">
        <w:t>May lead some consumers to place too much emphasis on added sugars, resulting in less accurate evaluations of a food’s overall healthiness and may have unintended consequences for intakes of other nutrients and reformulation.</w:t>
      </w:r>
    </w:p>
    <w:p w14:paraId="28965CFE" w14:textId="489E5D2F" w:rsidR="007005FC" w:rsidRPr="00A8387E" w:rsidRDefault="009555CF" w:rsidP="00314A5D">
      <w:pPr>
        <w:pStyle w:val="Heading2"/>
      </w:pPr>
      <w:bookmarkStart w:id="169" w:name="_Toc6323612"/>
      <w:r w:rsidRPr="00A8387E">
        <w:t xml:space="preserve">Option </w:t>
      </w:r>
      <w:r w:rsidR="005E2084" w:rsidRPr="00A8387E">
        <w:t>4</w:t>
      </w:r>
      <w:r w:rsidRPr="00A8387E">
        <w:t xml:space="preserve">: Added sugars quantified in the </w:t>
      </w:r>
      <w:proofErr w:type="gramStart"/>
      <w:r w:rsidRPr="00A8387E">
        <w:t>NIP</w:t>
      </w:r>
      <w:bookmarkEnd w:id="169"/>
      <w:proofErr w:type="gramEnd"/>
    </w:p>
    <w:p w14:paraId="48934D66" w14:textId="77777777" w:rsidR="007574D4" w:rsidRPr="00B44104" w:rsidRDefault="009555CF" w:rsidP="00314A5D">
      <w:pPr>
        <w:pStyle w:val="Heading3"/>
      </w:pPr>
      <w:r w:rsidRPr="00B44104">
        <w:t>Description</w:t>
      </w:r>
    </w:p>
    <w:p w14:paraId="503C2F00" w14:textId="762D72A0" w:rsidR="009555CF" w:rsidRPr="00CB626B" w:rsidRDefault="009555CF" w:rsidP="00BC587F">
      <w:r w:rsidRPr="00CB626B">
        <w:t>This option proposes to quantify a food</w:t>
      </w:r>
      <w:r w:rsidR="00DB167A">
        <w:t>s’</w:t>
      </w:r>
      <w:r w:rsidRPr="00CB626B">
        <w:t xml:space="preserve"> added sugar</w:t>
      </w:r>
      <w:r w:rsidR="00834B4E" w:rsidRPr="00CB626B">
        <w:t>s</w:t>
      </w:r>
      <w:r w:rsidRPr="00CB626B">
        <w:t xml:space="preserve"> content in the</w:t>
      </w:r>
      <w:r w:rsidR="00FD5533" w:rsidRPr="00CB626B">
        <w:t xml:space="preserve"> Nutrition Information Panel</w:t>
      </w:r>
      <w:r w:rsidRPr="00CB626B">
        <w:t xml:space="preserve"> </w:t>
      </w:r>
      <w:r w:rsidR="00FD5533" w:rsidRPr="00CB626B">
        <w:t>(</w:t>
      </w:r>
      <w:r w:rsidRPr="00CB626B">
        <w:t>NIP</w:t>
      </w:r>
      <w:r w:rsidR="00FD5533" w:rsidRPr="00CB626B">
        <w:t>)</w:t>
      </w:r>
      <w:r w:rsidRPr="00CB626B">
        <w:t>. Added sugars would be an addition to the existing information in the NIP.</w:t>
      </w:r>
    </w:p>
    <w:p w14:paraId="5726F896" w14:textId="2D2D5082" w:rsidR="00F83FBE" w:rsidRPr="00CB626B" w:rsidRDefault="009555CF" w:rsidP="00BC587F">
      <w:r w:rsidRPr="00CB626B">
        <w:t xml:space="preserve">This </w:t>
      </w:r>
      <w:r w:rsidR="007C369F" w:rsidRPr="00CB626B">
        <w:t xml:space="preserve">option </w:t>
      </w:r>
      <w:r w:rsidRPr="00CB626B">
        <w:t>aims to address the policy issue by providing information to enable consumers to identify foods containing added sugars, compare products to identify those which are lower in added sugar</w:t>
      </w:r>
      <w:r w:rsidR="00834B4E" w:rsidRPr="00CB626B">
        <w:t>s</w:t>
      </w:r>
      <w:r w:rsidRPr="00CB626B">
        <w:t>, and use this information to make informed choices in support of dietary guidelines.</w:t>
      </w:r>
    </w:p>
    <w:p w14:paraId="0D1B6D89" w14:textId="77777777" w:rsidR="00F83FBE" w:rsidRPr="00CB626B" w:rsidRDefault="00F83FBE" w:rsidP="00BC587F">
      <w:r w:rsidRPr="00CB626B">
        <w:t>There are two possible approaches to this option:</w:t>
      </w:r>
    </w:p>
    <w:p w14:paraId="7045C87B" w14:textId="510204BD" w:rsidR="00F83FBE" w:rsidRPr="00D35AF0" w:rsidRDefault="00F83FBE" w:rsidP="00C84941">
      <w:pPr>
        <w:pStyle w:val="Bullets"/>
      </w:pPr>
      <w:r w:rsidRPr="00D35AF0">
        <w:rPr>
          <w:rStyle w:val="Emphasis"/>
        </w:rPr>
        <w:t>Added sugar</w:t>
      </w:r>
      <w:r w:rsidR="009A6422" w:rsidRPr="00D35AF0">
        <w:rPr>
          <w:rStyle w:val="Emphasis"/>
        </w:rPr>
        <w:t>s</w:t>
      </w:r>
      <w:r w:rsidRPr="00D35AF0">
        <w:rPr>
          <w:rStyle w:val="Emphasis"/>
        </w:rPr>
        <w:t xml:space="preserve"> quantified in the NIP</w:t>
      </w:r>
      <w:r w:rsidR="00021564" w:rsidRPr="00D35AF0">
        <w:rPr>
          <w:rStyle w:val="Emphasis"/>
        </w:rPr>
        <w:t>:</w:t>
      </w:r>
      <w:r w:rsidR="00DD5445">
        <w:t xml:space="preserve"> </w:t>
      </w:r>
      <w:r w:rsidRPr="00CB626B">
        <w:t>the food’s added sugar</w:t>
      </w:r>
      <w:r w:rsidR="009A6422" w:rsidRPr="00CB626B">
        <w:t>s</w:t>
      </w:r>
      <w:r w:rsidRPr="00CB626B">
        <w:t xml:space="preserve"> con</w:t>
      </w:r>
      <w:r w:rsidR="00125C95">
        <w:t>tent is quantified in the NIP.</w:t>
      </w:r>
    </w:p>
    <w:p w14:paraId="0A55E87B" w14:textId="77777777" w:rsidR="00FA3FBF" w:rsidRDefault="00F83FBE" w:rsidP="00C84941">
      <w:pPr>
        <w:pStyle w:val="Bullets"/>
      </w:pPr>
      <w:r w:rsidRPr="00D35AF0">
        <w:rPr>
          <w:rStyle w:val="Emphasis"/>
        </w:rPr>
        <w:t>Added sugar</w:t>
      </w:r>
      <w:r w:rsidR="009A6422" w:rsidRPr="00D35AF0">
        <w:rPr>
          <w:rStyle w:val="Emphasis"/>
        </w:rPr>
        <w:t>s</w:t>
      </w:r>
      <w:r w:rsidRPr="00D35AF0">
        <w:rPr>
          <w:rStyle w:val="Emphasis"/>
        </w:rPr>
        <w:t xml:space="preserve"> quantified in the NIP and enhanced with additional contextual information</w:t>
      </w:r>
      <w:r w:rsidR="00021564" w:rsidRPr="00D35AF0">
        <w:rPr>
          <w:rStyle w:val="Emphasis"/>
        </w:rPr>
        <w:t>:</w:t>
      </w:r>
      <w:r w:rsidR="00DD5445">
        <w:t xml:space="preserve"> </w:t>
      </w:r>
      <w:r w:rsidR="009555CF" w:rsidRPr="00CB626B">
        <w:t>The added sugar</w:t>
      </w:r>
      <w:r w:rsidR="009A6422" w:rsidRPr="00CB626B">
        <w:t>s</w:t>
      </w:r>
      <w:r w:rsidR="009555CF" w:rsidRPr="00CB626B">
        <w:t xml:space="preserve"> information in the NIP could be enhanced with additional contextual information, such as HIGH/MEDIUM/LOW</w:t>
      </w:r>
      <w:r w:rsidR="001351CE" w:rsidRPr="00CB626B">
        <w:t xml:space="preserve"> messaging in relation to the product</w:t>
      </w:r>
      <w:r w:rsidR="00DB167A">
        <w:t>’</w:t>
      </w:r>
      <w:r w:rsidR="001351CE" w:rsidRPr="00CB626B">
        <w:t>s added sugar</w:t>
      </w:r>
      <w:r w:rsidR="00834B4E" w:rsidRPr="00CB626B">
        <w:t>s</w:t>
      </w:r>
      <w:r w:rsidR="001351CE" w:rsidRPr="00CB626B">
        <w:t xml:space="preserve"> content or</w:t>
      </w:r>
      <w:r w:rsidR="009555CF" w:rsidRPr="00CB626B">
        <w:t xml:space="preserve"> </w:t>
      </w:r>
      <w:r w:rsidR="001351CE" w:rsidRPr="00CB626B">
        <w:t>using %DI labelling for added sugar</w:t>
      </w:r>
      <w:r w:rsidR="009A6422" w:rsidRPr="00CB626B">
        <w:t>s</w:t>
      </w:r>
      <w:r w:rsidR="001351CE" w:rsidRPr="00CB626B">
        <w:t xml:space="preserve"> (a daily intake reference value for added sugars would need to be establ</w:t>
      </w:r>
      <w:r w:rsidR="00125C95">
        <w:t>ished to enable %DI labelling).</w:t>
      </w:r>
    </w:p>
    <w:p w14:paraId="35FF07AB" w14:textId="3C28F543" w:rsidR="00E11379" w:rsidRPr="00E37341" w:rsidRDefault="009555CF" w:rsidP="00C84941">
      <w:pPr>
        <w:pStyle w:val="Bullets"/>
        <w:numPr>
          <w:ilvl w:val="0"/>
          <w:numId w:val="0"/>
        </w:numPr>
        <w:ind w:left="360"/>
      </w:pPr>
      <w:r w:rsidRPr="00CB626B">
        <w:t xml:space="preserve">This additional contextual information could support consumers to make judgements about abstract information (such as grams of added sugars per 100g of food) in isolation, </w:t>
      </w:r>
      <w:proofErr w:type="gramStart"/>
      <w:r w:rsidRPr="00CB626B">
        <w:t>i.e.</w:t>
      </w:r>
      <w:proofErr w:type="gramEnd"/>
      <w:r w:rsidRPr="00CB626B">
        <w:t xml:space="preserve"> without comparing products. </w:t>
      </w:r>
      <w:r w:rsidR="00A94315" w:rsidRPr="00CB626B">
        <w:t>The cut-offs for HIGH/MEDIUM/LOW messaging would be determined as part of the</w:t>
      </w:r>
      <w:r w:rsidR="00125C95">
        <w:t xml:space="preserve"> implementation of this option.</w:t>
      </w:r>
    </w:p>
    <w:p w14:paraId="3E551CE4" w14:textId="77777777" w:rsidR="007574D4" w:rsidRPr="00B44104" w:rsidRDefault="009555CF" w:rsidP="00314A5D">
      <w:pPr>
        <w:pStyle w:val="Heading3"/>
      </w:pPr>
      <w:r w:rsidRPr="00B44104">
        <w:t>Rationale</w:t>
      </w:r>
    </w:p>
    <w:p w14:paraId="4EBE4417" w14:textId="2C8D2870" w:rsidR="009555CF" w:rsidRPr="00CB626B" w:rsidRDefault="006060CB" w:rsidP="00BC587F">
      <w:r w:rsidRPr="00CB626B">
        <w:t xml:space="preserve">Under the status quo, </w:t>
      </w:r>
      <w:r w:rsidRPr="00CB626B">
        <w:rPr>
          <w:lang w:eastAsia="en-GB"/>
        </w:rPr>
        <w:t>information about the added sugar</w:t>
      </w:r>
      <w:r w:rsidR="009A6422" w:rsidRPr="00CB626B">
        <w:rPr>
          <w:lang w:eastAsia="en-GB"/>
        </w:rPr>
        <w:t>s</w:t>
      </w:r>
      <w:r w:rsidRPr="00CB626B">
        <w:rPr>
          <w:lang w:eastAsia="en-GB"/>
        </w:rPr>
        <w:t xml:space="preserve"> content of foods is limited, which impacts on consumer’s ability to make choices in s</w:t>
      </w:r>
      <w:r w:rsidR="00185C24" w:rsidRPr="00CB626B">
        <w:rPr>
          <w:lang w:eastAsia="en-GB"/>
        </w:rPr>
        <w:t>upport of the dietary guidelines (</w:t>
      </w:r>
      <w:r w:rsidRPr="00CB626B">
        <w:t>which</w:t>
      </w:r>
      <w:r w:rsidR="009555CF" w:rsidRPr="00CB626B">
        <w:t xml:space="preserve"> recommend limiting </w:t>
      </w:r>
      <w:r w:rsidR="00185C24" w:rsidRPr="00CB626B">
        <w:t xml:space="preserve">consumption of </w:t>
      </w:r>
      <w:r w:rsidR="009555CF" w:rsidRPr="00CB626B">
        <w:t>foods containing added sugars</w:t>
      </w:r>
      <w:r w:rsidR="00185C24" w:rsidRPr="00CB626B">
        <w:t>)</w:t>
      </w:r>
      <w:r w:rsidR="00081711">
        <w:t xml:space="preserve">. </w:t>
      </w:r>
      <w:r w:rsidR="009555CF" w:rsidRPr="00CB626B">
        <w:t xml:space="preserve">Consumer research indicates that consumers do not understand what added sugars </w:t>
      </w:r>
      <w:proofErr w:type="gramStart"/>
      <w:r w:rsidR="009555CF" w:rsidRPr="00CB626B">
        <w:t>are, and</w:t>
      </w:r>
      <w:proofErr w:type="gramEnd"/>
      <w:r w:rsidR="009555CF" w:rsidRPr="00CB626B">
        <w:t xml:space="preserve"> have difficulty classifying </w:t>
      </w:r>
      <w:r w:rsidR="00E23393">
        <w:t xml:space="preserve">different types of </w:t>
      </w:r>
      <w:r w:rsidR="009555CF" w:rsidRPr="00CB626B">
        <w:t xml:space="preserve">sugars as ‘added’ or ‘natural’. This </w:t>
      </w:r>
      <w:r w:rsidR="00333F52" w:rsidRPr="00CB626B">
        <w:t xml:space="preserve">option </w:t>
      </w:r>
      <w:r w:rsidR="009555CF" w:rsidRPr="00CB626B">
        <w:t xml:space="preserve">seeks to overcome this consumer confusion by clearly quantifying in the NIP the </w:t>
      </w:r>
      <w:proofErr w:type="gramStart"/>
      <w:r w:rsidR="009555CF" w:rsidRPr="00CB626B">
        <w:t>amount</w:t>
      </w:r>
      <w:proofErr w:type="gramEnd"/>
      <w:r w:rsidR="009555CF" w:rsidRPr="00CB626B">
        <w:t xml:space="preserve"> of added sugar</w:t>
      </w:r>
      <w:r w:rsidR="00834B4E" w:rsidRPr="00CB626B">
        <w:t>s</w:t>
      </w:r>
      <w:r w:rsidR="00125C95">
        <w:t xml:space="preserve"> in a product.</w:t>
      </w:r>
    </w:p>
    <w:p w14:paraId="13D5F17B" w14:textId="73DE5F97" w:rsidR="00E11379" w:rsidRPr="00E37341" w:rsidRDefault="009555CF" w:rsidP="00BC587F">
      <w:r w:rsidRPr="00CB626B">
        <w:t>International consumer research also reports that consumers are not able to use abstract information such as grams of sugar</w:t>
      </w:r>
      <w:r w:rsidR="00834B4E" w:rsidRPr="00CB626B">
        <w:t>s</w:t>
      </w:r>
      <w:r w:rsidRPr="00CB626B">
        <w:t xml:space="preserve"> listed on a label to evaluate whether a food is high or low in sugar</w:t>
      </w:r>
      <w:r w:rsidR="00834B4E" w:rsidRPr="00CB626B">
        <w:t>s</w:t>
      </w:r>
      <w:r w:rsidRPr="00CB626B">
        <w:t>, and that additional contextual information can assist consumers to make more ac</w:t>
      </w:r>
      <w:r w:rsidR="000F3122" w:rsidRPr="00CB626B">
        <w:t>curate judgements about a food’s</w:t>
      </w:r>
      <w:r w:rsidRPr="00CB626B">
        <w:t xml:space="preserve"> sugar</w:t>
      </w:r>
      <w:r w:rsidR="00834B4E" w:rsidRPr="00CB626B">
        <w:t>s</w:t>
      </w:r>
      <w:r w:rsidRPr="00CB626B">
        <w:t xml:space="preserve"> content. </w:t>
      </w:r>
      <w:r w:rsidR="00C046C7" w:rsidRPr="00CB626B">
        <w:t>The second approach above</w:t>
      </w:r>
      <w:r w:rsidRPr="00CB626B">
        <w:t xml:space="preserve"> proposes to provide contextual information to assist consumers to interpret the a</w:t>
      </w:r>
      <w:r w:rsidR="00125C95">
        <w:t>bstract information on the NIP.</w:t>
      </w:r>
    </w:p>
    <w:p w14:paraId="42C73D21" w14:textId="77777777" w:rsidR="007574D4" w:rsidRPr="00B44104" w:rsidRDefault="009555CF" w:rsidP="00314A5D">
      <w:pPr>
        <w:pStyle w:val="Heading3"/>
      </w:pPr>
      <w:r w:rsidRPr="00B44104">
        <w:t>Current example</w:t>
      </w:r>
      <w:r w:rsidR="00616E49" w:rsidRPr="00B44104">
        <w:t>s</w:t>
      </w:r>
    </w:p>
    <w:p w14:paraId="6E98B0E8" w14:textId="4B101375" w:rsidR="00125FC5" w:rsidRDefault="00125FC5" w:rsidP="00BC587F">
      <w:r>
        <w:t>Some companies in Australia and New Zealand are voluntarily including ‘added sugars’ in the NIP.</w:t>
      </w:r>
    </w:p>
    <w:p w14:paraId="036F8EF9" w14:textId="7ABCE52C" w:rsidR="00CB0EB8" w:rsidRDefault="009555CF" w:rsidP="00BC587F">
      <w:pPr>
        <w:rPr>
          <w:noProof/>
        </w:rPr>
      </w:pPr>
      <w:r w:rsidRPr="00CB626B">
        <w:t xml:space="preserve">The United States </w:t>
      </w:r>
      <w:r w:rsidR="00125FC5">
        <w:t>will</w:t>
      </w:r>
      <w:r w:rsidR="00125FC5" w:rsidRPr="00CB626B">
        <w:t xml:space="preserve"> </w:t>
      </w:r>
      <w:r w:rsidRPr="00CB626B">
        <w:t>implement a version of this option</w:t>
      </w:r>
      <w:r w:rsidR="00E23393">
        <w:t xml:space="preserve"> (see example </w:t>
      </w:r>
      <w:r w:rsidR="00CB0EB8">
        <w:t>below</w:t>
      </w:r>
      <w:r w:rsidR="00E23393">
        <w:t>)</w:t>
      </w:r>
      <w:r w:rsidRPr="00CB626B">
        <w:t xml:space="preserve">. The amount of ‘added sugars’, together with the % DV (daily value), per serving is to be included in the </w:t>
      </w:r>
      <w:r w:rsidR="00125FC5">
        <w:t>United States</w:t>
      </w:r>
      <w:r w:rsidR="00125FC5" w:rsidRPr="00CB626B">
        <w:t xml:space="preserve"> </w:t>
      </w:r>
      <w:r w:rsidRPr="00CB626B">
        <w:t>NIP</w:t>
      </w:r>
      <w:r w:rsidR="00125FC5">
        <w:t xml:space="preserve"> equivalent</w:t>
      </w:r>
      <w:r w:rsidRPr="00CB626B">
        <w:t>. The values are indented underneath total sugars. Th</w:t>
      </w:r>
      <w:r w:rsidR="003D6030" w:rsidRPr="00CB626B">
        <w:t>e development of this approach involved</w:t>
      </w:r>
      <w:r w:rsidRPr="00CB626B">
        <w:t xml:space="preserve"> </w:t>
      </w:r>
      <w:proofErr w:type="gramStart"/>
      <w:r w:rsidRPr="00CB626B">
        <w:t>a number of</w:t>
      </w:r>
      <w:proofErr w:type="gramEnd"/>
      <w:r w:rsidRPr="00CB626B">
        <w:t xml:space="preserve"> pieces of work, including </w:t>
      </w:r>
      <w:r w:rsidR="003D6030" w:rsidRPr="00CB626B">
        <w:t xml:space="preserve">the development of </w:t>
      </w:r>
      <w:r w:rsidRPr="00CB626B">
        <w:t xml:space="preserve">a </w:t>
      </w:r>
      <w:r w:rsidR="005C3C94" w:rsidRPr="00CB626B">
        <w:t xml:space="preserve">definition of added sugars and </w:t>
      </w:r>
      <w:r w:rsidRPr="00CB626B">
        <w:t>monitoring and compliance strategies.</w:t>
      </w:r>
    </w:p>
    <w:p w14:paraId="344DA0CF" w14:textId="12BD4E3F" w:rsidR="00CB0EB8" w:rsidRDefault="00CB0EB8" w:rsidP="00BC587F">
      <w:r>
        <w:rPr>
          <w:noProof/>
        </w:rPr>
        <w:drawing>
          <wp:inline distT="0" distB="0" distL="0" distR="0" wp14:anchorId="47DA4271" wp14:editId="59A61540">
            <wp:extent cx="1510934" cy="2923540"/>
            <wp:effectExtent l="0" t="0" r="0" b="0"/>
            <wp:docPr id="2" name="Picture 2" descr="This is an example of a nutrition facts panel that is required in the United States as the NIP equivalent. It shows the amount of 'total carbohydrates' per serving as an upper heading, with the amount of 'dietary fibre' and 'total sugars' as second headings under this. Further to this a third heading for 'added sugars' per serving together with the perventage daily value is included." title="Pictur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t="945" r="2087"/>
                    <a:stretch/>
                  </pic:blipFill>
                  <pic:spPr bwMode="auto">
                    <a:xfrm>
                      <a:off x="0" y="0"/>
                      <a:ext cx="1516817" cy="2934923"/>
                    </a:xfrm>
                    <a:prstGeom prst="rect">
                      <a:avLst/>
                    </a:prstGeom>
                    <a:ln>
                      <a:noFill/>
                    </a:ln>
                    <a:extLst>
                      <a:ext uri="{53640926-AAD7-44D8-BBD7-CCE9431645EC}">
                        <a14:shadowObscured xmlns:a14="http://schemas.microsoft.com/office/drawing/2010/main"/>
                      </a:ext>
                    </a:extLst>
                  </pic:spPr>
                </pic:pic>
              </a:graphicData>
            </a:graphic>
          </wp:inline>
        </w:drawing>
      </w:r>
    </w:p>
    <w:p w14:paraId="3295152D" w14:textId="31C6F595" w:rsidR="00E23393" w:rsidRPr="00CB626B" w:rsidRDefault="009555CF" w:rsidP="00BC587F">
      <w:r w:rsidRPr="00CB626B">
        <w:t xml:space="preserve">Canada </w:t>
      </w:r>
      <w:r w:rsidR="00125FC5">
        <w:t>will</w:t>
      </w:r>
      <w:r w:rsidRPr="00CB626B">
        <w:t xml:space="preserve"> implement a range of changes to labels, several of which impact on sugars labelling. Declaration of added sugars is not required, but the %DV for total sugars is required in the NIP along with a statement that</w:t>
      </w:r>
      <w:r w:rsidRPr="00166D40">
        <w:t xml:space="preserve"> ‘</w:t>
      </w:r>
      <w:r w:rsidRPr="00CB626B">
        <w:t xml:space="preserve">5% or less is </w:t>
      </w:r>
      <w:r w:rsidRPr="00381011">
        <w:rPr>
          <w:rStyle w:val="Strong"/>
        </w:rPr>
        <w:t>a little</w:t>
      </w:r>
      <w:r w:rsidRPr="00381011">
        <w:rPr>
          <w:bCs/>
        </w:rPr>
        <w:t>,</w:t>
      </w:r>
      <w:r w:rsidR="00381011">
        <w:rPr>
          <w:bCs/>
        </w:rPr>
        <w:t xml:space="preserve"> </w:t>
      </w:r>
      <w:r w:rsidRPr="00CB626B">
        <w:t xml:space="preserve">15% or more is </w:t>
      </w:r>
      <w:r w:rsidRPr="00381011">
        <w:rPr>
          <w:rStyle w:val="Strong"/>
        </w:rPr>
        <w:t>a lot’</w:t>
      </w:r>
      <w:r w:rsidR="00125C95">
        <w:t>.</w:t>
      </w:r>
    </w:p>
    <w:p w14:paraId="0F2CF1ED" w14:textId="77777777" w:rsidR="007574D4" w:rsidRPr="0011775A" w:rsidRDefault="009555CF" w:rsidP="00314A5D">
      <w:pPr>
        <w:pStyle w:val="Heading4"/>
        <w:rPr>
          <w:rStyle w:val="Strong"/>
          <w:b/>
          <w:bCs/>
        </w:rPr>
      </w:pPr>
      <w:r w:rsidRPr="0011775A">
        <w:rPr>
          <w:rStyle w:val="Strong"/>
          <w:b/>
          <w:bCs/>
        </w:rPr>
        <w:t>Note</w:t>
      </w:r>
    </w:p>
    <w:p w14:paraId="3888072B" w14:textId="1B43B2BE" w:rsidR="00AF7DD5" w:rsidRPr="00E37341" w:rsidRDefault="009555CF" w:rsidP="00BC587F">
      <w:r w:rsidRPr="00CB626B">
        <w:t xml:space="preserve">Consideration was given to </w:t>
      </w:r>
      <w:r w:rsidR="00333F52" w:rsidRPr="00CB626B">
        <w:t xml:space="preserve">options </w:t>
      </w:r>
      <w:r w:rsidRPr="00CB626B">
        <w:t xml:space="preserve">which would replace </w:t>
      </w:r>
      <w:r w:rsidR="001A57B3" w:rsidRPr="00CB626B">
        <w:t xml:space="preserve">the </w:t>
      </w:r>
      <w:r w:rsidRPr="00CB626B">
        <w:t xml:space="preserve">current total sugars </w:t>
      </w:r>
      <w:r w:rsidR="009122CD" w:rsidRPr="00CB626B">
        <w:t>declaration</w:t>
      </w:r>
      <w:r w:rsidRPr="00CB626B">
        <w:t xml:space="preserve"> in the NIP with </w:t>
      </w:r>
      <w:r w:rsidR="001A57B3" w:rsidRPr="00CB626B">
        <w:t xml:space="preserve">an </w:t>
      </w:r>
      <w:r w:rsidRPr="00CB626B">
        <w:t>added sugars</w:t>
      </w:r>
      <w:r w:rsidR="001A57B3" w:rsidRPr="00CB626B">
        <w:t xml:space="preserve"> </w:t>
      </w:r>
      <w:r w:rsidR="009122CD" w:rsidRPr="00CB626B">
        <w:t>declaration</w:t>
      </w:r>
      <w:r w:rsidR="009B574B" w:rsidRPr="00CB626B">
        <w:t xml:space="preserve">. </w:t>
      </w:r>
      <w:r w:rsidRPr="00CB626B">
        <w:t xml:space="preserve">However, these were not progressed </w:t>
      </w:r>
      <w:r w:rsidR="00357D67" w:rsidRPr="00CB626B">
        <w:t>to avoid reducing information available to consumers</w:t>
      </w:r>
      <w:r w:rsidRPr="00CB626B">
        <w:t xml:space="preserve">. </w:t>
      </w:r>
      <w:r w:rsidR="001A57B3" w:rsidRPr="00CB626B">
        <w:t xml:space="preserve">As added sugars are a subset of total sugars introducing an added sugars </w:t>
      </w:r>
      <w:r w:rsidR="009122CD" w:rsidRPr="00CB626B">
        <w:t>declaration</w:t>
      </w:r>
      <w:r w:rsidR="001A57B3" w:rsidRPr="00CB626B">
        <w:t xml:space="preserve"> below the total sugars </w:t>
      </w:r>
      <w:r w:rsidR="009122CD" w:rsidRPr="00CB626B">
        <w:t>entry</w:t>
      </w:r>
      <w:r w:rsidR="001A57B3" w:rsidRPr="00CB626B">
        <w:t xml:space="preserve"> in the NIP </w:t>
      </w:r>
      <w:r w:rsidR="009B574B" w:rsidRPr="00CB626B">
        <w:t>would provide context to the added su</w:t>
      </w:r>
      <w:r w:rsidR="001A57B3" w:rsidRPr="006F058A">
        <w:t>gar</w:t>
      </w:r>
      <w:r w:rsidR="00834B4E" w:rsidRPr="00CB626B">
        <w:t>s</w:t>
      </w:r>
      <w:r w:rsidR="001A57B3" w:rsidRPr="006F058A">
        <w:t xml:space="preserve"> information</w:t>
      </w:r>
      <w:r w:rsidR="001A57B3" w:rsidRPr="00CB626B">
        <w:t xml:space="preserve"> and interested consumers may be able</w:t>
      </w:r>
      <w:r w:rsidR="009B574B" w:rsidRPr="00CB626B">
        <w:t xml:space="preserve"> to estimate the proportion of total sugars derived from added sugars. </w:t>
      </w:r>
      <w:r w:rsidR="00200EE7" w:rsidRPr="00CB626B">
        <w:t xml:space="preserve">This is also consistent with the way </w:t>
      </w:r>
      <w:r w:rsidR="00D01EFC">
        <w:t xml:space="preserve">total fats and saturated </w:t>
      </w:r>
      <w:r w:rsidR="00200EE7" w:rsidRPr="00CB626B">
        <w:t>fats are displayed in the NIP.</w:t>
      </w:r>
    </w:p>
    <w:p w14:paraId="11183C63" w14:textId="77777777" w:rsidR="005C3C94" w:rsidRPr="0011775A" w:rsidRDefault="005C3C94" w:rsidP="00314A5D">
      <w:pPr>
        <w:pStyle w:val="Heading3"/>
        <w:rPr>
          <w:rStyle w:val="Strong"/>
          <w:b/>
          <w:bCs/>
        </w:rPr>
      </w:pPr>
      <w:r w:rsidRPr="0011775A">
        <w:rPr>
          <w:rStyle w:val="Strong"/>
          <w:b/>
          <w:bCs/>
        </w:rPr>
        <w:t>Strengths</w:t>
      </w:r>
    </w:p>
    <w:p w14:paraId="69D16852" w14:textId="43208A36" w:rsidR="005C3C94" w:rsidRPr="00E37341" w:rsidRDefault="00DB167A" w:rsidP="00C84941">
      <w:pPr>
        <w:pStyle w:val="Bullets"/>
      </w:pPr>
      <w:r>
        <w:t>Quantifies a food’s</w:t>
      </w:r>
      <w:r w:rsidR="00597FB2">
        <w:t xml:space="preserve"> added sugars content and p</w:t>
      </w:r>
      <w:r w:rsidR="005C3C94" w:rsidRPr="00E37341">
        <w:t>rovides additional information to assist consumers to identify foods containing added sugar</w:t>
      </w:r>
      <w:r w:rsidR="00834B4E" w:rsidRPr="00E37341">
        <w:t>s</w:t>
      </w:r>
      <w:r w:rsidR="005C3C94" w:rsidRPr="00E37341">
        <w:t xml:space="preserve"> and use this information to make informed choices in support of dietary guidelines regarding reducing/limiting </w:t>
      </w:r>
      <w:r w:rsidR="00986F99" w:rsidRPr="00E37341">
        <w:t xml:space="preserve">foods containing </w:t>
      </w:r>
      <w:r w:rsidR="005C3C94" w:rsidRPr="00E37341">
        <w:t>added sugar</w:t>
      </w:r>
      <w:r w:rsidR="009A6422" w:rsidRPr="00E37341">
        <w:t>s</w:t>
      </w:r>
      <w:r w:rsidR="00D35AF0">
        <w:t>.</w:t>
      </w:r>
    </w:p>
    <w:p w14:paraId="219C0122" w14:textId="77777777" w:rsidR="005C3C94" w:rsidRPr="00E37341" w:rsidRDefault="005C3C94" w:rsidP="00C84941">
      <w:pPr>
        <w:pStyle w:val="Bullets"/>
      </w:pPr>
      <w:r w:rsidRPr="00E37341">
        <w:t>The addition of added sugars to the NIP would allow comparisons to be made between food products by consumers.</w:t>
      </w:r>
    </w:p>
    <w:p w14:paraId="78E44C0A" w14:textId="1D3B60F2" w:rsidR="005C3C94" w:rsidRPr="00E37341" w:rsidRDefault="000F3122" w:rsidP="00C84941">
      <w:pPr>
        <w:pStyle w:val="Bullets"/>
      </w:pPr>
      <w:r w:rsidRPr="00E37341">
        <w:t xml:space="preserve">May reduce </w:t>
      </w:r>
      <w:r w:rsidR="005C3C94" w:rsidRPr="00E37341">
        <w:t xml:space="preserve">consumer confusion </w:t>
      </w:r>
      <w:r w:rsidRPr="00E37341">
        <w:t>between</w:t>
      </w:r>
      <w:r w:rsidR="005C3C94" w:rsidRPr="00E37341">
        <w:t xml:space="preserve"> added and total sugars, where consumer understanding is low</w:t>
      </w:r>
      <w:r w:rsidR="00185C24" w:rsidRPr="009E16E4">
        <w:rPr>
          <w:vertAlign w:val="superscript"/>
        </w:rPr>
        <w:footnoteReference w:id="89"/>
      </w:r>
      <w:r w:rsidR="005C3C94" w:rsidRPr="000E6370">
        <w:t>.</w:t>
      </w:r>
    </w:p>
    <w:p w14:paraId="694621E7" w14:textId="00E258B8" w:rsidR="005C3C94" w:rsidRPr="00E37341" w:rsidRDefault="005C3C94" w:rsidP="00C84941">
      <w:pPr>
        <w:pStyle w:val="Bullets"/>
      </w:pPr>
      <w:r w:rsidRPr="00E37341">
        <w:t>If %DI labelling (or other contextual labelling) were implemented in the NIP alongside additional added sugar</w:t>
      </w:r>
      <w:r w:rsidR="00834B4E" w:rsidRPr="00E37341">
        <w:t>s</w:t>
      </w:r>
      <w:r w:rsidRPr="00E37341">
        <w:t xml:space="preserve"> information, consumers may be further able to identify products lower in added sugar</w:t>
      </w:r>
      <w:r w:rsidR="00834B4E" w:rsidRPr="00E37341">
        <w:t>s</w:t>
      </w:r>
      <w:r w:rsidRPr="00E37341">
        <w:t xml:space="preserve"> content without needing to compare products.</w:t>
      </w:r>
    </w:p>
    <w:p w14:paraId="175EE70B" w14:textId="61A0F969" w:rsidR="005C3C94" w:rsidRPr="00E37341" w:rsidRDefault="005C3C94" w:rsidP="00C84941">
      <w:pPr>
        <w:pStyle w:val="Bullets"/>
      </w:pPr>
      <w:r w:rsidRPr="00E37341">
        <w:t>Consumers report having an interest in sugar</w:t>
      </w:r>
      <w:r w:rsidR="00834B4E" w:rsidRPr="00E37341">
        <w:t>s</w:t>
      </w:r>
      <w:r w:rsidRPr="00E37341">
        <w:t xml:space="preserve"> and may be receptive to additional labelling</w:t>
      </w:r>
      <w:r w:rsidR="00185C24" w:rsidRPr="009E16E4">
        <w:rPr>
          <w:vertAlign w:val="superscript"/>
        </w:rPr>
        <w:footnoteReference w:id="90"/>
      </w:r>
      <w:r w:rsidR="00CF2B5D">
        <w:t>.</w:t>
      </w:r>
    </w:p>
    <w:p w14:paraId="545FB468" w14:textId="630C1A17" w:rsidR="00610D8D" w:rsidRDefault="00125FC5" w:rsidP="00C84941">
      <w:pPr>
        <w:pStyle w:val="Bullets"/>
      </w:pPr>
      <w:r w:rsidRPr="00E37341">
        <w:t>Added sugars information is highly valued by consumers</w:t>
      </w:r>
      <w:r w:rsidRPr="009E16E4">
        <w:rPr>
          <w:vertAlign w:val="superscript"/>
        </w:rPr>
        <w:footnoteReference w:id="91"/>
      </w:r>
      <w:r w:rsidR="00CF2B5D">
        <w:t>.</w:t>
      </w:r>
    </w:p>
    <w:p w14:paraId="6251D87E" w14:textId="5E55CC1C" w:rsidR="00CF2B5D" w:rsidRPr="00597FB2" w:rsidRDefault="00CF2B5D" w:rsidP="00C84941">
      <w:pPr>
        <w:pStyle w:val="Bullets"/>
      </w:pPr>
      <w:r>
        <w:rPr>
          <w:lang w:eastAsia="en-GB"/>
        </w:rPr>
        <w:t>Information is available to consumers at point-of-purchase.</w:t>
      </w:r>
    </w:p>
    <w:p w14:paraId="2ED25735" w14:textId="441D83F8" w:rsidR="005C3C94" w:rsidRPr="0011775A" w:rsidRDefault="00D35AF0" w:rsidP="00314A5D">
      <w:pPr>
        <w:pStyle w:val="Heading3"/>
        <w:rPr>
          <w:rStyle w:val="Strong"/>
          <w:b/>
          <w:bCs/>
        </w:rPr>
      </w:pPr>
      <w:r w:rsidRPr="0011775A">
        <w:rPr>
          <w:rStyle w:val="Strong"/>
          <w:b/>
          <w:bCs/>
        </w:rPr>
        <w:t>Weaknesses</w:t>
      </w:r>
    </w:p>
    <w:p w14:paraId="4FD17C11" w14:textId="635A2045" w:rsidR="00DA18F1" w:rsidRPr="00DA18F1" w:rsidRDefault="00DA18F1" w:rsidP="00C84941">
      <w:pPr>
        <w:pStyle w:val="Bullets"/>
      </w:pPr>
      <w:r w:rsidRPr="00DA18F1">
        <w:t>Impact on industry to implement additional labelling, including cost associated with label changes and use of additional space on package.</w:t>
      </w:r>
    </w:p>
    <w:p w14:paraId="79840D8A" w14:textId="45481CD5" w:rsidR="005C3C94" w:rsidRPr="00E37341" w:rsidRDefault="00125FC5" w:rsidP="00C84941">
      <w:pPr>
        <w:pStyle w:val="Bullets"/>
      </w:pPr>
      <w:r w:rsidRPr="00E37341">
        <w:t>There may be t</w:t>
      </w:r>
      <w:r w:rsidR="005C3C94" w:rsidRPr="00E37341">
        <w:t>echnical issues of defining sugars-based ingredients</w:t>
      </w:r>
      <w:r w:rsidR="0068033E">
        <w:t xml:space="preserve"> and quantifying </w:t>
      </w:r>
      <w:r w:rsidR="005C3C94" w:rsidRPr="00E37341">
        <w:t>added sugars</w:t>
      </w:r>
      <w:r w:rsidRPr="00E37341">
        <w:t>, however, international examples can provide guidance</w:t>
      </w:r>
      <w:r w:rsidRPr="009E16E4">
        <w:rPr>
          <w:vertAlign w:val="superscript"/>
        </w:rPr>
        <w:footnoteReference w:id="92"/>
      </w:r>
      <w:r w:rsidR="00597FB2">
        <w:t>.</w:t>
      </w:r>
    </w:p>
    <w:p w14:paraId="5A086CA7" w14:textId="42BC855E" w:rsidR="005C3C94" w:rsidRPr="00E37341" w:rsidRDefault="0068033E" w:rsidP="00C84941">
      <w:pPr>
        <w:pStyle w:val="Bullets"/>
      </w:pPr>
      <w:r>
        <w:t>May p</w:t>
      </w:r>
      <w:r w:rsidR="005C3C94" w:rsidRPr="00E37341">
        <w:t xml:space="preserve">resent challenges for monitoring, </w:t>
      </w:r>
      <w:proofErr w:type="gramStart"/>
      <w:r w:rsidR="005C3C94" w:rsidRPr="00E37341">
        <w:t>enforcement</w:t>
      </w:r>
      <w:proofErr w:type="gramEnd"/>
      <w:r w:rsidR="005C3C94" w:rsidRPr="00E37341">
        <w:t xml:space="preserve"> and compliance due to </w:t>
      </w:r>
      <w:r w:rsidR="00597FB2">
        <w:t>lack of</w:t>
      </w:r>
      <w:r w:rsidR="005C3C94" w:rsidRPr="00E37341">
        <w:t xml:space="preserve"> analytical methods</w:t>
      </w:r>
      <w:r w:rsidR="00597FB2">
        <w:t xml:space="preserve"> to quantify a foods’ added sugars content</w:t>
      </w:r>
      <w:r w:rsidR="005C3C94" w:rsidRPr="00E37341">
        <w:t>, and difficulties associated with a supply</w:t>
      </w:r>
      <w:r w:rsidR="00081711" w:rsidRPr="00E37341">
        <w:noBreakHyphen/>
      </w:r>
      <w:r w:rsidR="005C3C94" w:rsidRPr="00E37341">
        <w:t>chain or recipe-based approach.</w:t>
      </w:r>
      <w:r w:rsidR="00E23393">
        <w:t xml:space="preserve"> However, international exa</w:t>
      </w:r>
      <w:r w:rsidR="00125C95">
        <w:t>mples can provide guidance.</w:t>
      </w:r>
    </w:p>
    <w:p w14:paraId="145EF3AB" w14:textId="31C208A5" w:rsidR="00125FC5" w:rsidRPr="00E37341" w:rsidRDefault="00125FC5" w:rsidP="00C84941">
      <w:pPr>
        <w:pStyle w:val="Bullets"/>
      </w:pPr>
      <w:r w:rsidRPr="00E37341">
        <w:t xml:space="preserve">Separating total and added sugars on a food label was </w:t>
      </w:r>
      <w:r w:rsidR="00DB167A">
        <w:t xml:space="preserve">considered and </w:t>
      </w:r>
      <w:r w:rsidRPr="00E37341">
        <w:t>not recommended by a joint FAO/WHO Update on Carbohydrates</w:t>
      </w:r>
      <w:r w:rsidRPr="009E16E4">
        <w:rPr>
          <w:vertAlign w:val="superscript"/>
        </w:rPr>
        <w:footnoteReference w:id="93"/>
      </w:r>
      <w:r w:rsidR="00597FB2">
        <w:t>.</w:t>
      </w:r>
    </w:p>
    <w:p w14:paraId="103D36BC" w14:textId="0A02D5E5" w:rsidR="005C3C94" w:rsidRPr="000A796F" w:rsidRDefault="005C3C94" w:rsidP="00C84941">
      <w:pPr>
        <w:pStyle w:val="Bullets"/>
      </w:pPr>
      <w:r w:rsidRPr="000A796F">
        <w:t>HIGH/MEDIUM/LOW-type advice adds complexity given the HSR system is the overall Australian and New Zealand front-of-pack qualitative advice system.</w:t>
      </w:r>
    </w:p>
    <w:p w14:paraId="2851FA6B" w14:textId="3F506A9D" w:rsidR="00320C55" w:rsidRDefault="00DB167A" w:rsidP="00C84941">
      <w:pPr>
        <w:pStyle w:val="Bullets"/>
      </w:pPr>
      <w:r>
        <w:t>Contextual</w:t>
      </w:r>
      <w:r w:rsidR="005C3C94" w:rsidRPr="000A796F">
        <w:t xml:space="preserve"> advice on only one nutrient in the NIP (for example HIGH/MEDIUM/LOW</w:t>
      </w:r>
      <w:r w:rsidR="00320C55" w:rsidRPr="00320C55">
        <w:t xml:space="preserve"> </w:t>
      </w:r>
      <w:r w:rsidR="00320C55">
        <w:t xml:space="preserve">for </w:t>
      </w:r>
      <w:r w:rsidR="00320C55" w:rsidRPr="000A796F">
        <w:t>added sugars</w:t>
      </w:r>
      <w:r w:rsidR="00320C55">
        <w:t xml:space="preserve"> </w:t>
      </w:r>
      <w:r w:rsidR="005C3C94" w:rsidRPr="000A796F">
        <w:t>without including other negative nutrients – saturated fat and s</w:t>
      </w:r>
      <w:r w:rsidR="00A141AE">
        <w:t>odium</w:t>
      </w:r>
      <w:r w:rsidR="005C3C94" w:rsidRPr="000A796F">
        <w:t xml:space="preserve">) could imply </w:t>
      </w:r>
      <w:r w:rsidR="00320C55">
        <w:t xml:space="preserve">added </w:t>
      </w:r>
      <w:r w:rsidR="005C3C94" w:rsidRPr="000A796F">
        <w:t>sugar</w:t>
      </w:r>
      <w:r w:rsidR="00834B4E" w:rsidRPr="000A796F">
        <w:t>s are</w:t>
      </w:r>
      <w:r w:rsidR="005C3C94" w:rsidRPr="000A796F">
        <w:t>a more concerning nutrient which is inconsiste</w:t>
      </w:r>
      <w:r w:rsidR="00320C55">
        <w:t>nt with the dietary guidelines.</w:t>
      </w:r>
    </w:p>
    <w:p w14:paraId="471EAEAD" w14:textId="55DD5D52" w:rsidR="005C3C94" w:rsidRPr="000A796F" w:rsidRDefault="005C3C94" w:rsidP="00C84941">
      <w:pPr>
        <w:pStyle w:val="Bullets"/>
      </w:pPr>
      <w:r w:rsidRPr="000A796F">
        <w:t xml:space="preserve">May lead some consumers to place too much emphasis on </w:t>
      </w:r>
      <w:r w:rsidR="00320C55">
        <w:t xml:space="preserve">added </w:t>
      </w:r>
      <w:r w:rsidRPr="000A796F">
        <w:t>sugar</w:t>
      </w:r>
      <w:r w:rsidR="00834B4E" w:rsidRPr="000A796F">
        <w:t>s</w:t>
      </w:r>
      <w:r w:rsidRPr="000A796F">
        <w:t>, resulting in less accurate evaluations of a food’s overall healthiness and may have unintended consequences for intakes of other nutrients and reformulation</w:t>
      </w:r>
      <w:r w:rsidR="00185C24" w:rsidRPr="00696D94">
        <w:rPr>
          <w:vertAlign w:val="superscript"/>
        </w:rPr>
        <w:footnoteReference w:id="94"/>
      </w:r>
      <w:r w:rsidR="00597FB2">
        <w:t>.</w:t>
      </w:r>
    </w:p>
    <w:p w14:paraId="03A277A4" w14:textId="6EBA2F72" w:rsidR="00125FC5" w:rsidRDefault="00125FC5" w:rsidP="00C84941">
      <w:pPr>
        <w:pStyle w:val="Bullets"/>
      </w:pPr>
      <w:r w:rsidRPr="000A796F">
        <w:t>May cause confusion with some consumers as there is evidence that an additional line in the NIP with added sugar content may cause consumers to over-estimate the total sugars in the product</w:t>
      </w:r>
      <w:r w:rsidRPr="00696D94">
        <w:rPr>
          <w:vertAlign w:val="superscript"/>
        </w:rPr>
        <w:footnoteReference w:id="95"/>
      </w:r>
      <w:r w:rsidR="00597FB2" w:rsidRPr="004F13AA">
        <w:t>,</w:t>
      </w:r>
      <w:r w:rsidRPr="000A796F">
        <w:t xml:space="preserve"> however, this potential can be reduced through label design</w:t>
      </w:r>
      <w:r w:rsidRPr="00696D94">
        <w:rPr>
          <w:vertAlign w:val="superscript"/>
        </w:rPr>
        <w:footnoteReference w:id="96"/>
      </w:r>
      <w:r w:rsidR="00597FB2">
        <w:t>.</w:t>
      </w:r>
    </w:p>
    <w:p w14:paraId="6C122BA7" w14:textId="1CC20E15" w:rsidR="006357F4" w:rsidRPr="00E6267B" w:rsidRDefault="006357F4" w:rsidP="00314A5D">
      <w:pPr>
        <w:pStyle w:val="Heading2"/>
      </w:pPr>
      <w:bookmarkStart w:id="170" w:name="_Toc6323613"/>
      <w:r w:rsidRPr="00E6267B">
        <w:t xml:space="preserve">Option </w:t>
      </w:r>
      <w:r w:rsidR="005E2084" w:rsidRPr="00E6267B">
        <w:t>5</w:t>
      </w:r>
      <w:r w:rsidRPr="00E6267B">
        <w:t>: Advisory labels</w:t>
      </w:r>
      <w:r w:rsidR="007338F0" w:rsidRPr="00E6267B">
        <w:t xml:space="preserve"> for foods high in added </w:t>
      </w:r>
      <w:proofErr w:type="gramStart"/>
      <w:r w:rsidR="007338F0" w:rsidRPr="00E6267B">
        <w:t>sugar</w:t>
      </w:r>
      <w:r w:rsidR="009A6422" w:rsidRPr="00E6267B">
        <w:t>s</w:t>
      </w:r>
      <w:bookmarkEnd w:id="170"/>
      <w:proofErr w:type="gramEnd"/>
    </w:p>
    <w:p w14:paraId="1265013F" w14:textId="77777777" w:rsidR="007574D4" w:rsidRPr="00B44104" w:rsidRDefault="001E3DA4" w:rsidP="00314A5D">
      <w:pPr>
        <w:pStyle w:val="Heading3"/>
      </w:pPr>
      <w:r w:rsidRPr="00B44104">
        <w:t>Description</w:t>
      </w:r>
    </w:p>
    <w:p w14:paraId="6A96D783" w14:textId="754926DE" w:rsidR="001E3DA4" w:rsidRPr="000A796F" w:rsidRDefault="001E3DA4" w:rsidP="00BC587F">
      <w:r w:rsidRPr="00CB626B">
        <w:t xml:space="preserve">This </w:t>
      </w:r>
      <w:r w:rsidR="00333F52" w:rsidRPr="00CB626B">
        <w:t xml:space="preserve">option </w:t>
      </w:r>
      <w:r w:rsidRPr="00CB626B">
        <w:t xml:space="preserve">proposes to place advisory labels on foods that exceed a predetermined threshold for added sugars. The advisory labels would indicate that the food is high in added </w:t>
      </w:r>
      <w:proofErr w:type="gramStart"/>
      <w:r w:rsidRPr="00CB626B">
        <w:t>sugar</w:t>
      </w:r>
      <w:r w:rsidR="0014461A" w:rsidRPr="00CB626B">
        <w:t>s</w:t>
      </w:r>
      <w:r w:rsidRPr="00CB626B">
        <w:t>, and</w:t>
      </w:r>
      <w:proofErr w:type="gramEnd"/>
      <w:r w:rsidR="00DB167A">
        <w:t xml:space="preserve"> could also</w:t>
      </w:r>
      <w:r w:rsidRPr="00CB626B">
        <w:t xml:space="preserve"> include advice to consumers on the negative health consequences of consuming too much added sugar</w:t>
      </w:r>
      <w:r w:rsidR="0014461A" w:rsidRPr="00CB626B">
        <w:t>s</w:t>
      </w:r>
      <w:r w:rsidRPr="00CB626B">
        <w:t>.</w:t>
      </w:r>
      <w:r w:rsidR="00957A12" w:rsidRPr="00CB626B">
        <w:t xml:space="preserve"> The threshold for requiring a food label to carry an adv</w:t>
      </w:r>
      <w:r w:rsidR="001242AA" w:rsidRPr="00CB626B">
        <w:t>isory label would be determined</w:t>
      </w:r>
      <w:r w:rsidR="00680908" w:rsidRPr="00CB626B">
        <w:t xml:space="preserve"> during the</w:t>
      </w:r>
      <w:r w:rsidR="00D35AF0">
        <w:t xml:space="preserve"> implementation of this option.</w:t>
      </w:r>
    </w:p>
    <w:p w14:paraId="43241448" w14:textId="04D957B9" w:rsidR="007338F0" w:rsidRPr="000A796F" w:rsidRDefault="001E3DA4" w:rsidP="00BC587F">
      <w:r w:rsidRPr="00CB626B">
        <w:t>This option aims to address the policy issue by clearly identifying foods which are high in added sugars, enabling consumers to make informed choices in relation to the recommendations in the dietary guideli</w:t>
      </w:r>
      <w:r w:rsidR="00185C24" w:rsidRPr="00CB626B">
        <w:t xml:space="preserve">nes, which recommend limiting consumption of </w:t>
      </w:r>
      <w:r w:rsidR="00125C95">
        <w:t>foods containing added sugars.</w:t>
      </w:r>
    </w:p>
    <w:p w14:paraId="5A2AE872" w14:textId="77777777" w:rsidR="007338F0" w:rsidRPr="00CB626B" w:rsidRDefault="007338F0" w:rsidP="00BC587F">
      <w:r w:rsidRPr="00CB626B">
        <w:t>There are two potential approaches for this option:</w:t>
      </w:r>
    </w:p>
    <w:p w14:paraId="3B243289" w14:textId="17D182CC" w:rsidR="007338F0" w:rsidRPr="00CB626B" w:rsidRDefault="00BE303A" w:rsidP="00C84941">
      <w:pPr>
        <w:pStyle w:val="Bullets"/>
      </w:pPr>
      <w:r w:rsidRPr="00D35AF0">
        <w:rPr>
          <w:rStyle w:val="Emphasis"/>
        </w:rPr>
        <w:t>Shape or symbol</w:t>
      </w:r>
      <w:r w:rsidR="00021564" w:rsidRPr="00D35AF0">
        <w:rPr>
          <w:rStyle w:val="Emphasis"/>
        </w:rPr>
        <w:t>:</w:t>
      </w:r>
      <w:r w:rsidR="00DB3BF5" w:rsidRPr="00DB3BF5">
        <w:t xml:space="preserve"> </w:t>
      </w:r>
      <w:r w:rsidR="007338F0" w:rsidRPr="00CB626B">
        <w:t>Use of a particular shape or symbol (</w:t>
      </w:r>
      <w:proofErr w:type="gramStart"/>
      <w:r w:rsidR="007338F0" w:rsidRPr="00CB626B">
        <w:t>e.g.</w:t>
      </w:r>
      <w:proofErr w:type="gramEnd"/>
      <w:r w:rsidR="007338F0" w:rsidRPr="00CB626B">
        <w:t xml:space="preserve"> stop sign, give way sign, arrows, exclamation mark) accompanied with text such as ‘high in </w:t>
      </w:r>
      <w:r w:rsidR="0014461A" w:rsidRPr="00CB626B">
        <w:t xml:space="preserve">added </w:t>
      </w:r>
      <w:r w:rsidR="007338F0" w:rsidRPr="00CB626B">
        <w:t>sugar</w:t>
      </w:r>
      <w:r w:rsidR="0014461A" w:rsidRPr="00CB626B">
        <w:t>s</w:t>
      </w:r>
      <w:r w:rsidR="007338F0" w:rsidRPr="00CB626B">
        <w:t xml:space="preserve">’ </w:t>
      </w:r>
      <w:r w:rsidR="00185C24" w:rsidRPr="00CB626B">
        <w:t xml:space="preserve">which </w:t>
      </w:r>
      <w:r w:rsidR="007338F0" w:rsidRPr="00CB626B">
        <w:t>would be required for foods that have a</w:t>
      </w:r>
      <w:r w:rsidR="009F5D70">
        <w:t xml:space="preserve">n added </w:t>
      </w:r>
      <w:r w:rsidR="0014461A" w:rsidRPr="00CB626B">
        <w:t>sugar</w:t>
      </w:r>
      <w:r w:rsidR="009F5D70">
        <w:t xml:space="preserve">s </w:t>
      </w:r>
      <w:r w:rsidR="007338F0" w:rsidRPr="00CB626B">
        <w:t>content th</w:t>
      </w:r>
      <w:r w:rsidR="00125C95">
        <w:t>at exceeds a certain threshold.</w:t>
      </w:r>
    </w:p>
    <w:p w14:paraId="5D39DCCC" w14:textId="04B03B81" w:rsidR="007338F0" w:rsidRPr="000A796F" w:rsidRDefault="00BE303A" w:rsidP="00C84941">
      <w:pPr>
        <w:pStyle w:val="Bullets"/>
      </w:pPr>
      <w:r w:rsidRPr="00D35AF0">
        <w:rPr>
          <w:rStyle w:val="Emphasis"/>
        </w:rPr>
        <w:t>Text box</w:t>
      </w:r>
      <w:r w:rsidR="00021564" w:rsidRPr="00D35AF0">
        <w:rPr>
          <w:rStyle w:val="Emphasis"/>
        </w:rPr>
        <w:t>:</w:t>
      </w:r>
      <w:r w:rsidR="00DD5445">
        <w:t xml:space="preserve"> </w:t>
      </w:r>
      <w:r w:rsidR="007338F0" w:rsidRPr="00CB626B">
        <w:t>A warning text box with a specific message, such as ‘this product is high in added sugar</w:t>
      </w:r>
      <w:r w:rsidR="0014461A" w:rsidRPr="00CB626B">
        <w:t>s</w:t>
      </w:r>
      <w:r w:rsidR="007338F0" w:rsidRPr="00CB626B">
        <w:t>, which increases the risk of dental caries’.</w:t>
      </w:r>
      <w:r w:rsidR="00185C24" w:rsidRPr="00CB626B">
        <w:t xml:space="preserve"> This text box would be required for foods that have a</w:t>
      </w:r>
      <w:r w:rsidR="0014461A" w:rsidRPr="00CB626B">
        <w:t xml:space="preserve">n added </w:t>
      </w:r>
      <w:r w:rsidR="00185C24" w:rsidRPr="00CB626B">
        <w:t>sugar</w:t>
      </w:r>
      <w:r w:rsidR="0014461A" w:rsidRPr="00CB626B">
        <w:t>s</w:t>
      </w:r>
      <w:r w:rsidR="00185C24" w:rsidRPr="00CB626B">
        <w:t xml:space="preserve"> content that exceeds a certain threshold</w:t>
      </w:r>
      <w:r w:rsidR="009F5D70">
        <w:t>.</w:t>
      </w:r>
    </w:p>
    <w:p w14:paraId="7A315141" w14:textId="5B9737A0" w:rsidR="001E3DA4" w:rsidRPr="00125C95" w:rsidRDefault="00AE092E" w:rsidP="00BC587F">
      <w:r w:rsidRPr="00CB626B">
        <w:t>Placement of the advisory label (</w:t>
      </w:r>
      <w:proofErr w:type="gramStart"/>
      <w:r w:rsidRPr="00CB626B">
        <w:t>e.g.</w:t>
      </w:r>
      <w:proofErr w:type="gramEnd"/>
      <w:r w:rsidRPr="00CB626B">
        <w:t xml:space="preserve"> whether it would be prominently on the front of pack</w:t>
      </w:r>
      <w:r w:rsidR="00185C24" w:rsidRPr="00CB626B">
        <w:t xml:space="preserve"> or elsewhere</w:t>
      </w:r>
      <w:r w:rsidRPr="00CB626B">
        <w:t>)</w:t>
      </w:r>
      <w:r w:rsidR="00BB548A">
        <w:t xml:space="preserve"> and the specific language to be used </w:t>
      </w:r>
      <w:r w:rsidRPr="00CB626B">
        <w:t>would be addressed as part of implementation considerations.</w:t>
      </w:r>
    </w:p>
    <w:p w14:paraId="61CB2CAC" w14:textId="77777777" w:rsidR="007574D4" w:rsidRPr="0011775A" w:rsidRDefault="006060CB" w:rsidP="00314A5D">
      <w:pPr>
        <w:pStyle w:val="Heading3"/>
        <w:rPr>
          <w:rStyle w:val="Strong"/>
          <w:b/>
          <w:bCs/>
        </w:rPr>
      </w:pPr>
      <w:r w:rsidRPr="0011775A">
        <w:rPr>
          <w:rStyle w:val="Strong"/>
          <w:b/>
          <w:bCs/>
        </w:rPr>
        <w:t>Rationale</w:t>
      </w:r>
    </w:p>
    <w:p w14:paraId="0B8EF304" w14:textId="79B2F76E" w:rsidR="007005FC" w:rsidRPr="000A796F" w:rsidRDefault="00B03D7F" w:rsidP="00BC587F">
      <w:r w:rsidRPr="00CB626B">
        <w:t>International consumer research</w:t>
      </w:r>
      <w:r w:rsidR="00185C24" w:rsidRPr="00CB626B">
        <w:rPr>
          <w:rStyle w:val="FootnoteReference"/>
        </w:rPr>
        <w:footnoteReference w:id="97"/>
      </w:r>
      <w:r w:rsidRPr="00CB626B">
        <w:t xml:space="preserve"> reports that consumers are not able to use abstract information, such as grams of sugar</w:t>
      </w:r>
      <w:r w:rsidR="0014461A" w:rsidRPr="00CB626B">
        <w:t>s</w:t>
      </w:r>
      <w:r w:rsidRPr="00CB626B">
        <w:t xml:space="preserve"> listed on a label, to evaluate whether a food is high or low in sugar</w:t>
      </w:r>
      <w:r w:rsidR="0014461A" w:rsidRPr="00CB626B">
        <w:t>s</w:t>
      </w:r>
      <w:r w:rsidRPr="00CB626B">
        <w:t>, and that additional contextual information can assist consumers to make more accurate judgements about a foods’ sugar</w:t>
      </w:r>
      <w:r w:rsidR="0014461A" w:rsidRPr="00CB626B">
        <w:t>s</w:t>
      </w:r>
      <w:r w:rsidRPr="00CB626B">
        <w:t xml:space="preserve"> content. This option proposes to overcome the need for consumers to evaluate whether a food is high or low in sugar</w:t>
      </w:r>
      <w:r w:rsidR="0014461A" w:rsidRPr="00CB626B">
        <w:t>s</w:t>
      </w:r>
      <w:r w:rsidRPr="00CB626B">
        <w:t xml:space="preserve"> by providing consumers with clear and simple information to identify foods which are high in added sugar</w:t>
      </w:r>
      <w:r w:rsidR="0014461A" w:rsidRPr="00CB626B">
        <w:t>s</w:t>
      </w:r>
      <w:r w:rsidR="00125C95">
        <w:t>.</w:t>
      </w:r>
    </w:p>
    <w:p w14:paraId="2129BBF3" w14:textId="77777777" w:rsidR="007574D4" w:rsidRPr="00B44104" w:rsidRDefault="001E3DA4" w:rsidP="00314A5D">
      <w:pPr>
        <w:pStyle w:val="Heading3"/>
      </w:pPr>
      <w:r w:rsidRPr="00B44104">
        <w:t>Current examples</w:t>
      </w:r>
    </w:p>
    <w:p w14:paraId="433FBEBE" w14:textId="6674929F" w:rsidR="001E3DA4" w:rsidRPr="000A796F" w:rsidRDefault="001E3DA4" w:rsidP="00BC587F">
      <w:r w:rsidRPr="00CB626B">
        <w:t>There are currently no advisory labels used in Australia or New</w:t>
      </w:r>
      <w:r w:rsidR="00081711">
        <w:t> </w:t>
      </w:r>
      <w:r w:rsidRPr="00CB626B">
        <w:t xml:space="preserve">Zealand on food packaging to indicate that a product is high in </w:t>
      </w:r>
      <w:r w:rsidR="001D4AF5" w:rsidRPr="00CB626B">
        <w:t xml:space="preserve">added </w:t>
      </w:r>
      <w:r w:rsidRPr="00CB626B">
        <w:t>sugar</w:t>
      </w:r>
      <w:r w:rsidR="0014461A" w:rsidRPr="00CB626B">
        <w:t>s</w:t>
      </w:r>
      <w:r w:rsidR="005E6C7F">
        <w:t xml:space="preserve">. </w:t>
      </w:r>
      <w:r w:rsidRPr="00CB626B">
        <w:t xml:space="preserve">However, there are other warning and advisory statements required on </w:t>
      </w:r>
      <w:proofErr w:type="gramStart"/>
      <w:r w:rsidRPr="00CB626B">
        <w:t>particular foods</w:t>
      </w:r>
      <w:proofErr w:type="gramEnd"/>
      <w:r w:rsidRPr="00CB626B">
        <w:t xml:space="preserve"> under </w:t>
      </w:r>
      <w:r w:rsidRPr="00D35AF0">
        <w:rPr>
          <w:rStyle w:val="Emphasis"/>
        </w:rPr>
        <w:t>Standard 1.2.3</w:t>
      </w:r>
      <w:r w:rsidR="003D6030" w:rsidRPr="00D35AF0">
        <w:rPr>
          <w:rStyle w:val="Emphasis"/>
        </w:rPr>
        <w:t xml:space="preserve"> – </w:t>
      </w:r>
      <w:r w:rsidR="00615A1F" w:rsidRPr="00D35AF0">
        <w:rPr>
          <w:rStyle w:val="Emphasis"/>
        </w:rPr>
        <w:t>Information requirements – warning statements, advisory statements and declarations</w:t>
      </w:r>
      <w:r w:rsidR="00615A1F" w:rsidRPr="00CB626B">
        <w:t xml:space="preserve"> </w:t>
      </w:r>
      <w:r w:rsidRPr="00CB626B">
        <w:t xml:space="preserve">in the Code. For example, mandatory warning statements are required for royal jelly when presented as a food or a food containing royal jelly and </w:t>
      </w:r>
      <w:r w:rsidR="00081711">
        <w:t xml:space="preserve">specific wording must be used. </w:t>
      </w:r>
      <w:r w:rsidR="00FC0406" w:rsidRPr="00CB626B">
        <w:t>The wording for a</w:t>
      </w:r>
      <w:r w:rsidRPr="00CB626B">
        <w:t xml:space="preserve">dvisory </w:t>
      </w:r>
      <w:r w:rsidR="00615A1F" w:rsidRPr="00CB626B">
        <w:t xml:space="preserve">statements </w:t>
      </w:r>
      <w:r w:rsidR="00FC0406" w:rsidRPr="00CB626B">
        <w:t xml:space="preserve">is not </w:t>
      </w:r>
      <w:r w:rsidR="004A2EC9" w:rsidRPr="00CB626B">
        <w:t>prescribed</w:t>
      </w:r>
      <w:r w:rsidRPr="00CB626B">
        <w:t xml:space="preserve">. </w:t>
      </w:r>
      <w:r w:rsidR="00615A1F" w:rsidRPr="00CB626B">
        <w:t xml:space="preserve">For </w:t>
      </w:r>
      <w:proofErr w:type="gramStart"/>
      <w:r w:rsidR="00615A1F" w:rsidRPr="00CB626B">
        <w:t>example</w:t>
      </w:r>
      <w:proofErr w:type="gramEnd"/>
      <w:r w:rsidR="00615A1F" w:rsidRPr="00CB626B">
        <w:t xml:space="preserve"> m</w:t>
      </w:r>
      <w:r w:rsidRPr="00CB626B">
        <w:t xml:space="preserve">andatory advisory statements are required for foods containing polyols and polydextrose with a statement </w:t>
      </w:r>
      <w:r w:rsidRPr="00D35AF0">
        <w:rPr>
          <w:rStyle w:val="Emphasis"/>
        </w:rPr>
        <w:t xml:space="preserve">to the effect that excess consumption </w:t>
      </w:r>
      <w:r w:rsidR="00DB167A" w:rsidRPr="00D35AF0">
        <w:rPr>
          <w:rStyle w:val="Emphasis"/>
        </w:rPr>
        <w:t>may</w:t>
      </w:r>
      <w:r w:rsidRPr="00D35AF0">
        <w:rPr>
          <w:rStyle w:val="Emphasis"/>
        </w:rPr>
        <w:t xml:space="preserve"> have a laxative effect</w:t>
      </w:r>
      <w:r w:rsidRPr="00125C95">
        <w:t>.</w:t>
      </w:r>
    </w:p>
    <w:p w14:paraId="4080AB0A" w14:textId="6A5C9A44" w:rsidR="005C3C94" w:rsidRPr="000A796F" w:rsidRDefault="001E3DA4" w:rsidP="00BC587F">
      <w:r w:rsidRPr="00CB626B">
        <w:t>In June 2016 Chile introduced regulation for solid foods with 10 grams or more of sugar</w:t>
      </w:r>
      <w:r w:rsidR="0014461A" w:rsidRPr="00CB626B">
        <w:t>s</w:t>
      </w:r>
      <w:r w:rsidRPr="00CB626B">
        <w:t xml:space="preserve"> per </w:t>
      </w:r>
      <w:r w:rsidR="00BB548A" w:rsidRPr="00CB626B">
        <w:t>100</w:t>
      </w:r>
      <w:r w:rsidR="00BB548A">
        <w:t> </w:t>
      </w:r>
      <w:r w:rsidRPr="00CB626B">
        <w:t>grams to include a black label with large letters with a warning fact, such as “High in sugar”. Canada is currently considering introducing mandatory advisory labelling for foods</w:t>
      </w:r>
      <w:r w:rsidR="0014461A" w:rsidRPr="00CB626B">
        <w:t xml:space="preserve"> high in sugars</w:t>
      </w:r>
      <w:r w:rsidRPr="00CB626B">
        <w:t>, which would involve “high in sugar</w:t>
      </w:r>
      <w:r w:rsidR="0014461A" w:rsidRPr="00CB626B">
        <w:t>s</w:t>
      </w:r>
      <w:r w:rsidRPr="00CB626B">
        <w:t>” front of pack messaging.</w:t>
      </w:r>
    </w:p>
    <w:p w14:paraId="445DCDCE" w14:textId="77777777" w:rsidR="005C3C94" w:rsidRPr="006456F5" w:rsidRDefault="005C3C94" w:rsidP="00314A5D">
      <w:pPr>
        <w:pStyle w:val="Heading3"/>
        <w:rPr>
          <w:rStyle w:val="Strong"/>
          <w:b/>
          <w:bCs/>
        </w:rPr>
      </w:pPr>
      <w:r w:rsidRPr="006456F5">
        <w:rPr>
          <w:rStyle w:val="Strong"/>
          <w:b/>
          <w:bCs/>
        </w:rPr>
        <w:t>Strengths</w:t>
      </w:r>
    </w:p>
    <w:p w14:paraId="38B293F1" w14:textId="20CFDF70" w:rsidR="00597FB2" w:rsidRPr="000A796F" w:rsidRDefault="00597FB2" w:rsidP="00C84941">
      <w:pPr>
        <w:pStyle w:val="Bullets"/>
      </w:pPr>
      <w:r w:rsidRPr="000A796F">
        <w:t>Overcomes the problem that consumers</w:t>
      </w:r>
      <w:r w:rsidR="00BB548A">
        <w:t xml:space="preserve"> are</w:t>
      </w:r>
      <w:r w:rsidRPr="000A796F">
        <w:t xml:space="preserve"> generally </w:t>
      </w:r>
      <w:r w:rsidR="00BB548A">
        <w:t>un</w:t>
      </w:r>
      <w:r w:rsidRPr="000A796F">
        <w:t>able to use abstract information such as grams of sugars listed on a label (such as the NIP) to meaningfully evaluate whether a food is high or low in sugars.</w:t>
      </w:r>
      <w:r>
        <w:t xml:space="preserve"> P</w:t>
      </w:r>
      <w:r w:rsidRPr="000A796F">
        <w:t>rovides recognisable guidance at the potential point of purchase or consumpti</w:t>
      </w:r>
      <w:r w:rsidR="00696D94">
        <w:t>on to support informed choices.</w:t>
      </w:r>
    </w:p>
    <w:p w14:paraId="5DAD1ECB" w14:textId="0B16BB70" w:rsidR="005C3C94" w:rsidRPr="000A796F" w:rsidRDefault="005C3C94" w:rsidP="00C84941">
      <w:pPr>
        <w:pStyle w:val="Bullets"/>
      </w:pPr>
      <w:r w:rsidRPr="000A796F">
        <w:t>Specific shapes and symbols (such as a stop sign) are already meaningful to consumers and do not require an explanation for consumers to understand</w:t>
      </w:r>
      <w:r w:rsidRPr="00696D94">
        <w:rPr>
          <w:vertAlign w:val="superscript"/>
        </w:rPr>
        <w:footnoteReference w:id="98"/>
      </w:r>
      <w:r w:rsidR="00597FB2" w:rsidRPr="00696D94">
        <w:rPr>
          <w:vertAlign w:val="superscript"/>
        </w:rPr>
        <w:t>,</w:t>
      </w:r>
      <w:r w:rsidRPr="00696D94">
        <w:rPr>
          <w:vertAlign w:val="superscript"/>
        </w:rPr>
        <w:footnoteReference w:id="99"/>
      </w:r>
      <w:r w:rsidRPr="000A796F">
        <w:t>.</w:t>
      </w:r>
    </w:p>
    <w:p w14:paraId="24400A43" w14:textId="024E2A60" w:rsidR="005C3C94" w:rsidRPr="000A796F" w:rsidRDefault="005E3177" w:rsidP="00C84941">
      <w:pPr>
        <w:pStyle w:val="Bullets"/>
      </w:pPr>
      <w:r w:rsidRPr="000A796F">
        <w:t>The simplified information is likely to be understood by individuals</w:t>
      </w:r>
      <w:r w:rsidR="00DB167A">
        <w:t xml:space="preserve"> with poor literacy or numeracy</w:t>
      </w:r>
      <w:r w:rsidRPr="000A796F">
        <w:t>, including children.</w:t>
      </w:r>
    </w:p>
    <w:p w14:paraId="078276F4" w14:textId="09154B1E" w:rsidR="005C3C94" w:rsidRPr="000A796F" w:rsidRDefault="005C3C94" w:rsidP="00C84941">
      <w:pPr>
        <w:pStyle w:val="Bullets"/>
      </w:pPr>
      <w:r w:rsidRPr="000A796F">
        <w:t xml:space="preserve">If the advisory label </w:t>
      </w:r>
      <w:r w:rsidR="005E3177" w:rsidRPr="000A796F">
        <w:t xml:space="preserve">is </w:t>
      </w:r>
      <w:r w:rsidR="00CB0FB5" w:rsidRPr="000A796F">
        <w:t>on the f</w:t>
      </w:r>
      <w:r w:rsidRPr="000A796F">
        <w:t>ront</w:t>
      </w:r>
      <w:r w:rsidR="00CB0FB5" w:rsidRPr="000A796F">
        <w:t>-of-pack</w:t>
      </w:r>
      <w:r w:rsidRPr="000A796F">
        <w:t xml:space="preserve">, </w:t>
      </w:r>
      <w:r w:rsidR="00CB0FB5" w:rsidRPr="000A796F">
        <w:t>front-of-pack</w:t>
      </w:r>
      <w:r w:rsidR="005E3177" w:rsidRPr="000A796F">
        <w:t xml:space="preserve"> nutrition labelling systems</w:t>
      </w:r>
      <w:r w:rsidR="00CB0FB5" w:rsidRPr="000A796F">
        <w:t xml:space="preserve"> that are simple, consistent, coloured and do not require mathematical skills or take little time to interpret can assist to improve</w:t>
      </w:r>
      <w:r w:rsidRPr="000A796F">
        <w:t xml:space="preserve"> consumers’</w:t>
      </w:r>
      <w:r w:rsidR="00CB0FB5" w:rsidRPr="000A796F">
        <w:t xml:space="preserve"> food choices</w:t>
      </w:r>
      <w:r w:rsidRPr="00696D94">
        <w:rPr>
          <w:vertAlign w:val="superscript"/>
        </w:rPr>
        <w:footnoteReference w:id="100"/>
      </w:r>
      <w:r w:rsidR="00597FB2">
        <w:t>.</w:t>
      </w:r>
    </w:p>
    <w:p w14:paraId="0C8D4B38" w14:textId="1A63EE2E" w:rsidR="005C3C94" w:rsidRPr="000A796F" w:rsidRDefault="000F3122" w:rsidP="00C84941">
      <w:pPr>
        <w:pStyle w:val="Bullets"/>
      </w:pPr>
      <w:r w:rsidRPr="000A796F">
        <w:t xml:space="preserve">May reduce </w:t>
      </w:r>
      <w:r w:rsidR="005C3C94" w:rsidRPr="000A796F">
        <w:t xml:space="preserve">consumer confusion </w:t>
      </w:r>
      <w:r w:rsidRPr="000A796F">
        <w:t>between</w:t>
      </w:r>
      <w:r w:rsidR="005C3C94" w:rsidRPr="000A796F">
        <w:t xml:space="preserve"> added and total sugars, where consumer understanding is low</w:t>
      </w:r>
      <w:r w:rsidR="008D5805" w:rsidRPr="00696D94">
        <w:rPr>
          <w:vertAlign w:val="superscript"/>
        </w:rPr>
        <w:footnoteReference w:id="101"/>
      </w:r>
      <w:r w:rsidR="00597FB2">
        <w:t>.</w:t>
      </w:r>
      <w:r w:rsidR="00597FB2" w:rsidRPr="00597FB2">
        <w:t xml:space="preserve"> </w:t>
      </w:r>
      <w:r w:rsidR="00597FB2" w:rsidRPr="000A796F">
        <w:t>May also provide advice about the health consequenc</w:t>
      </w:r>
      <w:r w:rsidR="00D35AF0">
        <w:t>es of consuming too much sugar.</w:t>
      </w:r>
    </w:p>
    <w:p w14:paraId="08304FE2" w14:textId="4B2ED565" w:rsidR="0068033E" w:rsidRDefault="005C3C94" w:rsidP="00C84941">
      <w:pPr>
        <w:pStyle w:val="Bullets"/>
      </w:pPr>
      <w:r w:rsidRPr="000A796F">
        <w:t>Consumers report having an interest in sugar</w:t>
      </w:r>
      <w:r w:rsidR="0014461A" w:rsidRPr="000A796F">
        <w:t>s</w:t>
      </w:r>
      <w:r w:rsidRPr="000A796F">
        <w:t xml:space="preserve"> and may be receptive to additional labelling</w:t>
      </w:r>
      <w:r w:rsidR="008D5805" w:rsidRPr="00696D94">
        <w:rPr>
          <w:vertAlign w:val="superscript"/>
        </w:rPr>
        <w:footnoteReference w:id="102"/>
      </w:r>
      <w:r w:rsidR="00597FB2">
        <w:t>.</w:t>
      </w:r>
    </w:p>
    <w:p w14:paraId="5EBD6073" w14:textId="5B993A03" w:rsidR="00CF2B5D" w:rsidRPr="00597FB2" w:rsidRDefault="00CF2B5D" w:rsidP="00C84941">
      <w:pPr>
        <w:pStyle w:val="Bullets"/>
      </w:pPr>
      <w:r>
        <w:rPr>
          <w:lang w:eastAsia="en-GB"/>
        </w:rPr>
        <w:t>Information is available to consumers at point-of-purchase.</w:t>
      </w:r>
    </w:p>
    <w:p w14:paraId="143880E6" w14:textId="05976059" w:rsidR="005C3C94" w:rsidRPr="006456F5" w:rsidRDefault="00021564" w:rsidP="00314A5D">
      <w:pPr>
        <w:pStyle w:val="Heading3"/>
        <w:rPr>
          <w:rStyle w:val="Strong"/>
          <w:b/>
          <w:bCs/>
        </w:rPr>
      </w:pPr>
      <w:r w:rsidRPr="006456F5">
        <w:rPr>
          <w:rStyle w:val="Strong"/>
          <w:b/>
          <w:bCs/>
        </w:rPr>
        <w:t>Weaknesses</w:t>
      </w:r>
    </w:p>
    <w:p w14:paraId="41E5ED8A" w14:textId="0678D13E" w:rsidR="00DA18F1" w:rsidRPr="00DA18F1" w:rsidRDefault="00DA18F1" w:rsidP="00C84941">
      <w:pPr>
        <w:pStyle w:val="Bullets"/>
      </w:pPr>
      <w:r w:rsidRPr="00DA18F1">
        <w:t>Impact on industry to implement additional labelling, including cost associated with label changes and use of additional space on package.</w:t>
      </w:r>
    </w:p>
    <w:p w14:paraId="280BB01B" w14:textId="47347128" w:rsidR="0068033E" w:rsidRDefault="0068033E" w:rsidP="00C84941">
      <w:pPr>
        <w:pStyle w:val="Bullets"/>
      </w:pPr>
      <w:r w:rsidRPr="00E37341">
        <w:t>There may be technical issues of defining sugars-based ingredients/</w:t>
      </w:r>
      <w:r>
        <w:t xml:space="preserve"> and quantifying </w:t>
      </w:r>
      <w:r w:rsidRPr="00E37341">
        <w:t>added sugars, however, international examples can provide guidance</w:t>
      </w:r>
      <w:r w:rsidRPr="00696D94">
        <w:rPr>
          <w:vertAlign w:val="superscript"/>
        </w:rPr>
        <w:footnoteReference w:id="103"/>
      </w:r>
      <w:r>
        <w:t>.</w:t>
      </w:r>
    </w:p>
    <w:p w14:paraId="5DB476C3" w14:textId="0D0A19ED" w:rsidR="0068033E" w:rsidRPr="0068033E" w:rsidRDefault="00DB167A" w:rsidP="00C84941">
      <w:pPr>
        <w:pStyle w:val="Bullets"/>
      </w:pPr>
      <w:r>
        <w:t>May p</w:t>
      </w:r>
      <w:r w:rsidR="0068033E" w:rsidRPr="00E37341">
        <w:t xml:space="preserve">resents challenges for monitoring, </w:t>
      </w:r>
      <w:proofErr w:type="gramStart"/>
      <w:r w:rsidR="0068033E" w:rsidRPr="00E37341">
        <w:t>enforcement</w:t>
      </w:r>
      <w:proofErr w:type="gramEnd"/>
      <w:r w:rsidR="0068033E" w:rsidRPr="00E37341">
        <w:t xml:space="preserve"> and compliance due to </w:t>
      </w:r>
      <w:r w:rsidR="0068033E">
        <w:t>lack of</w:t>
      </w:r>
      <w:r w:rsidR="0068033E" w:rsidRPr="00E37341">
        <w:t xml:space="preserve"> analytical methods</w:t>
      </w:r>
      <w:r w:rsidR="0068033E">
        <w:t xml:space="preserve"> to quantify a foods’ added sugars content</w:t>
      </w:r>
      <w:r w:rsidR="0068033E" w:rsidRPr="00E37341">
        <w:t>, and difficulties associated with a supply</w:t>
      </w:r>
      <w:r w:rsidR="0068033E" w:rsidRPr="00E37341">
        <w:noBreakHyphen/>
        <w:t>chain or recipe-based approach.</w:t>
      </w:r>
    </w:p>
    <w:p w14:paraId="00F402F1" w14:textId="1B1421DD" w:rsidR="00BA0C30" w:rsidRDefault="00BA0C30" w:rsidP="00C84941">
      <w:pPr>
        <w:pStyle w:val="Bullets"/>
      </w:pPr>
      <w:r w:rsidRPr="00A073BE">
        <w:t>Consumers may give less attention to, or place less importance on, existing advisory labels</w:t>
      </w:r>
      <w:r>
        <w:t xml:space="preserve"> for foods or ingredients which may cause a health risk to certain consumers</w:t>
      </w:r>
      <w:r w:rsidR="00125C95">
        <w:t>.</w:t>
      </w:r>
    </w:p>
    <w:p w14:paraId="56B5C3A5" w14:textId="79648ABB" w:rsidR="005C3C94" w:rsidRPr="00CB626B" w:rsidRDefault="0068033E" w:rsidP="00C84941">
      <w:pPr>
        <w:pStyle w:val="Bullets"/>
      </w:pPr>
      <w:r>
        <w:t>M</w:t>
      </w:r>
      <w:r w:rsidR="005C3C94" w:rsidRPr="00CB626B">
        <w:t>ay compete with the non-mandatory food labelling elements.</w:t>
      </w:r>
    </w:p>
    <w:p w14:paraId="161F6919" w14:textId="44AE1DB6" w:rsidR="005C3C94" w:rsidRPr="00CB626B" w:rsidRDefault="005C3C94" w:rsidP="00C84941">
      <w:pPr>
        <w:pStyle w:val="Bullets"/>
      </w:pPr>
      <w:r w:rsidRPr="00CB626B">
        <w:t xml:space="preserve">May compete with the </w:t>
      </w:r>
      <w:r w:rsidR="00850DFD" w:rsidRPr="00CB626B">
        <w:t>HSR</w:t>
      </w:r>
      <w:r w:rsidRPr="00CB626B">
        <w:t xml:space="preserve"> for space on the label. HSR </w:t>
      </w:r>
      <w:proofErr w:type="gramStart"/>
      <w:r w:rsidRPr="00CB626B">
        <w:t>takes into account</w:t>
      </w:r>
      <w:proofErr w:type="gramEnd"/>
      <w:r w:rsidRPr="00CB626B">
        <w:t xml:space="preserve"> more than sugar</w:t>
      </w:r>
      <w:r w:rsidR="0014461A" w:rsidRPr="00CB626B">
        <w:t>s</w:t>
      </w:r>
      <w:r w:rsidRPr="00CB626B">
        <w:t xml:space="preserve"> (energy, saturated fat, protein, sodium and fruit, vegetable</w:t>
      </w:r>
      <w:r w:rsidR="005E3177">
        <w:t>,</w:t>
      </w:r>
      <w:r w:rsidRPr="00CB626B">
        <w:t xml:space="preserve"> </w:t>
      </w:r>
      <w:r w:rsidR="005E3177">
        <w:t xml:space="preserve">nut and legume </w:t>
      </w:r>
      <w:r w:rsidRPr="00CB626B">
        <w:t>conten</w:t>
      </w:r>
      <w:r w:rsidR="00BC1E0E" w:rsidRPr="00CB626B">
        <w:t>t) so if the HSR was pushed-</w:t>
      </w:r>
      <w:r w:rsidRPr="00CB626B">
        <w:t xml:space="preserve">off the label by sugar advisory labels, the food label </w:t>
      </w:r>
      <w:r w:rsidR="005E3177">
        <w:t>would</w:t>
      </w:r>
      <w:r w:rsidRPr="00CB626B">
        <w:t xml:space="preserve"> provide less information to support consumers to take a whole-of</w:t>
      </w:r>
      <w:r w:rsidR="00125C95">
        <w:t>-diet approach to food choices.</w:t>
      </w:r>
    </w:p>
    <w:p w14:paraId="4E0F9F46" w14:textId="544D0741" w:rsidR="005C3C94" w:rsidRPr="00CB626B" w:rsidRDefault="005C3C94" w:rsidP="00C84941">
      <w:pPr>
        <w:pStyle w:val="Bullets"/>
      </w:pPr>
      <w:r w:rsidRPr="00CB626B">
        <w:t xml:space="preserve">Advisory labels cannot </w:t>
      </w:r>
      <w:proofErr w:type="gramStart"/>
      <w:r w:rsidRPr="00CB626B">
        <w:t>take into account</w:t>
      </w:r>
      <w:proofErr w:type="gramEnd"/>
      <w:r w:rsidRPr="00CB626B">
        <w:t xml:space="preserve"> frequency of consumption (and depending on the approach, may not take into account amount for consumption). A food with a low-medium </w:t>
      </w:r>
      <w:r w:rsidR="0014461A" w:rsidRPr="00CB626B">
        <w:t xml:space="preserve">added </w:t>
      </w:r>
      <w:r w:rsidRPr="00CB626B">
        <w:t>sugar</w:t>
      </w:r>
      <w:r w:rsidR="0014461A" w:rsidRPr="00CB626B">
        <w:t>s</w:t>
      </w:r>
      <w:r w:rsidRPr="00CB626B">
        <w:t xml:space="preserve"> content would not be required to be labelled, however, if this food is consumed in high frequency or </w:t>
      </w:r>
      <w:proofErr w:type="gramStart"/>
      <w:r w:rsidRPr="00CB626B">
        <w:t>volume</w:t>
      </w:r>
      <w:proofErr w:type="gramEnd"/>
      <w:r w:rsidRPr="00CB626B">
        <w:t xml:space="preserve"> it could still contribute significantly to a consumer’s </w:t>
      </w:r>
      <w:r w:rsidR="0014461A" w:rsidRPr="00CB626B">
        <w:t xml:space="preserve">intakes of </w:t>
      </w:r>
      <w:r w:rsidR="008D5805" w:rsidRPr="00CB626B">
        <w:t xml:space="preserve">added </w:t>
      </w:r>
      <w:r w:rsidRPr="00CB626B">
        <w:t>sugar</w:t>
      </w:r>
      <w:r w:rsidR="0014461A" w:rsidRPr="00CB626B">
        <w:t>s</w:t>
      </w:r>
      <w:r w:rsidR="00125C95">
        <w:t>.</w:t>
      </w:r>
    </w:p>
    <w:p w14:paraId="6F923228" w14:textId="75BF732A" w:rsidR="005F43AA" w:rsidRPr="00E37341" w:rsidRDefault="005F43AA" w:rsidP="00C84941">
      <w:pPr>
        <w:pStyle w:val="Bullets"/>
      </w:pPr>
      <w:r w:rsidRPr="00E37341">
        <w:t xml:space="preserve">Focusing on </w:t>
      </w:r>
      <w:r>
        <w:t xml:space="preserve">sugars or </w:t>
      </w:r>
      <w:r w:rsidRPr="00E37341">
        <w:t>added sugars alone as a negative nutrient (without including other negative nutrients – saturated fat and s</w:t>
      </w:r>
      <w:r>
        <w:t>odium</w:t>
      </w:r>
      <w:r w:rsidRPr="00E37341">
        <w:t>) may imply added sugars are a more concerning nutrient which is inconsistent with the dietary guidelines. May lead some consumers to place too much emphasis on added sugars, resulting in less accurate evaluations of a food’s overall healthiness and may have unintended consequences for intakes of other nutrients and reformulation.</w:t>
      </w:r>
    </w:p>
    <w:p w14:paraId="5512DF0D" w14:textId="31269451" w:rsidR="007005FC" w:rsidRPr="0068033E" w:rsidRDefault="009555CF" w:rsidP="00314A5D">
      <w:pPr>
        <w:pStyle w:val="Heading2"/>
      </w:pPr>
      <w:bookmarkStart w:id="171" w:name="_Toc6323614"/>
      <w:r w:rsidRPr="0068033E">
        <w:t xml:space="preserve">Option </w:t>
      </w:r>
      <w:r w:rsidR="005E2084" w:rsidRPr="0068033E">
        <w:t>6</w:t>
      </w:r>
      <w:r w:rsidRPr="0068033E">
        <w:t xml:space="preserve">: Pictorial approaches to convey the </w:t>
      </w:r>
      <w:proofErr w:type="gramStart"/>
      <w:r w:rsidRPr="0068033E">
        <w:t>amount</w:t>
      </w:r>
      <w:proofErr w:type="gramEnd"/>
      <w:r w:rsidR="001B4265" w:rsidRPr="0068033E">
        <w:t xml:space="preserve"> </w:t>
      </w:r>
      <w:r w:rsidR="00DB167A">
        <w:t xml:space="preserve">of </w:t>
      </w:r>
      <w:r w:rsidRPr="0068033E">
        <w:t>sugars in a serving of food</w:t>
      </w:r>
      <w:bookmarkEnd w:id="171"/>
    </w:p>
    <w:p w14:paraId="3C47FB9C" w14:textId="77777777" w:rsidR="007574D4" w:rsidRPr="00B44104" w:rsidRDefault="009555CF" w:rsidP="00314A5D">
      <w:pPr>
        <w:pStyle w:val="Heading3"/>
      </w:pPr>
      <w:r w:rsidRPr="00B44104">
        <w:t>Description</w:t>
      </w:r>
    </w:p>
    <w:p w14:paraId="0127F73F" w14:textId="77777777" w:rsidR="007574D4" w:rsidRDefault="001351CE" w:rsidP="00BC587F">
      <w:r w:rsidRPr="00CB626B">
        <w:rPr>
          <w:lang w:eastAsia="en-GB"/>
        </w:rPr>
        <w:t xml:space="preserve">This </w:t>
      </w:r>
      <w:r w:rsidR="001E3DA4" w:rsidRPr="00CB626B">
        <w:rPr>
          <w:lang w:eastAsia="en-GB"/>
        </w:rPr>
        <w:t>option</w:t>
      </w:r>
      <w:r w:rsidRPr="00CB626B">
        <w:rPr>
          <w:lang w:eastAsia="en-GB"/>
        </w:rPr>
        <w:t xml:space="preserve"> proposes to pictorially display the </w:t>
      </w:r>
      <w:proofErr w:type="gramStart"/>
      <w:r w:rsidRPr="00CB626B">
        <w:rPr>
          <w:lang w:eastAsia="en-GB"/>
        </w:rPr>
        <w:t>amount</w:t>
      </w:r>
      <w:proofErr w:type="gramEnd"/>
      <w:r w:rsidRPr="00CB626B">
        <w:rPr>
          <w:lang w:eastAsia="en-GB"/>
        </w:rPr>
        <w:t xml:space="preserve"> of </w:t>
      </w:r>
      <w:r w:rsidR="004A2EC9" w:rsidRPr="00CB626B">
        <w:rPr>
          <w:lang w:eastAsia="en-GB"/>
        </w:rPr>
        <w:t>sugar</w:t>
      </w:r>
      <w:r w:rsidR="00654EA5" w:rsidRPr="00CB626B">
        <w:rPr>
          <w:lang w:eastAsia="en-GB"/>
        </w:rPr>
        <w:t>s</w:t>
      </w:r>
      <w:r w:rsidR="004A2EC9" w:rsidRPr="00CB626B">
        <w:rPr>
          <w:lang w:eastAsia="en-GB"/>
        </w:rPr>
        <w:t xml:space="preserve"> </w:t>
      </w:r>
      <w:r w:rsidR="00615A1F" w:rsidRPr="00CB626B">
        <w:rPr>
          <w:lang w:eastAsia="en-GB"/>
        </w:rPr>
        <w:t xml:space="preserve">and/or </w:t>
      </w:r>
      <w:r w:rsidRPr="00CB626B">
        <w:rPr>
          <w:lang w:eastAsia="en-GB"/>
        </w:rPr>
        <w:t xml:space="preserve">added sugar in a serving of food. </w:t>
      </w:r>
      <w:r w:rsidR="00585CBA" w:rsidRPr="00CB626B">
        <w:t xml:space="preserve">The pictorial information could be displayed on the front of the pack or in </w:t>
      </w:r>
      <w:r w:rsidR="00615A1F" w:rsidRPr="00CB626B">
        <w:t xml:space="preserve">association with </w:t>
      </w:r>
      <w:r w:rsidR="007574D4">
        <w:t>the NIP.</w:t>
      </w:r>
    </w:p>
    <w:p w14:paraId="564A2BF7" w14:textId="5FA968D7" w:rsidR="001351CE" w:rsidRPr="00CB626B" w:rsidRDefault="001351CE" w:rsidP="00BC587F">
      <w:r w:rsidRPr="00CB626B">
        <w:t xml:space="preserve">Examples of pictorial approaches </w:t>
      </w:r>
      <w:r w:rsidR="00DB167A">
        <w:t xml:space="preserve">include </w:t>
      </w:r>
      <w:r w:rsidRPr="00CB626B">
        <w:t>representing the added sugar</w:t>
      </w:r>
      <w:r w:rsidR="00654EA5" w:rsidRPr="00CB626B">
        <w:t>s</w:t>
      </w:r>
      <w:r w:rsidRPr="00CB626B">
        <w:t xml:space="preserve"> content in teaspoons of </w:t>
      </w:r>
      <w:r w:rsidR="00654EA5" w:rsidRPr="00CB626B">
        <w:t xml:space="preserve">table </w:t>
      </w:r>
      <w:r w:rsidRPr="00CB626B">
        <w:t>sugar (or some other household measure) or numbers of sugar cubes. Another pictorial approach could be using graphics such as pie charts (</w:t>
      </w:r>
      <w:proofErr w:type="gramStart"/>
      <w:r w:rsidRPr="00CB626B">
        <w:t>e.g.</w:t>
      </w:r>
      <w:proofErr w:type="gramEnd"/>
      <w:r w:rsidRPr="00CB626B">
        <w:t xml:space="preserve"> the proportion of added and naturally occurring sugars in the food), or a bar chart (e.g. the proportion of added sugars in the food compared to recommended intakes, noting that a daily intake reference value for added sugars would need to be established to </w:t>
      </w:r>
      <w:r w:rsidR="00125C95">
        <w:t>enable this type of labelling).</w:t>
      </w:r>
    </w:p>
    <w:p w14:paraId="7E2A8F1E" w14:textId="28A4DECD" w:rsidR="00585CBA" w:rsidRPr="00CB626B" w:rsidRDefault="00585CBA" w:rsidP="00BC587F">
      <w:pPr>
        <w:rPr>
          <w:lang w:eastAsia="en-GB"/>
        </w:rPr>
      </w:pPr>
      <w:r w:rsidRPr="00CB626B">
        <w:rPr>
          <w:lang w:eastAsia="en-GB"/>
        </w:rPr>
        <w:t xml:space="preserve">The </w:t>
      </w:r>
      <w:r w:rsidR="00333F52" w:rsidRPr="00CB626B">
        <w:rPr>
          <w:lang w:eastAsia="en-GB"/>
        </w:rPr>
        <w:t xml:space="preserve">option </w:t>
      </w:r>
      <w:r w:rsidRPr="00CB626B">
        <w:rPr>
          <w:lang w:eastAsia="en-GB"/>
        </w:rPr>
        <w:t xml:space="preserve">aims to address the policy issue by providing information </w:t>
      </w:r>
      <w:r w:rsidR="006357F4" w:rsidRPr="00CB626B">
        <w:rPr>
          <w:lang w:eastAsia="en-GB"/>
        </w:rPr>
        <w:t>about a food’s added sugar</w:t>
      </w:r>
      <w:r w:rsidR="00654EA5" w:rsidRPr="00CB626B">
        <w:rPr>
          <w:lang w:eastAsia="en-GB"/>
        </w:rPr>
        <w:t>s</w:t>
      </w:r>
      <w:r w:rsidR="006357F4" w:rsidRPr="00CB626B">
        <w:rPr>
          <w:lang w:eastAsia="en-GB"/>
        </w:rPr>
        <w:t xml:space="preserve"> content in a </w:t>
      </w:r>
      <w:r w:rsidRPr="00CB626B">
        <w:rPr>
          <w:lang w:eastAsia="en-GB"/>
        </w:rPr>
        <w:t>familiar format,</w:t>
      </w:r>
      <w:r w:rsidR="006357F4" w:rsidRPr="00CB626B">
        <w:rPr>
          <w:lang w:eastAsia="en-GB"/>
        </w:rPr>
        <w:t xml:space="preserve"> to enable consumers to </w:t>
      </w:r>
      <w:r w:rsidR="006357F4" w:rsidRPr="00CB626B">
        <w:t>identify foods containing added sugars, compare products to identify those which are lower in added sugar</w:t>
      </w:r>
      <w:r w:rsidR="00654EA5" w:rsidRPr="00CB626B">
        <w:t>s</w:t>
      </w:r>
      <w:r w:rsidR="006357F4" w:rsidRPr="00CB626B">
        <w:t>, and use this information to make informed choices in support of dietary guidelines.</w:t>
      </w:r>
    </w:p>
    <w:p w14:paraId="152F1CDF" w14:textId="77777777" w:rsidR="007574D4" w:rsidRPr="00B44104" w:rsidRDefault="001351CE" w:rsidP="00314A5D">
      <w:pPr>
        <w:pStyle w:val="Heading3"/>
      </w:pPr>
      <w:r w:rsidRPr="00B44104">
        <w:t>Rationale</w:t>
      </w:r>
    </w:p>
    <w:p w14:paraId="3229C4E3" w14:textId="4E906993" w:rsidR="001351CE" w:rsidRPr="00CB626B" w:rsidRDefault="001351CE" w:rsidP="00BC587F">
      <w:pPr>
        <w:rPr>
          <w:lang w:eastAsia="en-GB"/>
        </w:rPr>
      </w:pPr>
      <w:r w:rsidRPr="00CB626B">
        <w:rPr>
          <w:lang w:eastAsia="en-GB"/>
        </w:rPr>
        <w:t xml:space="preserve">Under the status quo, </w:t>
      </w:r>
      <w:r w:rsidR="006060CB" w:rsidRPr="00CB626B">
        <w:rPr>
          <w:lang w:eastAsia="en-GB"/>
        </w:rPr>
        <w:t>information about the added sugar</w:t>
      </w:r>
      <w:r w:rsidR="00654EA5" w:rsidRPr="00CB626B">
        <w:rPr>
          <w:lang w:eastAsia="en-GB"/>
        </w:rPr>
        <w:t>s</w:t>
      </w:r>
      <w:r w:rsidR="006060CB" w:rsidRPr="00CB626B">
        <w:rPr>
          <w:lang w:eastAsia="en-GB"/>
        </w:rPr>
        <w:t xml:space="preserve"> content of foods is lim</w:t>
      </w:r>
      <w:r w:rsidR="003719E2">
        <w:rPr>
          <w:lang w:eastAsia="en-GB"/>
        </w:rPr>
        <w:t>ited, which impacts on consumer</w:t>
      </w:r>
      <w:r w:rsidR="006060CB" w:rsidRPr="00CB626B">
        <w:rPr>
          <w:lang w:eastAsia="en-GB"/>
        </w:rPr>
        <w:t>s</w:t>
      </w:r>
      <w:r w:rsidR="003719E2">
        <w:rPr>
          <w:lang w:eastAsia="en-GB"/>
        </w:rPr>
        <w:t>’</w:t>
      </w:r>
      <w:r w:rsidR="006060CB" w:rsidRPr="00CB626B">
        <w:rPr>
          <w:lang w:eastAsia="en-GB"/>
        </w:rPr>
        <w:t xml:space="preserve"> ability to make choices in support of the dietary guidelines. I</w:t>
      </w:r>
      <w:r w:rsidR="00884A56" w:rsidRPr="00CB626B">
        <w:rPr>
          <w:lang w:eastAsia="en-GB"/>
        </w:rPr>
        <w:t>nterpreting a product’s</w:t>
      </w:r>
      <w:r w:rsidRPr="00CB626B">
        <w:rPr>
          <w:lang w:eastAsia="en-GB"/>
        </w:rPr>
        <w:t xml:space="preserve"> NIP </w:t>
      </w:r>
      <w:proofErr w:type="gramStart"/>
      <w:r w:rsidRPr="00CB626B">
        <w:rPr>
          <w:lang w:eastAsia="en-GB"/>
        </w:rPr>
        <w:t xml:space="preserve">requires </w:t>
      </w:r>
      <w:r w:rsidR="006060CB" w:rsidRPr="00CB626B">
        <w:rPr>
          <w:lang w:eastAsia="en-GB"/>
        </w:rPr>
        <w:t>also</w:t>
      </w:r>
      <w:proofErr w:type="gramEnd"/>
      <w:r w:rsidR="006060CB" w:rsidRPr="00CB626B">
        <w:rPr>
          <w:lang w:eastAsia="en-GB"/>
        </w:rPr>
        <w:t xml:space="preserve"> </w:t>
      </w:r>
      <w:r w:rsidRPr="00CB626B">
        <w:rPr>
          <w:lang w:eastAsia="en-GB"/>
        </w:rPr>
        <w:t xml:space="preserve">an understanding of numerical information, including tabular formats, and the ability to </w:t>
      </w:r>
      <w:r w:rsidR="00884A56" w:rsidRPr="00CB626B">
        <w:rPr>
          <w:lang w:eastAsia="en-GB"/>
        </w:rPr>
        <w:t>translate a</w:t>
      </w:r>
      <w:r w:rsidRPr="00CB626B">
        <w:rPr>
          <w:lang w:eastAsia="en-GB"/>
        </w:rPr>
        <w:t xml:space="preserve">bsolute information </w:t>
      </w:r>
      <w:r w:rsidR="00884A56" w:rsidRPr="00CB626B">
        <w:rPr>
          <w:lang w:eastAsia="en-GB"/>
        </w:rPr>
        <w:t>into something that is meaningful to the consumer</w:t>
      </w:r>
      <w:r w:rsidR="00125C95">
        <w:rPr>
          <w:lang w:eastAsia="en-GB"/>
        </w:rPr>
        <w:t>.</w:t>
      </w:r>
    </w:p>
    <w:p w14:paraId="6386B809" w14:textId="4D73F3C5" w:rsidR="009555CF" w:rsidRPr="00CB626B" w:rsidRDefault="00884A56" w:rsidP="00BC587F">
      <w:pPr>
        <w:rPr>
          <w:lang w:eastAsia="en-GB"/>
        </w:rPr>
      </w:pPr>
      <w:r w:rsidRPr="00CB626B">
        <w:rPr>
          <w:lang w:eastAsia="en-GB"/>
        </w:rPr>
        <w:t>P</w:t>
      </w:r>
      <w:r w:rsidR="009555CF" w:rsidRPr="00CB626B">
        <w:rPr>
          <w:lang w:eastAsia="en-GB"/>
        </w:rPr>
        <w:t xml:space="preserve">roviding information on the </w:t>
      </w:r>
      <w:r w:rsidRPr="00CB626B">
        <w:rPr>
          <w:lang w:eastAsia="en-GB"/>
        </w:rPr>
        <w:t xml:space="preserve">added </w:t>
      </w:r>
      <w:r w:rsidR="009555CF" w:rsidRPr="00CB626B">
        <w:rPr>
          <w:lang w:eastAsia="en-GB"/>
        </w:rPr>
        <w:t>sugar</w:t>
      </w:r>
      <w:r w:rsidR="00654EA5" w:rsidRPr="00CB626B">
        <w:rPr>
          <w:lang w:eastAsia="en-GB"/>
        </w:rPr>
        <w:t>s</w:t>
      </w:r>
      <w:r w:rsidR="009555CF" w:rsidRPr="00CB626B">
        <w:rPr>
          <w:lang w:eastAsia="en-GB"/>
        </w:rPr>
        <w:t xml:space="preserve"> content of a food in pictorial form on the label </w:t>
      </w:r>
      <w:r w:rsidR="006357F4" w:rsidRPr="00CB626B">
        <w:rPr>
          <w:lang w:eastAsia="en-GB"/>
        </w:rPr>
        <w:t>would</w:t>
      </w:r>
      <w:r w:rsidR="009555CF" w:rsidRPr="00CB626B">
        <w:rPr>
          <w:lang w:eastAsia="en-GB"/>
        </w:rPr>
        <w:t xml:space="preserve"> require a lower degree of numerical literacy to interpret. This </w:t>
      </w:r>
      <w:r w:rsidR="00333F52" w:rsidRPr="00CB626B">
        <w:rPr>
          <w:lang w:eastAsia="en-GB"/>
        </w:rPr>
        <w:t xml:space="preserve">option </w:t>
      </w:r>
      <w:r w:rsidR="009555CF" w:rsidRPr="00CB626B">
        <w:rPr>
          <w:lang w:eastAsia="en-GB"/>
        </w:rPr>
        <w:t xml:space="preserve">could provide accessibility to information about a food’s </w:t>
      </w:r>
      <w:r w:rsidRPr="00CB626B">
        <w:rPr>
          <w:lang w:eastAsia="en-GB"/>
        </w:rPr>
        <w:t xml:space="preserve">added </w:t>
      </w:r>
      <w:r w:rsidR="009555CF" w:rsidRPr="00CB626B">
        <w:rPr>
          <w:lang w:eastAsia="en-GB"/>
        </w:rPr>
        <w:t xml:space="preserve">sugar content and more clarity for people concerned about </w:t>
      </w:r>
      <w:r w:rsidRPr="00CB626B">
        <w:rPr>
          <w:lang w:eastAsia="en-GB"/>
        </w:rPr>
        <w:t xml:space="preserve">added </w:t>
      </w:r>
      <w:r w:rsidR="009555CF" w:rsidRPr="00CB626B">
        <w:rPr>
          <w:lang w:eastAsia="en-GB"/>
        </w:rPr>
        <w:t>sugar</w:t>
      </w:r>
      <w:r w:rsidR="00654EA5" w:rsidRPr="00CB626B">
        <w:rPr>
          <w:lang w:eastAsia="en-GB"/>
        </w:rPr>
        <w:t>s</w:t>
      </w:r>
      <w:r w:rsidR="009555CF" w:rsidRPr="00CB626B">
        <w:rPr>
          <w:lang w:eastAsia="en-GB"/>
        </w:rPr>
        <w:t xml:space="preserve"> in foods.</w:t>
      </w:r>
    </w:p>
    <w:p w14:paraId="53411C16" w14:textId="77777777" w:rsidR="007574D4" w:rsidRPr="00B44104" w:rsidRDefault="009555CF" w:rsidP="00314A5D">
      <w:pPr>
        <w:pStyle w:val="Heading3"/>
      </w:pPr>
      <w:r w:rsidRPr="00B44104">
        <w:t>Current example</w:t>
      </w:r>
    </w:p>
    <w:p w14:paraId="364EE1DD" w14:textId="6A517D4E" w:rsidR="000614F3" w:rsidRDefault="009555CF" w:rsidP="00BC587F">
      <w:r w:rsidRPr="00CB626B">
        <w:t xml:space="preserve">Labelling of sugars using teaspoons </w:t>
      </w:r>
      <w:r w:rsidR="00585CBA" w:rsidRPr="00CB626B">
        <w:t>was</w:t>
      </w:r>
      <w:r w:rsidRPr="00CB626B">
        <w:t xml:space="preserve"> p</w:t>
      </w:r>
      <w:r w:rsidR="00F706EA">
        <w:t xml:space="preserve">roposed in the United Kingdom. </w:t>
      </w:r>
      <w:r w:rsidRPr="00CB626B">
        <w:t>A Private Member’s Bill entitled ‘Sugar in Food and Drinks (Targets, Labelling and Advertising) Bill 2015-16’ was presented to the UK Parliament on 20 October 2015. The Bill proposed to require that the sugar</w:t>
      </w:r>
      <w:r w:rsidR="00654EA5" w:rsidRPr="00CB626B">
        <w:t>s</w:t>
      </w:r>
      <w:r w:rsidRPr="00CB626B">
        <w:t xml:space="preserve"> content be represented on food labels in ‘teaspoon units’ where one teaspoon equals four grams of sugar. When the UK Parliament was dissolved on 3 May 2017 for a general election, the Bill was </w:t>
      </w:r>
      <w:proofErr w:type="gramStart"/>
      <w:r w:rsidRPr="00CB626B">
        <w:t>removed</w:t>
      </w:r>
      <w:proofErr w:type="gramEnd"/>
      <w:r w:rsidRPr="00CB626B">
        <w:t xml:space="preserve"> and no further action was taken.</w:t>
      </w:r>
    </w:p>
    <w:p w14:paraId="4913A9FC" w14:textId="34E9AECD" w:rsidR="00A54F70" w:rsidRPr="0070624D" w:rsidRDefault="000614F3" w:rsidP="00BC587F">
      <w:r>
        <w:t xml:space="preserve">In New Zealand, there is a proposed member’s </w:t>
      </w:r>
      <w:r w:rsidR="005F43AA">
        <w:t>B</w:t>
      </w:r>
      <w:r>
        <w:t>ill, ‘Labelling of Sugary Beverages (Displaying T</w:t>
      </w:r>
      <w:r w:rsidR="005F43AA">
        <w:t xml:space="preserve">easpoons of Sugar) Bill’. </w:t>
      </w:r>
      <w:r w:rsidR="005F43AA" w:rsidRPr="00276A09">
        <w:t>This B</w:t>
      </w:r>
      <w:r w:rsidRPr="00276A09">
        <w:t xml:space="preserve">ill would require manufacturers of </w:t>
      </w:r>
      <w:r w:rsidR="00276A09">
        <w:t>sugary</w:t>
      </w:r>
      <w:r w:rsidRPr="00276A09">
        <w:t xml:space="preserve"> beverages to display the total number of teaspoons of sugars within</w:t>
      </w:r>
      <w:r>
        <w:t xml:space="preserve"> the beverage in a prominent position </w:t>
      </w:r>
      <w:r w:rsidR="005F43AA">
        <w:t>on the front of the package. As</w:t>
      </w:r>
      <w:r w:rsidR="000E6370">
        <w:t xml:space="preserve"> </w:t>
      </w:r>
      <w:r w:rsidR="00946FB4">
        <w:t xml:space="preserve">at </w:t>
      </w:r>
      <w:r w:rsidR="000E6370">
        <w:t>March 2019</w:t>
      </w:r>
      <w:r>
        <w:t xml:space="preserve"> this </w:t>
      </w:r>
      <w:r w:rsidR="005F43AA">
        <w:t>B</w:t>
      </w:r>
      <w:r>
        <w:t>ill has not been drawn from the ballot</w:t>
      </w:r>
      <w:r w:rsidR="00946FB4">
        <w:t xml:space="preserve"> for consideration by Parliament</w:t>
      </w:r>
      <w:r w:rsidR="00125C95">
        <w:t>.</w:t>
      </w:r>
    </w:p>
    <w:p w14:paraId="391B5C2E" w14:textId="1CE8192E" w:rsidR="005C3C94" w:rsidRPr="006456F5" w:rsidRDefault="005C3C94" w:rsidP="00314A5D">
      <w:pPr>
        <w:pStyle w:val="Heading3"/>
        <w:rPr>
          <w:rStyle w:val="Strong"/>
          <w:b/>
          <w:bCs/>
        </w:rPr>
      </w:pPr>
      <w:r w:rsidRPr="006456F5">
        <w:rPr>
          <w:rStyle w:val="Strong"/>
          <w:b/>
          <w:bCs/>
        </w:rPr>
        <w:t>Strengths</w:t>
      </w:r>
    </w:p>
    <w:p w14:paraId="08673B0F" w14:textId="1A29FD0C" w:rsidR="0068033E" w:rsidRPr="00CB626B" w:rsidRDefault="0068033E" w:rsidP="00C84941">
      <w:pPr>
        <w:pStyle w:val="Bullets"/>
        <w:rPr>
          <w:lang w:eastAsia="en-GB"/>
        </w:rPr>
      </w:pPr>
      <w:r>
        <w:rPr>
          <w:lang w:eastAsia="en-GB"/>
        </w:rPr>
        <w:t>Pictorial approaches that</w:t>
      </w:r>
      <w:r w:rsidRPr="00CB626B">
        <w:rPr>
          <w:lang w:eastAsia="en-GB"/>
        </w:rPr>
        <w:t xml:space="preserve"> visually </w:t>
      </w:r>
      <w:r>
        <w:rPr>
          <w:lang w:eastAsia="en-GB"/>
        </w:rPr>
        <w:t>present</w:t>
      </w:r>
      <w:r w:rsidRPr="00CB626B">
        <w:rPr>
          <w:lang w:eastAsia="en-GB"/>
        </w:rPr>
        <w:t xml:space="preserve"> the amount and/or proportion of </w:t>
      </w:r>
      <w:r w:rsidR="003719E2">
        <w:rPr>
          <w:lang w:eastAsia="en-GB"/>
        </w:rPr>
        <w:t>sugars/</w:t>
      </w:r>
      <w:r w:rsidRPr="00CB626B">
        <w:rPr>
          <w:lang w:eastAsia="en-GB"/>
        </w:rPr>
        <w:t xml:space="preserve">added sugars in food </w:t>
      </w:r>
      <w:r>
        <w:rPr>
          <w:lang w:eastAsia="en-GB"/>
        </w:rPr>
        <w:t>do not require consumers to understand and interpret the NIP. It therefore p</w:t>
      </w:r>
      <w:r w:rsidRPr="0068033E">
        <w:rPr>
          <w:lang w:eastAsia="en-GB"/>
        </w:rPr>
        <w:t>rovides recognisable guidance at the potential point of purchase or consumpti</w:t>
      </w:r>
      <w:r w:rsidR="00125C95">
        <w:rPr>
          <w:lang w:eastAsia="en-GB"/>
        </w:rPr>
        <w:t>on to support informed choices.</w:t>
      </w:r>
    </w:p>
    <w:p w14:paraId="69AC18DD" w14:textId="72E84C13" w:rsidR="005C3C94" w:rsidRPr="00CB626B" w:rsidRDefault="005C3C94" w:rsidP="00C84941">
      <w:pPr>
        <w:pStyle w:val="Bullets"/>
        <w:rPr>
          <w:lang w:eastAsia="en-GB"/>
        </w:rPr>
      </w:pPr>
      <w:proofErr w:type="gramStart"/>
      <w:r w:rsidRPr="00CB626B">
        <w:rPr>
          <w:lang w:eastAsia="en-GB"/>
        </w:rPr>
        <w:t>Amount</w:t>
      </w:r>
      <w:proofErr w:type="gramEnd"/>
      <w:r w:rsidRPr="00CB626B">
        <w:rPr>
          <w:lang w:eastAsia="en-GB"/>
        </w:rPr>
        <w:t xml:space="preserve"> of added sugars in a food is presented using commonly understood symbols (e.g. eating utensils (such as teaspoons), presentation forms of sugar (such as sugar cubes) and common graphics (such as pie charts or bar graphs where the proportion</w:t>
      </w:r>
      <w:r w:rsidR="0068033E">
        <w:rPr>
          <w:lang w:eastAsia="en-GB"/>
        </w:rPr>
        <w:t xml:space="preserve"> of added sugars are presented)</w:t>
      </w:r>
      <w:r w:rsidR="00125C95">
        <w:rPr>
          <w:lang w:eastAsia="en-GB"/>
        </w:rPr>
        <w:t>.</w:t>
      </w:r>
    </w:p>
    <w:p w14:paraId="0A42D36B" w14:textId="6130E8BA" w:rsidR="005C3C94" w:rsidRPr="00CF2B5D" w:rsidRDefault="00561F11" w:rsidP="00C84941">
      <w:pPr>
        <w:pStyle w:val="Bullets"/>
        <w:rPr>
          <w:rFonts w:cstheme="minorHAnsi"/>
          <w:lang w:eastAsia="en-GB"/>
        </w:rPr>
      </w:pPr>
      <w:r w:rsidRPr="00CB626B">
        <w:rPr>
          <w:lang w:eastAsia="en-GB"/>
        </w:rPr>
        <w:t>If the pictorial</w:t>
      </w:r>
      <w:r w:rsidR="008E5AD2">
        <w:rPr>
          <w:lang w:eastAsia="en-GB"/>
        </w:rPr>
        <w:t xml:space="preserve"> image </w:t>
      </w:r>
      <w:r w:rsidRPr="00CB626B">
        <w:rPr>
          <w:lang w:eastAsia="en-GB"/>
        </w:rPr>
        <w:t>can be on the front-of-pack</w:t>
      </w:r>
      <w:r w:rsidR="005C3C94" w:rsidRPr="00CB626B">
        <w:rPr>
          <w:lang w:eastAsia="en-GB"/>
        </w:rPr>
        <w:t xml:space="preserve">, evidence suggests nutrient specific </w:t>
      </w:r>
      <w:r w:rsidRPr="00CB626B">
        <w:rPr>
          <w:lang w:eastAsia="en-GB"/>
        </w:rPr>
        <w:t>front</w:t>
      </w:r>
      <w:r w:rsidR="008E5AD2">
        <w:rPr>
          <w:lang w:eastAsia="en-GB"/>
        </w:rPr>
        <w:noBreakHyphen/>
      </w:r>
      <w:r w:rsidRPr="00CB626B">
        <w:rPr>
          <w:lang w:eastAsia="en-GB"/>
        </w:rPr>
        <w:t>of</w:t>
      </w:r>
      <w:r w:rsidR="008E5AD2">
        <w:rPr>
          <w:lang w:eastAsia="en-GB"/>
        </w:rPr>
        <w:noBreakHyphen/>
      </w:r>
      <w:r w:rsidRPr="00CB626B">
        <w:rPr>
          <w:lang w:eastAsia="en-GB"/>
        </w:rPr>
        <w:t>pack</w:t>
      </w:r>
      <w:r w:rsidR="005C3C94" w:rsidRPr="00CB626B">
        <w:rPr>
          <w:lang w:eastAsia="en-GB"/>
        </w:rPr>
        <w:t xml:space="preserve"> labelling can </w:t>
      </w:r>
      <w:r w:rsidR="005C3C94" w:rsidRPr="00CF2B5D">
        <w:rPr>
          <w:rFonts w:cstheme="minorHAnsi"/>
          <w:lang w:eastAsia="en-GB"/>
        </w:rPr>
        <w:t>assist consumers identify healthier food options</w:t>
      </w:r>
      <w:r w:rsidRPr="00CF2B5D">
        <w:rPr>
          <w:rStyle w:val="FootnoteReference"/>
          <w:rFonts w:cstheme="minorHAnsi"/>
          <w:lang w:eastAsia="en-GB"/>
        </w:rPr>
        <w:footnoteReference w:id="104"/>
      </w:r>
      <w:r w:rsidR="005C3C94" w:rsidRPr="00CF2B5D">
        <w:rPr>
          <w:rFonts w:cstheme="minorHAnsi"/>
          <w:lang w:eastAsia="en-GB"/>
        </w:rPr>
        <w:t>.</w:t>
      </w:r>
    </w:p>
    <w:p w14:paraId="7A93DF73" w14:textId="77777777" w:rsidR="006E6C52" w:rsidRPr="00CF2B5D" w:rsidRDefault="006E6C52" w:rsidP="00C84941">
      <w:pPr>
        <w:pStyle w:val="Bullets"/>
      </w:pPr>
      <w:r w:rsidRPr="00CF2B5D">
        <w:t>The simplified information is likely to be understood by individuals with poor literacy or numeracy, including children.</w:t>
      </w:r>
    </w:p>
    <w:p w14:paraId="79657E05" w14:textId="77777777" w:rsidR="0068033E" w:rsidRPr="00CF2B5D" w:rsidRDefault="0068033E" w:rsidP="00C84941">
      <w:pPr>
        <w:pStyle w:val="Bullets"/>
        <w:rPr>
          <w:lang w:eastAsia="en-GB"/>
        </w:rPr>
      </w:pPr>
      <w:r w:rsidRPr="00CF2B5D">
        <w:rPr>
          <w:lang w:eastAsia="en-GB"/>
        </w:rPr>
        <w:t>Consumers report having an interest in sugars and may be receptive to additional labelling</w:t>
      </w:r>
      <w:r w:rsidRPr="00CF2B5D">
        <w:rPr>
          <w:rStyle w:val="FootnoteReference"/>
          <w:rFonts w:cstheme="minorHAnsi"/>
          <w:lang w:eastAsia="en-GB"/>
        </w:rPr>
        <w:footnoteReference w:id="105"/>
      </w:r>
      <w:r w:rsidRPr="00CF2B5D">
        <w:rPr>
          <w:lang w:eastAsia="en-GB"/>
        </w:rPr>
        <w:t>.</w:t>
      </w:r>
    </w:p>
    <w:p w14:paraId="55C90D2C" w14:textId="393CC8F5" w:rsidR="005E6C7F" w:rsidRPr="00CF2B5D" w:rsidRDefault="000614F3" w:rsidP="00C84941">
      <w:pPr>
        <w:pStyle w:val="Bullets"/>
        <w:rPr>
          <w:lang w:eastAsia="en-GB"/>
        </w:rPr>
      </w:pPr>
      <w:r w:rsidRPr="00CF2B5D">
        <w:rPr>
          <w:lang w:eastAsia="en-GB"/>
        </w:rPr>
        <w:t>Added sugars information is highly valued by consumers</w:t>
      </w:r>
      <w:r w:rsidRPr="00CF2B5D">
        <w:rPr>
          <w:rStyle w:val="FootnoteReference"/>
          <w:rFonts w:cstheme="minorHAnsi"/>
          <w:lang w:eastAsia="en-GB"/>
        </w:rPr>
        <w:footnoteReference w:id="106"/>
      </w:r>
      <w:r w:rsidR="005F43AA">
        <w:rPr>
          <w:lang w:eastAsia="en-GB"/>
        </w:rPr>
        <w:t xml:space="preserve"> (if pictorial approach includes added sugars)</w:t>
      </w:r>
      <w:r w:rsidRPr="00CF2B5D">
        <w:rPr>
          <w:lang w:eastAsia="en-GB"/>
        </w:rPr>
        <w:t>.</w:t>
      </w:r>
    </w:p>
    <w:p w14:paraId="31E8EB97" w14:textId="3CC9036A" w:rsidR="00CF2B5D" w:rsidRPr="00CF2B5D" w:rsidRDefault="00CF2B5D" w:rsidP="00C84941">
      <w:pPr>
        <w:pStyle w:val="Bullets"/>
      </w:pPr>
      <w:r w:rsidRPr="00CF2B5D">
        <w:rPr>
          <w:lang w:eastAsia="en-GB"/>
        </w:rPr>
        <w:t>Information is available to consumers at point-of-purchase.</w:t>
      </w:r>
    </w:p>
    <w:p w14:paraId="4F3DC41F" w14:textId="243256E5" w:rsidR="005C3C94" w:rsidRPr="006456F5" w:rsidRDefault="005C3C94" w:rsidP="00314A5D">
      <w:pPr>
        <w:pStyle w:val="Heading3"/>
        <w:rPr>
          <w:rStyle w:val="Strong"/>
          <w:b/>
          <w:bCs/>
        </w:rPr>
      </w:pPr>
      <w:r w:rsidRPr="006456F5">
        <w:rPr>
          <w:rStyle w:val="Strong"/>
          <w:b/>
          <w:bCs/>
        </w:rPr>
        <w:t>Weaknesses</w:t>
      </w:r>
    </w:p>
    <w:p w14:paraId="21E08804" w14:textId="77777777" w:rsidR="00DA18F1" w:rsidRDefault="00DA18F1" w:rsidP="00C84941">
      <w:pPr>
        <w:pStyle w:val="Bullets"/>
      </w:pPr>
      <w:r w:rsidRPr="00DA18F1">
        <w:t>Impact on industry to implement additional labelling, including cost associated with label changes and use of additional space on package.</w:t>
      </w:r>
    </w:p>
    <w:p w14:paraId="26BD8BAE" w14:textId="4C70E3D0" w:rsidR="0068033E" w:rsidRPr="00DA18F1" w:rsidRDefault="0068033E" w:rsidP="00C84941">
      <w:pPr>
        <w:pStyle w:val="Bullets"/>
      </w:pPr>
      <w:r w:rsidRPr="00DA18F1">
        <w:t>There may be technical issues of defining sugars-based ingredients/ and quantifying added sugars, however, international examples can provide guidance</w:t>
      </w:r>
      <w:r w:rsidRPr="00696D94">
        <w:rPr>
          <w:vertAlign w:val="superscript"/>
        </w:rPr>
        <w:footnoteReference w:id="107"/>
      </w:r>
      <w:r w:rsidRPr="00DA18F1">
        <w:t>.</w:t>
      </w:r>
    </w:p>
    <w:p w14:paraId="55113A74" w14:textId="52AAC6E1" w:rsidR="0068033E" w:rsidRPr="00E37341" w:rsidRDefault="005F43AA" w:rsidP="00C84941">
      <w:pPr>
        <w:pStyle w:val="Bullets"/>
      </w:pPr>
      <w:r>
        <w:t>If pictorial approach includes added sugars, m</w:t>
      </w:r>
      <w:r w:rsidR="0068033E">
        <w:t>ay p</w:t>
      </w:r>
      <w:r w:rsidR="0068033E" w:rsidRPr="00E37341">
        <w:t xml:space="preserve">resents challenges for monitoring, </w:t>
      </w:r>
      <w:proofErr w:type="gramStart"/>
      <w:r w:rsidR="0068033E" w:rsidRPr="00E37341">
        <w:t>enforcement</w:t>
      </w:r>
      <w:proofErr w:type="gramEnd"/>
      <w:r w:rsidR="0068033E" w:rsidRPr="00E37341">
        <w:t xml:space="preserve"> and compliance due to </w:t>
      </w:r>
      <w:r w:rsidR="0068033E">
        <w:t>lack of</w:t>
      </w:r>
      <w:r w:rsidR="0068033E" w:rsidRPr="00E37341">
        <w:t xml:space="preserve"> analytical methods</w:t>
      </w:r>
      <w:r w:rsidR="0068033E">
        <w:t xml:space="preserve"> to quantify a foods’ added sugars content</w:t>
      </w:r>
      <w:r w:rsidR="0068033E" w:rsidRPr="00E37341">
        <w:t>, and difficulties associated with a supply</w:t>
      </w:r>
      <w:r w:rsidR="0068033E" w:rsidRPr="00E37341">
        <w:noBreakHyphen/>
        <w:t>chain or recipe-based approach</w:t>
      </w:r>
      <w:r>
        <w:t xml:space="preserve">, however, international examples </w:t>
      </w:r>
      <w:r w:rsidR="00897B8B">
        <w:t xml:space="preserve">can </w:t>
      </w:r>
      <w:r>
        <w:t>provide guidance</w:t>
      </w:r>
      <w:r w:rsidR="0068033E" w:rsidRPr="00E37341">
        <w:t>.</w:t>
      </w:r>
    </w:p>
    <w:p w14:paraId="32C96A64" w14:textId="2D5FB838" w:rsidR="0053647A" w:rsidRPr="0053647A" w:rsidRDefault="0053647A" w:rsidP="00C84941">
      <w:pPr>
        <w:pStyle w:val="Bullets"/>
      </w:pPr>
      <w:r w:rsidRPr="00E37341">
        <w:t xml:space="preserve">Separating total and added sugars on a food label was </w:t>
      </w:r>
      <w:r w:rsidR="006E6C52">
        <w:t xml:space="preserve">considered and </w:t>
      </w:r>
      <w:r w:rsidRPr="00E37341">
        <w:t>not recommended by a joint FAO/WHO Update on Carbohydrates</w:t>
      </w:r>
      <w:r w:rsidRPr="00696D94">
        <w:rPr>
          <w:vertAlign w:val="superscript"/>
        </w:rPr>
        <w:footnoteReference w:id="108"/>
      </w:r>
      <w:r w:rsidR="00125C95">
        <w:t>.</w:t>
      </w:r>
    </w:p>
    <w:p w14:paraId="0F99A6D1" w14:textId="52A22DF1" w:rsidR="005C3C94" w:rsidRPr="00CB626B" w:rsidRDefault="000614F3" w:rsidP="00C84941">
      <w:pPr>
        <w:pStyle w:val="Bullets"/>
        <w:rPr>
          <w:lang w:eastAsia="en-GB"/>
        </w:rPr>
      </w:pPr>
      <w:r>
        <w:rPr>
          <w:lang w:eastAsia="en-GB"/>
        </w:rPr>
        <w:t>May r</w:t>
      </w:r>
      <w:r w:rsidR="005C3C94" w:rsidRPr="00CB626B">
        <w:rPr>
          <w:lang w:eastAsia="en-GB"/>
        </w:rPr>
        <w:t xml:space="preserve">equire consumers to know how many teaspoons or cubes of </w:t>
      </w:r>
      <w:r w:rsidR="00561F11" w:rsidRPr="00CB626B">
        <w:rPr>
          <w:lang w:eastAsia="en-GB"/>
        </w:rPr>
        <w:t xml:space="preserve">added </w:t>
      </w:r>
      <w:r w:rsidR="005C3C94" w:rsidRPr="00CB626B">
        <w:rPr>
          <w:lang w:eastAsia="en-GB"/>
        </w:rPr>
        <w:t xml:space="preserve">sugars a day are recommended and how the </w:t>
      </w:r>
      <w:proofErr w:type="gramStart"/>
      <w:r w:rsidR="005C3C94" w:rsidRPr="00CB626B">
        <w:rPr>
          <w:lang w:eastAsia="en-GB"/>
        </w:rPr>
        <w:t>amount</w:t>
      </w:r>
      <w:proofErr w:type="gramEnd"/>
      <w:r w:rsidR="005C3C94" w:rsidRPr="00CB626B">
        <w:rPr>
          <w:lang w:eastAsia="en-GB"/>
        </w:rPr>
        <w:t xml:space="preserve"> of added sugars in a serving of food relates to a daily recommendation (</w:t>
      </w:r>
      <w:r w:rsidR="00561F11" w:rsidRPr="00CB626B">
        <w:rPr>
          <w:lang w:eastAsia="en-GB"/>
        </w:rPr>
        <w:t>Australia and New Zealand do not have a daily recommendation for</w:t>
      </w:r>
      <w:r w:rsidR="005C3C94" w:rsidRPr="00CB626B">
        <w:rPr>
          <w:lang w:eastAsia="en-GB"/>
        </w:rPr>
        <w:t xml:space="preserve"> added sugars).</w:t>
      </w:r>
    </w:p>
    <w:p w14:paraId="4F4715FC" w14:textId="57A90EBC" w:rsidR="000614F3" w:rsidRPr="00CB626B" w:rsidRDefault="000614F3" w:rsidP="00C84941">
      <w:pPr>
        <w:pStyle w:val="Bullets"/>
        <w:rPr>
          <w:lang w:eastAsia="en-GB"/>
        </w:rPr>
      </w:pPr>
      <w:r>
        <w:rPr>
          <w:lang w:eastAsia="en-GB"/>
        </w:rPr>
        <w:t xml:space="preserve">If the pictorial </w:t>
      </w:r>
      <w:r w:rsidR="005F43AA">
        <w:rPr>
          <w:lang w:eastAsia="en-GB"/>
        </w:rPr>
        <w:t xml:space="preserve">image </w:t>
      </w:r>
      <w:r>
        <w:rPr>
          <w:lang w:eastAsia="en-GB"/>
        </w:rPr>
        <w:t xml:space="preserve">used is a teaspoon, it is a less </w:t>
      </w:r>
      <w:r w:rsidR="00CB0FB5">
        <w:rPr>
          <w:lang w:eastAsia="en-GB"/>
        </w:rPr>
        <w:t>precise</w:t>
      </w:r>
      <w:r>
        <w:rPr>
          <w:lang w:eastAsia="en-GB"/>
        </w:rPr>
        <w:t xml:space="preserve"> measurement than grams, and there may be differing preconceptions of what a</w:t>
      </w:r>
      <w:r w:rsidR="00125C95">
        <w:rPr>
          <w:lang w:eastAsia="en-GB"/>
        </w:rPr>
        <w:t xml:space="preserve"> teaspoon is (heaped vs level).</w:t>
      </w:r>
    </w:p>
    <w:p w14:paraId="2BB7D778" w14:textId="4B194B59" w:rsidR="0053647A" w:rsidRPr="00E37341" w:rsidRDefault="0053647A" w:rsidP="00C84941">
      <w:pPr>
        <w:pStyle w:val="Bullets"/>
      </w:pPr>
      <w:r w:rsidRPr="00E37341">
        <w:t xml:space="preserve">Focusing on </w:t>
      </w:r>
      <w:r>
        <w:t xml:space="preserve">sugars or </w:t>
      </w:r>
      <w:r w:rsidRPr="00E37341">
        <w:t>added sugars alone as a negative nutrient (without including other negative nutrients – saturated fat and s</w:t>
      </w:r>
      <w:r w:rsidR="00A141AE">
        <w:t>odium</w:t>
      </w:r>
      <w:r w:rsidRPr="00E37341">
        <w:t>) may imply added sugars are a more concerning nutrient which is inconsistent with the dietary guidelines. May lead some consumers to place too much emphasis on added sugars, resulting in less accurate evaluations of a food’s overall healthiness and may have unintended consequences for intakes of other nutrients and reformulation.</w:t>
      </w:r>
    </w:p>
    <w:p w14:paraId="486381F4" w14:textId="15CB61CE" w:rsidR="0053647A" w:rsidRDefault="0053647A" w:rsidP="00C84941">
      <w:pPr>
        <w:pStyle w:val="Bullets"/>
      </w:pPr>
      <w:r>
        <w:t>M</w:t>
      </w:r>
      <w:r w:rsidRPr="00CB626B">
        <w:t>ay compete with the non-mandatory food labelling elements.</w:t>
      </w:r>
    </w:p>
    <w:p w14:paraId="783CF894" w14:textId="307A14B0" w:rsidR="005E6C7F" w:rsidRDefault="0053647A" w:rsidP="00C84941">
      <w:pPr>
        <w:pStyle w:val="Bullets"/>
      </w:pPr>
      <w:r w:rsidRPr="00CB626B">
        <w:t xml:space="preserve">May compete with the HSR for space on the label. HSR </w:t>
      </w:r>
      <w:proofErr w:type="gramStart"/>
      <w:r w:rsidRPr="00CB626B">
        <w:t>takes into account</w:t>
      </w:r>
      <w:proofErr w:type="gramEnd"/>
      <w:r w:rsidRPr="00CB626B">
        <w:t xml:space="preserve"> more than sugars (energy, saturated fat, protein, sodium and fruit, vegetable</w:t>
      </w:r>
      <w:r>
        <w:t>,</w:t>
      </w:r>
      <w:r w:rsidRPr="00CB626B">
        <w:t xml:space="preserve"> </w:t>
      </w:r>
      <w:r>
        <w:t xml:space="preserve">nut and legume </w:t>
      </w:r>
      <w:r w:rsidRPr="00CB626B">
        <w:t xml:space="preserve">content) so if the HSR was pushed-off the label by </w:t>
      </w:r>
      <w:r>
        <w:t>pictorial labels</w:t>
      </w:r>
      <w:r w:rsidRPr="00CB626B">
        <w:t xml:space="preserve">, the food label </w:t>
      </w:r>
      <w:r>
        <w:t>would</w:t>
      </w:r>
      <w:r w:rsidRPr="00CB626B">
        <w:t xml:space="preserve"> provide less information to support consumers to take a whole-of</w:t>
      </w:r>
      <w:r w:rsidR="00125C95">
        <w:t>-diet approach to food choices.</w:t>
      </w:r>
    </w:p>
    <w:p w14:paraId="585AAA52" w14:textId="73803674" w:rsidR="00E635A4" w:rsidRPr="005E6C7F" w:rsidRDefault="00535F25" w:rsidP="00314A5D">
      <w:pPr>
        <w:pStyle w:val="Heading2"/>
      </w:pPr>
      <w:bookmarkStart w:id="172" w:name="_Toc6323615"/>
      <w:r w:rsidRPr="005E6C7F">
        <w:t xml:space="preserve">Option </w:t>
      </w:r>
      <w:r w:rsidR="005E2084" w:rsidRPr="005E6C7F">
        <w:t>7</w:t>
      </w:r>
      <w:r w:rsidRPr="005E6C7F">
        <w:t xml:space="preserve">: </w:t>
      </w:r>
      <w:r w:rsidR="009E690F" w:rsidRPr="005E6C7F">
        <w:t>Digital linking to off label web-based information about added sugar</w:t>
      </w:r>
      <w:r w:rsidR="00654EA5" w:rsidRPr="005E6C7F">
        <w:t>s</w:t>
      </w:r>
      <w:r w:rsidR="009E690F" w:rsidRPr="005E6C7F">
        <w:t xml:space="preserve"> </w:t>
      </w:r>
      <w:proofErr w:type="gramStart"/>
      <w:r w:rsidR="009E690F" w:rsidRPr="005E6C7F">
        <w:t>content</w:t>
      </w:r>
      <w:bookmarkEnd w:id="172"/>
      <w:proofErr w:type="gramEnd"/>
    </w:p>
    <w:p w14:paraId="128B49C5" w14:textId="77777777" w:rsidR="007574D4" w:rsidRPr="00B44104" w:rsidRDefault="009E690F" w:rsidP="00314A5D">
      <w:pPr>
        <w:pStyle w:val="Heading3"/>
      </w:pPr>
      <w:r w:rsidRPr="00B44104">
        <w:t>Description</w:t>
      </w:r>
    </w:p>
    <w:p w14:paraId="205FC3B8" w14:textId="38D65BC4" w:rsidR="00CB0FB5" w:rsidRDefault="009E690F" w:rsidP="00BC587F">
      <w:r w:rsidRPr="00CB626B">
        <w:t>A food label would signal the availability of further information about the food which can be accessed on a website via an electronic or digital link.</w:t>
      </w:r>
    </w:p>
    <w:p w14:paraId="44B7DB55" w14:textId="7B50CDD5" w:rsidR="006060CB" w:rsidRPr="0053647A" w:rsidRDefault="009E690F" w:rsidP="00BC587F">
      <w:r w:rsidRPr="00CB626B">
        <w:t xml:space="preserve">The digital/electronic link could be a </w:t>
      </w:r>
      <w:r w:rsidR="001242AA" w:rsidRPr="00CB626B">
        <w:t>“</w:t>
      </w:r>
      <w:r w:rsidRPr="00CB626B">
        <w:t>QR code</w:t>
      </w:r>
      <w:r w:rsidR="001242AA" w:rsidRPr="00CB626B">
        <w:t>”</w:t>
      </w:r>
      <w:r w:rsidRPr="00CB626B">
        <w:t xml:space="preserve">, bar code or other scannable code, or </w:t>
      </w:r>
      <w:r w:rsidR="006E6C52">
        <w:t xml:space="preserve">there could be </w:t>
      </w:r>
      <w:r w:rsidRPr="00CB626B">
        <w:t>a website</w:t>
      </w:r>
      <w:r w:rsidR="006E6C52">
        <w:t xml:space="preserve"> address</w:t>
      </w:r>
      <w:r w:rsidRPr="00CB626B">
        <w:t xml:space="preserve"> that has to be typed into a browser. Text accompanying the link could refer to more information about the food generally, and/or could refer directly to added sugar</w:t>
      </w:r>
      <w:r w:rsidR="00654EA5" w:rsidRPr="00CB626B">
        <w:t>s</w:t>
      </w:r>
      <w:r w:rsidRPr="00CB626B">
        <w:t xml:space="preserve">, for example, </w:t>
      </w:r>
      <w:r w:rsidRPr="00125C95">
        <w:rPr>
          <w:rStyle w:val="Emphasis"/>
        </w:rPr>
        <w:t>‘Scan here for more information about this food’</w:t>
      </w:r>
      <w:r w:rsidRPr="00CB626B">
        <w:t xml:space="preserve"> or </w:t>
      </w:r>
      <w:r w:rsidRPr="00125C95">
        <w:rPr>
          <w:rStyle w:val="Emphasis"/>
        </w:rPr>
        <w:t>‘Scan here for more information about the added sugar</w:t>
      </w:r>
      <w:r w:rsidR="00654EA5" w:rsidRPr="00125C95">
        <w:rPr>
          <w:rStyle w:val="Emphasis"/>
        </w:rPr>
        <w:t>s</w:t>
      </w:r>
      <w:r w:rsidRPr="00125C95">
        <w:rPr>
          <w:rStyle w:val="Emphasis"/>
        </w:rPr>
        <w:t xml:space="preserve"> in this food’</w:t>
      </w:r>
      <w:r w:rsidR="00125C95">
        <w:t>.</w:t>
      </w:r>
    </w:p>
    <w:p w14:paraId="57C17E7F" w14:textId="2992FAAD" w:rsidR="009E690F" w:rsidRPr="006341DE" w:rsidRDefault="0067354B" w:rsidP="00BC587F">
      <w:r w:rsidRPr="00CB626B">
        <w:t xml:space="preserve">Websites would be maintained by the food manufacturer. </w:t>
      </w:r>
      <w:r w:rsidR="006060CB" w:rsidRPr="00CB626B">
        <w:t xml:space="preserve">The actual information to be provided on the website would be identified during implementation of this option but may be anything from the </w:t>
      </w:r>
      <w:r w:rsidR="00AF7DD5" w:rsidRPr="00CB626B">
        <w:t xml:space="preserve">labelling </w:t>
      </w:r>
      <w:r w:rsidR="006060CB" w:rsidRPr="00CB626B">
        <w:t>options currently under consideration: education, identification of sugars-based ingredients, additional NIP information about added sugar</w:t>
      </w:r>
      <w:r w:rsidR="00654EA5" w:rsidRPr="00CB626B">
        <w:t>s</w:t>
      </w:r>
      <w:r w:rsidR="006060CB" w:rsidRPr="00CB626B">
        <w:t>, etc.</w:t>
      </w:r>
      <w:r w:rsidR="006341DE">
        <w:t xml:space="preserve"> </w:t>
      </w:r>
      <w:proofErr w:type="gramStart"/>
      <w:r w:rsidR="006341DE" w:rsidRPr="006341DE">
        <w:t>All of</w:t>
      </w:r>
      <w:proofErr w:type="gramEnd"/>
      <w:r w:rsidR="006341DE" w:rsidRPr="006341DE">
        <w:t xml:space="preserve"> the above proposed additional information on the label could be provided through </w:t>
      </w:r>
      <w:r w:rsidR="006E6C52">
        <w:t>off-label web-based information</w:t>
      </w:r>
      <w:r w:rsidR="006341DE" w:rsidRPr="006341DE">
        <w:t>.</w:t>
      </w:r>
    </w:p>
    <w:p w14:paraId="735B7C49" w14:textId="3AC71BEF" w:rsidR="006060CB" w:rsidRPr="0053647A" w:rsidRDefault="006060CB" w:rsidP="00BC587F">
      <w:r w:rsidRPr="00CB626B">
        <w:t xml:space="preserve">This would be different to the status quo as requirements for the signal on the label and the information on the website would be provided, for example </w:t>
      </w:r>
      <w:r w:rsidR="005F43AA">
        <w:t xml:space="preserve">there would be requirements for </w:t>
      </w:r>
      <w:r w:rsidRPr="00CB626B">
        <w:t xml:space="preserve">how to </w:t>
      </w:r>
      <w:r w:rsidR="005F43AA">
        <w:t>quantify</w:t>
      </w:r>
      <w:r w:rsidRPr="00CB626B">
        <w:t xml:space="preserve"> added sugars</w:t>
      </w:r>
      <w:r w:rsidR="005F43AA">
        <w:t xml:space="preserve"> in the web-based information</w:t>
      </w:r>
      <w:r w:rsidR="00125C95">
        <w:t>.</w:t>
      </w:r>
    </w:p>
    <w:p w14:paraId="1DCA85C6" w14:textId="33A57376" w:rsidR="009E690F" w:rsidRPr="0053647A" w:rsidRDefault="009E690F" w:rsidP="00BC587F">
      <w:r w:rsidRPr="00CB626B">
        <w:t>This option aims to address the policy issue by providing consumers with additional contextual information about added sugar</w:t>
      </w:r>
      <w:r w:rsidR="006060CB" w:rsidRPr="00CB626B">
        <w:t xml:space="preserve"> on a website</w:t>
      </w:r>
      <w:r w:rsidRPr="00CB626B">
        <w:t xml:space="preserve">. This additional web-based information could be used by consumers to make informed choices in support of the recommendations in the dietary guidelines. </w:t>
      </w:r>
      <w:r w:rsidR="00AF7DD5" w:rsidRPr="00CB626B">
        <w:t>Note this option does not extend to provision of information for on-line sales of food.</w:t>
      </w:r>
    </w:p>
    <w:p w14:paraId="084B07B9" w14:textId="77777777" w:rsidR="007574D4" w:rsidRPr="00B44104" w:rsidRDefault="006060CB" w:rsidP="00314A5D">
      <w:pPr>
        <w:pStyle w:val="Heading3"/>
      </w:pPr>
      <w:r w:rsidRPr="00B44104">
        <w:t>Rationale</w:t>
      </w:r>
    </w:p>
    <w:p w14:paraId="6721B3B3" w14:textId="3C28E7A2" w:rsidR="006060CB" w:rsidRPr="0053647A" w:rsidRDefault="006060CB" w:rsidP="00BC587F">
      <w:pPr>
        <w:rPr>
          <w:lang w:eastAsia="en-GB"/>
        </w:rPr>
      </w:pPr>
      <w:r w:rsidRPr="00CB626B">
        <w:rPr>
          <w:lang w:eastAsia="en-GB"/>
        </w:rPr>
        <w:t>Under the status quo, information about the added sugar</w:t>
      </w:r>
      <w:r w:rsidR="00654EA5" w:rsidRPr="00CB626B">
        <w:rPr>
          <w:lang w:eastAsia="en-GB"/>
        </w:rPr>
        <w:t>s</w:t>
      </w:r>
      <w:r w:rsidRPr="00CB626B">
        <w:rPr>
          <w:lang w:eastAsia="en-GB"/>
        </w:rPr>
        <w:t xml:space="preserve"> content of foods is limited (on and off food labels), which impacts on consumers</w:t>
      </w:r>
      <w:r w:rsidR="00FC0406" w:rsidRPr="00CB626B">
        <w:rPr>
          <w:lang w:eastAsia="en-GB"/>
        </w:rPr>
        <w:t>’</w:t>
      </w:r>
      <w:r w:rsidRPr="00CB626B">
        <w:rPr>
          <w:lang w:eastAsia="en-GB"/>
        </w:rPr>
        <w:t xml:space="preserve"> ability to make choices in support of the dietary guidelines. This option would enable consumers to access this information thr</w:t>
      </w:r>
      <w:r w:rsidR="00125C95">
        <w:rPr>
          <w:lang w:eastAsia="en-GB"/>
        </w:rPr>
        <w:t>ough smart phones and websites.</w:t>
      </w:r>
    </w:p>
    <w:p w14:paraId="01A04724" w14:textId="77777777" w:rsidR="007574D4" w:rsidRPr="00B44104" w:rsidRDefault="006060CB" w:rsidP="00314A5D">
      <w:pPr>
        <w:pStyle w:val="Heading3"/>
      </w:pPr>
      <w:r w:rsidRPr="00B44104">
        <w:t>Current example</w:t>
      </w:r>
    </w:p>
    <w:p w14:paraId="48C3E362" w14:textId="7A35EBB4" w:rsidR="006060CB" w:rsidRPr="00CB626B" w:rsidRDefault="006060CB" w:rsidP="00BC587F">
      <w:r w:rsidRPr="00CB626B">
        <w:t xml:space="preserve">Although not relevant to sugar, the United States Department of Agriculture </w:t>
      </w:r>
      <w:r w:rsidR="00704324">
        <w:t>is</w:t>
      </w:r>
      <w:r w:rsidR="00704324" w:rsidRPr="00CB626B">
        <w:t xml:space="preserve"> </w:t>
      </w:r>
      <w:r w:rsidRPr="00CB626B">
        <w:t>currently drafting a proposed rule</w:t>
      </w:r>
      <w:r w:rsidR="00891843" w:rsidRPr="00CB626B">
        <w:rPr>
          <w:rStyle w:val="FootnoteReference"/>
        </w:rPr>
        <w:footnoteReference w:id="109"/>
      </w:r>
      <w:r w:rsidRPr="00CB626B">
        <w:t xml:space="preserve"> for a national mandatory system for disclosing the presence of bioengineered material. Under the new rule the form of disclosure will be a text, symbol, or electronic or digital link, with the disclosure option to be selected by the food manufacturer. A study</w:t>
      </w:r>
      <w:r w:rsidR="00891843" w:rsidRPr="00CB626B">
        <w:rPr>
          <w:rStyle w:val="FootnoteReference"/>
        </w:rPr>
        <w:footnoteReference w:id="110"/>
      </w:r>
      <w:r w:rsidRPr="00CB626B">
        <w:t xml:space="preserve"> has been completed to identify potential technological challenges that may impact whether consumers would have access to the bioengineering disclosure through electronic or digital disclosure methods.</w:t>
      </w:r>
    </w:p>
    <w:p w14:paraId="1BC94F3A" w14:textId="2C7DC9C5" w:rsidR="0016232C" w:rsidRDefault="006060CB" w:rsidP="00BC587F">
      <w:proofErr w:type="gramStart"/>
      <w:r w:rsidRPr="00CB626B">
        <w:t>Again</w:t>
      </w:r>
      <w:proofErr w:type="gramEnd"/>
      <w:r w:rsidRPr="00CB626B">
        <w:t xml:space="preserve"> not specific to sugar</w:t>
      </w:r>
      <w:r w:rsidR="00654EA5" w:rsidRPr="00CB626B">
        <w:t>s</w:t>
      </w:r>
      <w:r w:rsidRPr="00CB626B">
        <w:t>, private industry</w:t>
      </w:r>
      <w:r w:rsidR="00E207D6">
        <w:t>-</w:t>
      </w:r>
      <w:r w:rsidRPr="00CB626B">
        <w:t xml:space="preserve">backed organisations in the </w:t>
      </w:r>
      <w:r w:rsidR="00E207D6">
        <w:t xml:space="preserve">United States </w:t>
      </w:r>
      <w:r w:rsidRPr="00CB626B">
        <w:t xml:space="preserve">and Canada are providing access to more detailed product information with a digital format (from websites, through </w:t>
      </w:r>
      <w:r w:rsidR="00E207D6">
        <w:t>a</w:t>
      </w:r>
      <w:r w:rsidRPr="00CB626B">
        <w:t>pps) directly from the manufacturer e.g. Smart Label</w:t>
      </w:r>
      <w:r w:rsidR="001A0D3D" w:rsidRPr="00CB626B">
        <w:rPr>
          <w:rStyle w:val="FootnoteReference"/>
        </w:rPr>
        <w:footnoteReference w:id="111"/>
      </w:r>
      <w:r w:rsidRPr="00CB626B">
        <w:t xml:space="preserve"> or use of company apps</w:t>
      </w:r>
      <w:r w:rsidRPr="00CB626B">
        <w:rPr>
          <w:rStyle w:val="FootnoteReference"/>
        </w:rPr>
        <w:footnoteReference w:id="112"/>
      </w:r>
      <w:r w:rsidR="00125C95">
        <w:rPr>
          <w:vertAlign w:val="superscript"/>
        </w:rPr>
        <w:t>,</w:t>
      </w:r>
      <w:r w:rsidRPr="00CB626B">
        <w:rPr>
          <w:rStyle w:val="FootnoteReference"/>
        </w:rPr>
        <w:footnoteReference w:id="113"/>
      </w:r>
      <w:r w:rsidR="00FA3C1C">
        <w:t>.</w:t>
      </w:r>
    </w:p>
    <w:p w14:paraId="40BA6309" w14:textId="77777777" w:rsidR="00125C95" w:rsidRDefault="00D83F58" w:rsidP="00BC587F">
      <w:r w:rsidRPr="00D2695A">
        <w:t xml:space="preserve">The George Institute in Australia has developed the </w:t>
      </w:r>
      <w:r w:rsidRPr="00F70C9F">
        <w:rPr>
          <w:rStyle w:val="Emphasis"/>
        </w:rPr>
        <w:t>Food Switch</w:t>
      </w:r>
      <w:r w:rsidRPr="00D2695A">
        <w:t xml:space="preserve"> app</w:t>
      </w:r>
      <w:r w:rsidR="0016232C" w:rsidRPr="00D2695A">
        <w:rPr>
          <w:rStyle w:val="FootnoteReference"/>
        </w:rPr>
        <w:footnoteReference w:id="114"/>
      </w:r>
      <w:r w:rsidRPr="00D2695A">
        <w:t xml:space="preserve"> for smart phones where consumers can scan barcodes of packaged foods to receive information on the composition of the food (</w:t>
      </w:r>
      <w:proofErr w:type="spellStart"/>
      <w:r w:rsidRPr="00D2695A">
        <w:t>e.g</w:t>
      </w:r>
      <w:proofErr w:type="spellEnd"/>
      <w:r w:rsidRPr="00D2695A">
        <w:t xml:space="preserve"> fat, </w:t>
      </w:r>
      <w:proofErr w:type="gramStart"/>
      <w:r w:rsidRPr="00D2695A">
        <w:t>s</w:t>
      </w:r>
      <w:r w:rsidR="00A141AE" w:rsidRPr="00D2695A">
        <w:t>odium</w:t>
      </w:r>
      <w:proofErr w:type="gramEnd"/>
      <w:r w:rsidR="00A141AE" w:rsidRPr="00D2695A">
        <w:t xml:space="preserve"> </w:t>
      </w:r>
      <w:r w:rsidRPr="00D2695A">
        <w:t xml:space="preserve">and total sugars) and see information on similar foods that have a healthier nutrition profile. </w:t>
      </w:r>
      <w:r w:rsidR="0016232C" w:rsidRPr="00D2695A">
        <w:t xml:space="preserve">Users can select different filters when using the app to focus on a particular nutrient of concern such as </w:t>
      </w:r>
      <w:r w:rsidR="00A141AE" w:rsidRPr="00D2695A">
        <w:t>sodium</w:t>
      </w:r>
      <w:r w:rsidR="0016232C" w:rsidRPr="00D2695A">
        <w:t xml:space="preserve">, </w:t>
      </w:r>
      <w:r w:rsidR="00CF2B5D" w:rsidRPr="00D2695A">
        <w:t xml:space="preserve">saturated </w:t>
      </w:r>
      <w:r w:rsidR="0016232C" w:rsidRPr="00D2695A">
        <w:t xml:space="preserve">fat, </w:t>
      </w:r>
      <w:proofErr w:type="gramStart"/>
      <w:r w:rsidR="0016232C" w:rsidRPr="00D2695A">
        <w:t>sugar</w:t>
      </w:r>
      <w:proofErr w:type="gramEnd"/>
      <w:r w:rsidR="0016232C" w:rsidRPr="00D2695A">
        <w:t xml:space="preserve"> or kilojoules.</w:t>
      </w:r>
      <w:r w:rsidR="0016232C" w:rsidRPr="00A16691">
        <w:t xml:space="preserve"> </w:t>
      </w:r>
      <w:r w:rsidR="00D2695A">
        <w:t>However, the George Institute has advised</w:t>
      </w:r>
      <w:r w:rsidR="00E207D6">
        <w:t xml:space="preserve"> that</w:t>
      </w:r>
      <w:r w:rsidR="00D2695A">
        <w:t xml:space="preserve"> despite a high number of downloads for this app (600,000 in Australia), </w:t>
      </w:r>
      <w:proofErr w:type="gramStart"/>
      <w:r w:rsidR="00D2695A">
        <w:t>the majority of</w:t>
      </w:r>
      <w:proofErr w:type="gramEnd"/>
      <w:r w:rsidR="00D2695A">
        <w:t xml:space="preserve"> people who have the app don’t use it regularly with 1,000 daily active users (0.16% of those who have downloaded the app) and monthly active users between 15,000 </w:t>
      </w:r>
      <w:r w:rsidR="00190095">
        <w:t xml:space="preserve">and </w:t>
      </w:r>
      <w:r w:rsidR="00D2695A">
        <w:t>20,000 (3% if those</w:t>
      </w:r>
      <w:r w:rsidR="00125C95">
        <w:t xml:space="preserve"> who have downloaded the app).</w:t>
      </w:r>
    </w:p>
    <w:p w14:paraId="12B4C081" w14:textId="678ECCDC" w:rsidR="005C3C94" w:rsidRPr="006456F5" w:rsidRDefault="005C3C94" w:rsidP="00314A5D">
      <w:pPr>
        <w:pStyle w:val="Heading3"/>
        <w:rPr>
          <w:rStyle w:val="Strong"/>
          <w:b/>
          <w:bCs/>
        </w:rPr>
      </w:pPr>
      <w:r w:rsidRPr="006456F5">
        <w:rPr>
          <w:rStyle w:val="Strong"/>
          <w:b/>
          <w:bCs/>
        </w:rPr>
        <w:t>Strengths</w:t>
      </w:r>
    </w:p>
    <w:p w14:paraId="3B49C57E" w14:textId="31FB93A2" w:rsidR="005C3C94" w:rsidRDefault="0067354B" w:rsidP="00C84941">
      <w:pPr>
        <w:pStyle w:val="Bullets"/>
      </w:pPr>
      <w:r w:rsidRPr="00CB626B">
        <w:rPr>
          <w:lang w:eastAsia="en-GB"/>
        </w:rPr>
        <w:t>Could provide</w:t>
      </w:r>
      <w:r w:rsidR="005C3C94" w:rsidRPr="00CB626B">
        <w:rPr>
          <w:lang w:eastAsia="en-GB"/>
        </w:rPr>
        <w:t xml:space="preserve"> additional information for consumers</w:t>
      </w:r>
      <w:r w:rsidRPr="00CB626B">
        <w:rPr>
          <w:lang w:eastAsia="en-GB"/>
        </w:rPr>
        <w:t xml:space="preserve"> (with access to a smart phone) </w:t>
      </w:r>
      <w:r w:rsidR="005C3C94" w:rsidRPr="00CB626B">
        <w:rPr>
          <w:lang w:eastAsia="en-GB"/>
        </w:rPr>
        <w:t>in their decisio</w:t>
      </w:r>
      <w:r w:rsidR="00D35AF0">
        <w:rPr>
          <w:lang w:eastAsia="en-GB"/>
        </w:rPr>
        <w:t>n making at point of purchase.</w:t>
      </w:r>
    </w:p>
    <w:p w14:paraId="304DDDDC" w14:textId="77777777" w:rsidR="006341DE" w:rsidRPr="00CB626B" w:rsidRDefault="006341DE" w:rsidP="00C84941">
      <w:pPr>
        <w:pStyle w:val="Bullets"/>
        <w:rPr>
          <w:lang w:eastAsia="en-GB"/>
        </w:rPr>
      </w:pPr>
      <w:r w:rsidRPr="00CB626B">
        <w:rPr>
          <w:lang w:eastAsia="en-GB"/>
        </w:rPr>
        <w:t>Could provide further information about sugar</w:t>
      </w:r>
      <w:r>
        <w:rPr>
          <w:lang w:eastAsia="en-GB"/>
        </w:rPr>
        <w:t>s</w:t>
      </w:r>
      <w:r w:rsidRPr="00CB626B">
        <w:rPr>
          <w:lang w:eastAsia="en-GB"/>
        </w:rPr>
        <w:t xml:space="preserve"> in food in small packages that do not have </w:t>
      </w:r>
      <w:r>
        <w:rPr>
          <w:lang w:eastAsia="en-GB"/>
        </w:rPr>
        <w:t>NIPs</w:t>
      </w:r>
      <w:r w:rsidRPr="00CB626B">
        <w:rPr>
          <w:lang w:eastAsia="en-GB"/>
        </w:rPr>
        <w:t xml:space="preserve">. </w:t>
      </w:r>
      <w:r>
        <w:rPr>
          <w:lang w:eastAsia="en-GB"/>
        </w:rPr>
        <w:t>However, depending on the final format of digital linking, there may be no space for digital link (</w:t>
      </w:r>
      <w:proofErr w:type="gramStart"/>
      <w:r>
        <w:rPr>
          <w:lang w:eastAsia="en-GB"/>
        </w:rPr>
        <w:t>e.g.</w:t>
      </w:r>
      <w:proofErr w:type="gramEnd"/>
      <w:r>
        <w:rPr>
          <w:lang w:eastAsia="en-GB"/>
        </w:rPr>
        <w:t xml:space="preserve"> website or QR Code) on a small package either.</w:t>
      </w:r>
    </w:p>
    <w:p w14:paraId="46277208" w14:textId="47C70DA6" w:rsidR="006341DE" w:rsidRDefault="005C3C94" w:rsidP="00C84941">
      <w:pPr>
        <w:pStyle w:val="Bullets"/>
        <w:rPr>
          <w:lang w:eastAsia="en-US"/>
        </w:rPr>
      </w:pPr>
      <w:r w:rsidRPr="00CB626B">
        <w:rPr>
          <w:lang w:eastAsia="en-GB"/>
        </w:rPr>
        <w:t>Allows for easier modification for any f</w:t>
      </w:r>
      <w:r w:rsidR="00891843" w:rsidRPr="00CB626B">
        <w:rPr>
          <w:lang w:eastAsia="en-GB"/>
        </w:rPr>
        <w:t xml:space="preserve">uture changes in </w:t>
      </w:r>
      <w:r w:rsidR="006E6C52">
        <w:rPr>
          <w:lang w:eastAsia="en-GB"/>
        </w:rPr>
        <w:t xml:space="preserve">food composition, regulatory </w:t>
      </w:r>
      <w:r w:rsidR="00891843" w:rsidRPr="00CB626B">
        <w:rPr>
          <w:lang w:eastAsia="en-GB"/>
        </w:rPr>
        <w:t xml:space="preserve">requirements, </w:t>
      </w:r>
      <w:r w:rsidRPr="00CB626B">
        <w:rPr>
          <w:lang w:eastAsia="en-GB"/>
        </w:rPr>
        <w:t xml:space="preserve">guidelines, </w:t>
      </w:r>
      <w:proofErr w:type="gramStart"/>
      <w:r w:rsidRPr="00CB626B">
        <w:rPr>
          <w:lang w:eastAsia="en-GB"/>
        </w:rPr>
        <w:t>research</w:t>
      </w:r>
      <w:proofErr w:type="gramEnd"/>
      <w:r w:rsidRPr="00CB626B">
        <w:rPr>
          <w:lang w:eastAsia="en-GB"/>
        </w:rPr>
        <w:t xml:space="preserve"> and evidence.</w:t>
      </w:r>
    </w:p>
    <w:p w14:paraId="59833598" w14:textId="38D0356A" w:rsidR="005C3C94" w:rsidRPr="00CB626B" w:rsidRDefault="006341DE" w:rsidP="00C84941">
      <w:pPr>
        <w:pStyle w:val="Bullets"/>
        <w:rPr>
          <w:lang w:eastAsia="en-US"/>
        </w:rPr>
      </w:pPr>
      <w:r>
        <w:t>May establish digital linking infrastructure for future nutrients/ingredien</w:t>
      </w:r>
      <w:r w:rsidR="00D35AF0">
        <w:t>ts/issues of consumer interest.</w:t>
      </w:r>
    </w:p>
    <w:p w14:paraId="0CECC2E0" w14:textId="15758BF7" w:rsidR="005C3C94" w:rsidRDefault="005C3C94" w:rsidP="00C84941">
      <w:pPr>
        <w:pStyle w:val="Bullets"/>
        <w:rPr>
          <w:lang w:eastAsia="en-GB"/>
        </w:rPr>
      </w:pPr>
      <w:r w:rsidRPr="00CB626B">
        <w:rPr>
          <w:lang w:eastAsia="en-GB"/>
        </w:rPr>
        <w:t>Consumers report having an interest in sugar</w:t>
      </w:r>
      <w:r w:rsidR="00654EA5" w:rsidRPr="00CB626B">
        <w:rPr>
          <w:lang w:eastAsia="en-GB"/>
        </w:rPr>
        <w:t>s</w:t>
      </w:r>
      <w:r w:rsidRPr="00CB626B">
        <w:rPr>
          <w:lang w:eastAsia="en-GB"/>
        </w:rPr>
        <w:t xml:space="preserve"> and may be receptive to additional information</w:t>
      </w:r>
      <w:r w:rsidR="001A0D3D" w:rsidRPr="00696D94">
        <w:rPr>
          <w:vertAlign w:val="superscript"/>
        </w:rPr>
        <w:footnoteReference w:id="115"/>
      </w:r>
      <w:r w:rsidR="00DB3BF5" w:rsidRPr="00DB3BF5">
        <w:t>.</w:t>
      </w:r>
    </w:p>
    <w:p w14:paraId="09F2EEB2" w14:textId="4DC3578A" w:rsidR="005C3C94" w:rsidRPr="006456F5" w:rsidRDefault="00D35AF0" w:rsidP="00314A5D">
      <w:pPr>
        <w:pStyle w:val="Heading3"/>
        <w:rPr>
          <w:rStyle w:val="Strong"/>
          <w:b/>
          <w:bCs/>
        </w:rPr>
      </w:pPr>
      <w:r w:rsidRPr="006456F5">
        <w:rPr>
          <w:rStyle w:val="Strong"/>
          <w:b/>
          <w:bCs/>
        </w:rPr>
        <w:t>Weaknesses</w:t>
      </w:r>
    </w:p>
    <w:p w14:paraId="6DEBAA82" w14:textId="77777777" w:rsidR="00DA18F1" w:rsidRDefault="00DA18F1" w:rsidP="00C84941">
      <w:pPr>
        <w:pStyle w:val="Bullets"/>
      </w:pPr>
      <w:r w:rsidRPr="00DA18F1">
        <w:t>Impact on industry to implement additional labelling, including cost associated with label changes and use of additional space on package.</w:t>
      </w:r>
    </w:p>
    <w:p w14:paraId="5B7D7593" w14:textId="404E9D7A" w:rsidR="006341DE" w:rsidRPr="00DA18F1" w:rsidRDefault="006341DE" w:rsidP="00C84941">
      <w:pPr>
        <w:pStyle w:val="Bullets"/>
      </w:pPr>
      <w:r w:rsidRPr="00DA18F1">
        <w:t>There may be technical issues of defining sugars-based ingredients and quantifying added sugars, however, international examples can provide guidance</w:t>
      </w:r>
      <w:r w:rsidRPr="00696D94">
        <w:rPr>
          <w:vertAlign w:val="superscript"/>
        </w:rPr>
        <w:footnoteReference w:id="116"/>
      </w:r>
      <w:r w:rsidRPr="00DA18F1">
        <w:t>.</w:t>
      </w:r>
    </w:p>
    <w:p w14:paraId="1217E5C1" w14:textId="22FC3700" w:rsidR="006341DE" w:rsidRPr="006341DE" w:rsidRDefault="006341DE" w:rsidP="00C84941">
      <w:pPr>
        <w:pStyle w:val="Bullets"/>
      </w:pPr>
      <w:r>
        <w:t>May p</w:t>
      </w:r>
      <w:r w:rsidRPr="00E37341">
        <w:t xml:space="preserve">resent challenges for monitoring, </w:t>
      </w:r>
      <w:proofErr w:type="gramStart"/>
      <w:r w:rsidRPr="00E37341">
        <w:t>enforcement</w:t>
      </w:r>
      <w:proofErr w:type="gramEnd"/>
      <w:r w:rsidRPr="00E37341">
        <w:t xml:space="preserve"> and compliance due to </w:t>
      </w:r>
      <w:r w:rsidR="00897B8B">
        <w:t xml:space="preserve">regulating information that is not on a label, </w:t>
      </w:r>
      <w:r>
        <w:t>lack of</w:t>
      </w:r>
      <w:r w:rsidRPr="00E37341">
        <w:t xml:space="preserve"> analytical methods</w:t>
      </w:r>
      <w:r w:rsidR="006E6C52">
        <w:t xml:space="preserve"> to quantify a food’s</w:t>
      </w:r>
      <w:r>
        <w:t xml:space="preserve"> added sugars content</w:t>
      </w:r>
      <w:r w:rsidRPr="00E37341">
        <w:t>, and difficulties associated with a supply</w:t>
      </w:r>
      <w:r w:rsidRPr="00E37341">
        <w:noBreakHyphen/>
        <w:t>chain or recipe-based approach</w:t>
      </w:r>
      <w:r w:rsidR="00897B8B">
        <w:t>, however, international examples can provide guidance</w:t>
      </w:r>
      <w:r w:rsidRPr="00E37341">
        <w:t>.</w:t>
      </w:r>
    </w:p>
    <w:p w14:paraId="497F683B" w14:textId="027B117B" w:rsidR="0016232C" w:rsidRPr="00A073BE" w:rsidRDefault="005C3C94" w:rsidP="00C84941">
      <w:pPr>
        <w:pStyle w:val="Bullets"/>
        <w:rPr>
          <w:lang w:eastAsia="en-GB"/>
        </w:rPr>
      </w:pPr>
      <w:r w:rsidRPr="00A073BE">
        <w:rPr>
          <w:lang w:eastAsia="en-GB"/>
        </w:rPr>
        <w:t xml:space="preserve">Requires food companies to have or establish a website and/or to develop apps (or other tools) to enable </w:t>
      </w:r>
      <w:r w:rsidR="00D35AF0">
        <w:rPr>
          <w:lang w:eastAsia="en-GB"/>
        </w:rPr>
        <w:t>consumer access to information.</w:t>
      </w:r>
    </w:p>
    <w:p w14:paraId="0C431759" w14:textId="20DEB7C3" w:rsidR="0016232C" w:rsidRPr="00A073BE" w:rsidRDefault="00E1504E" w:rsidP="00C84941">
      <w:pPr>
        <w:pStyle w:val="Bullets"/>
        <w:rPr>
          <w:lang w:eastAsia="en-GB"/>
        </w:rPr>
      </w:pPr>
      <w:r w:rsidRPr="00A16691">
        <w:rPr>
          <w:lang w:eastAsia="en-GB"/>
        </w:rPr>
        <w:t>If websites are maintained by individual companies, it may be difficult for consumers to easily compare products by different manu</w:t>
      </w:r>
      <w:r w:rsidR="00A12C35" w:rsidRPr="00A16691">
        <w:rPr>
          <w:lang w:eastAsia="en-GB"/>
        </w:rPr>
        <w:t>facturers on a consistent basis</w:t>
      </w:r>
      <w:r w:rsidR="0016232C">
        <w:rPr>
          <w:lang w:eastAsia="en-GB"/>
        </w:rPr>
        <w:t xml:space="preserve"> and in a timely fashion</w:t>
      </w:r>
      <w:r w:rsidR="00A12C35" w:rsidRPr="00A16691">
        <w:rPr>
          <w:lang w:eastAsia="en-GB"/>
        </w:rPr>
        <w:t>.</w:t>
      </w:r>
    </w:p>
    <w:p w14:paraId="4533F77C" w14:textId="1B3C67D8" w:rsidR="0016232C" w:rsidRDefault="005C3C94" w:rsidP="00C84941">
      <w:pPr>
        <w:pStyle w:val="Bullets"/>
        <w:rPr>
          <w:lang w:eastAsia="en-GB"/>
        </w:rPr>
      </w:pPr>
      <w:r w:rsidRPr="00CB626B">
        <w:rPr>
          <w:lang w:eastAsia="en-GB"/>
        </w:rPr>
        <w:t>Requires consumers to have internet access and a</w:t>
      </w:r>
      <w:r w:rsidR="008B49B6">
        <w:rPr>
          <w:lang w:eastAsia="en-GB"/>
        </w:rPr>
        <w:t xml:space="preserve"> compatible</w:t>
      </w:r>
      <w:r w:rsidRPr="00CB626B">
        <w:rPr>
          <w:lang w:eastAsia="en-GB"/>
        </w:rPr>
        <w:t xml:space="preserve"> smart phone or other access to website information and to be technologically literate.</w:t>
      </w:r>
      <w:r w:rsidR="00B01424">
        <w:rPr>
          <w:lang w:eastAsia="en-GB"/>
        </w:rPr>
        <w:t xml:space="preserve"> This introduces inequalities in access to information.</w:t>
      </w:r>
    </w:p>
    <w:p w14:paraId="62E6724D" w14:textId="6C4131FF" w:rsidR="0016232C" w:rsidRPr="00A073BE" w:rsidRDefault="005C3C94" w:rsidP="00C84941">
      <w:pPr>
        <w:pStyle w:val="Bullets"/>
        <w:rPr>
          <w:lang w:eastAsia="en-GB"/>
        </w:rPr>
      </w:pPr>
      <w:r w:rsidRPr="00A073BE">
        <w:rPr>
          <w:lang w:eastAsia="en-GB"/>
        </w:rPr>
        <w:t xml:space="preserve">Is reliant upon consumers to be motivated to use such labelling to be effective. </w:t>
      </w:r>
      <w:r w:rsidR="008B49B6" w:rsidRPr="00A073BE">
        <w:rPr>
          <w:lang w:eastAsia="en-GB"/>
        </w:rPr>
        <w:t xml:space="preserve">Many </w:t>
      </w:r>
      <w:r w:rsidR="0016232C" w:rsidRPr="00A073BE">
        <w:rPr>
          <w:lang w:eastAsia="en-GB"/>
        </w:rPr>
        <w:t xml:space="preserve">submissions from </w:t>
      </w:r>
      <w:r w:rsidR="008B49B6" w:rsidRPr="00A073BE">
        <w:rPr>
          <w:lang w:eastAsia="en-GB"/>
        </w:rPr>
        <w:t>consumers indicated that they would not use this type of technology.</w:t>
      </w:r>
    </w:p>
    <w:p w14:paraId="0F69A8A6" w14:textId="69D904E2" w:rsidR="005E6C7F" w:rsidRDefault="00146C89" w:rsidP="00C84941">
      <w:pPr>
        <w:pStyle w:val="Bullets"/>
        <w:rPr>
          <w:lang w:eastAsia="en-GB"/>
        </w:rPr>
      </w:pPr>
      <w:r w:rsidRPr="00A16691">
        <w:rPr>
          <w:lang w:eastAsia="en-GB"/>
        </w:rPr>
        <w:t xml:space="preserve">May not </w:t>
      </w:r>
      <w:r w:rsidR="0016232C">
        <w:rPr>
          <w:lang w:eastAsia="en-GB"/>
        </w:rPr>
        <w:t xml:space="preserve">support </w:t>
      </w:r>
      <w:r w:rsidRPr="00A16691">
        <w:rPr>
          <w:lang w:eastAsia="en-GB"/>
        </w:rPr>
        <w:t xml:space="preserve">consumer understanding if consumers are confused </w:t>
      </w:r>
      <w:r>
        <w:rPr>
          <w:lang w:eastAsia="en-GB"/>
        </w:rPr>
        <w:t>or</w:t>
      </w:r>
      <w:r w:rsidRPr="00A16691">
        <w:rPr>
          <w:lang w:eastAsia="en-GB"/>
        </w:rPr>
        <w:t xml:space="preserve"> overwhelmed by the additional information that could potentially be </w:t>
      </w:r>
      <w:r w:rsidR="0016232C">
        <w:rPr>
          <w:lang w:eastAsia="en-GB"/>
        </w:rPr>
        <w:t>provided via the digital linking</w:t>
      </w:r>
      <w:r>
        <w:rPr>
          <w:lang w:eastAsia="en-GB"/>
        </w:rPr>
        <w:t>.</w:t>
      </w:r>
    </w:p>
    <w:p w14:paraId="346BE7C6" w14:textId="5B2ECE94" w:rsidR="00897B8B" w:rsidRDefault="00897B8B" w:rsidP="00A8387E">
      <w:pPr>
        <w:pStyle w:val="Heading1"/>
      </w:pPr>
      <w:bookmarkStart w:id="173" w:name="_Toc6323616"/>
      <w:bookmarkStart w:id="174" w:name="_Toc513546903"/>
      <w:r>
        <w:t>Consultation on the proposed options</w:t>
      </w:r>
      <w:bookmarkEnd w:id="173"/>
    </w:p>
    <w:p w14:paraId="2AA755CC" w14:textId="1CAD739F" w:rsidR="00897B8B" w:rsidRDefault="00897B8B" w:rsidP="00314A5D">
      <w:pPr>
        <w:pStyle w:val="Heading2"/>
      </w:pPr>
      <w:bookmarkStart w:id="175" w:name="_Toc6323617"/>
      <w:r>
        <w:t>Consultation process</w:t>
      </w:r>
      <w:bookmarkEnd w:id="175"/>
    </w:p>
    <w:p w14:paraId="709335CB" w14:textId="242CAF54" w:rsidR="00897B8B" w:rsidRDefault="00125C95" w:rsidP="00BC587F">
      <w:r>
        <w:t>P</w:t>
      </w:r>
      <w:r w:rsidR="00897B8B">
        <w:t>ublic consultation was undertaken from 19 July to 21 September 2018. The consultation involved inviting submissions from stakeholders to a series of 36 questions in a Consultation Regulation Impact Statement (CRIS) on labelling of sugar</w:t>
      </w:r>
      <w:r>
        <w:t>s on packaged foods and drinks.</w:t>
      </w:r>
    </w:p>
    <w:p w14:paraId="5A839FE9" w14:textId="27284325" w:rsidR="00897B8B" w:rsidRDefault="00897B8B" w:rsidP="00BC587F">
      <w:r>
        <w:t xml:space="preserve">The CRIS was made available on the Food Regulation website and stakeholders were invited to provide their response to the questions in the CRIS through </w:t>
      </w:r>
      <w:r w:rsidRPr="00277C55">
        <w:rPr>
          <w:rStyle w:val="Emphasis"/>
        </w:rPr>
        <w:t>Citizen Space</w:t>
      </w:r>
      <w:r>
        <w:t xml:space="preserve">- an online </w:t>
      </w:r>
      <w:r w:rsidR="00125C95">
        <w:t>consultation platform.</w:t>
      </w:r>
    </w:p>
    <w:p w14:paraId="069A8E88" w14:textId="77777777" w:rsidR="00897B8B" w:rsidRPr="00800AE4" w:rsidRDefault="00897B8B" w:rsidP="00BC587F">
      <w:r>
        <w:t>To ensure relevant stakeholders were aware of the public consultation, the Food Regulation Secretariat sent an email to all contacts in its distribution list and invited them to make a submission. The email asked that stakeholders forward the invitation to any other relevant parties. The email also advised that submissions should be supported by evidence and that peak organisations were expected to consult their members on the questions in the CRIS and provide a single response on behalf of their members.</w:t>
      </w:r>
    </w:p>
    <w:p w14:paraId="725AA58F" w14:textId="70F88099" w:rsidR="00897B8B" w:rsidRDefault="00897B8B" w:rsidP="00BC587F">
      <w:r>
        <w:t>The consultation generated a reasonable level of media coverage which further raised awareness of the consultation and attracted interest from stakeholders.</w:t>
      </w:r>
    </w:p>
    <w:p w14:paraId="1A8E5AF5" w14:textId="23195889" w:rsidR="00897B8B" w:rsidRDefault="00897B8B" w:rsidP="00BC587F">
      <w:r>
        <w:t xml:space="preserve">A total of 166 submissions were received. The majority (145) of submissions were made via the </w:t>
      </w:r>
      <w:r w:rsidRPr="00277C55">
        <w:rPr>
          <w:rStyle w:val="Emphasis"/>
        </w:rPr>
        <w:t>Citizen Space</w:t>
      </w:r>
      <w:r>
        <w:t xml:space="preserve"> platform, and 21 submissions provided by email were also accepted. Some stakeholders made a submission through </w:t>
      </w:r>
      <w:r w:rsidRPr="00F70C9F">
        <w:rPr>
          <w:rStyle w:val="Emphasis"/>
        </w:rPr>
        <w:t>Citizen Space</w:t>
      </w:r>
      <w:r>
        <w:t xml:space="preserve"> </w:t>
      </w:r>
      <w:proofErr w:type="gramStart"/>
      <w:r>
        <w:t>and also</w:t>
      </w:r>
      <w:proofErr w:type="gramEnd"/>
      <w:r>
        <w:t xml:space="preserve"> emailed additional supporting material which was accepted and considered when reviewing th</w:t>
      </w:r>
      <w:r w:rsidR="00125C95">
        <w:t>e submissions. Table 4</w:t>
      </w:r>
      <w:r>
        <w:t>.1.1 provides an ov</w:t>
      </w:r>
      <w:r w:rsidR="00125C95">
        <w:t>erview of submissions received.</w:t>
      </w:r>
    </w:p>
    <w:p w14:paraId="62443428" w14:textId="33F80C58" w:rsidR="00897B8B" w:rsidRPr="00DD5445" w:rsidRDefault="00A23998" w:rsidP="00A23998">
      <w:pPr>
        <w:pStyle w:val="Caption"/>
      </w:pPr>
      <w:r>
        <w:t>Table 4.1.</w:t>
      </w:r>
      <w:r w:rsidR="00C84941">
        <w:rPr>
          <w:noProof/>
        </w:rPr>
        <w:fldChar w:fldCharType="begin"/>
      </w:r>
      <w:r w:rsidR="00C84941">
        <w:rPr>
          <w:noProof/>
        </w:rPr>
        <w:instrText xml:space="preserve"> SEQ Tabel_4.1. \* ARABIC </w:instrText>
      </w:r>
      <w:r w:rsidR="00C84941">
        <w:rPr>
          <w:noProof/>
        </w:rPr>
        <w:fldChar w:fldCharType="separate"/>
      </w:r>
      <w:r>
        <w:rPr>
          <w:noProof/>
        </w:rPr>
        <w:t>1</w:t>
      </w:r>
      <w:r w:rsidR="00C84941">
        <w:rPr>
          <w:noProof/>
        </w:rPr>
        <w:fldChar w:fldCharType="end"/>
      </w:r>
      <w:r>
        <w:t xml:space="preserve"> </w:t>
      </w:r>
      <w:r w:rsidR="00897B8B" w:rsidRPr="00924AAB">
        <w:rPr>
          <w:noProof/>
        </w:rPr>
        <w:t>- Submissions to the stakeholder consultation</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4.1.1 provides a summary of the stakeholder groups that provided submissions into the consultation and where they were from. The table has 6 columns. 1 blank, 2 Australia, 3 New Zealand, 4 Bi-national, 5 Not specified, 6 Total."/>
      </w:tblPr>
      <w:tblGrid>
        <w:gridCol w:w="1560"/>
        <w:gridCol w:w="1445"/>
        <w:gridCol w:w="1446"/>
        <w:gridCol w:w="1446"/>
        <w:gridCol w:w="1446"/>
        <w:gridCol w:w="1446"/>
      </w:tblGrid>
      <w:tr w:rsidR="00897B8B" w14:paraId="59BD60CC" w14:textId="77777777" w:rsidTr="00183D44">
        <w:trPr>
          <w:tblHeader/>
        </w:trPr>
        <w:tc>
          <w:tcPr>
            <w:tcW w:w="1560" w:type="dxa"/>
            <w:shd w:val="clear" w:color="auto" w:fill="D9D9D9" w:themeFill="background1" w:themeFillShade="D9"/>
            <w:vAlign w:val="center"/>
          </w:tcPr>
          <w:p w14:paraId="6D91C37C" w14:textId="77777777" w:rsidR="00897B8B" w:rsidRPr="00006031" w:rsidRDefault="00897B8B" w:rsidP="00183D44">
            <w:pPr>
              <w:pStyle w:val="Tableheader"/>
            </w:pPr>
          </w:p>
        </w:tc>
        <w:tc>
          <w:tcPr>
            <w:tcW w:w="1445" w:type="dxa"/>
            <w:shd w:val="clear" w:color="auto" w:fill="D9D9D9" w:themeFill="background1" w:themeFillShade="D9"/>
            <w:vAlign w:val="center"/>
          </w:tcPr>
          <w:p w14:paraId="0C056DE7" w14:textId="77777777" w:rsidR="00897B8B" w:rsidRPr="00381011" w:rsidRDefault="00897B8B" w:rsidP="00183D44">
            <w:pPr>
              <w:pStyle w:val="Tableheader"/>
            </w:pPr>
            <w:r w:rsidRPr="00381011">
              <w:t>Australia</w:t>
            </w:r>
          </w:p>
        </w:tc>
        <w:tc>
          <w:tcPr>
            <w:tcW w:w="1446" w:type="dxa"/>
            <w:shd w:val="clear" w:color="auto" w:fill="D9D9D9" w:themeFill="background1" w:themeFillShade="D9"/>
            <w:vAlign w:val="center"/>
          </w:tcPr>
          <w:p w14:paraId="4755E227" w14:textId="77777777" w:rsidR="00897B8B" w:rsidRPr="00381011" w:rsidRDefault="00897B8B" w:rsidP="00183D44">
            <w:pPr>
              <w:pStyle w:val="Tableheader"/>
            </w:pPr>
            <w:r w:rsidRPr="00381011">
              <w:t>New Zealand</w:t>
            </w:r>
          </w:p>
        </w:tc>
        <w:tc>
          <w:tcPr>
            <w:tcW w:w="1446" w:type="dxa"/>
            <w:shd w:val="clear" w:color="auto" w:fill="D9D9D9" w:themeFill="background1" w:themeFillShade="D9"/>
            <w:vAlign w:val="center"/>
          </w:tcPr>
          <w:p w14:paraId="3E6FA734" w14:textId="268C88BB" w:rsidR="00897B8B" w:rsidRPr="00381011" w:rsidRDefault="00897B8B" w:rsidP="00183D44">
            <w:pPr>
              <w:pStyle w:val="Tableheader"/>
            </w:pPr>
            <w:r w:rsidRPr="00381011">
              <w:t>Bi-National</w:t>
            </w:r>
          </w:p>
        </w:tc>
        <w:tc>
          <w:tcPr>
            <w:tcW w:w="1446" w:type="dxa"/>
            <w:shd w:val="clear" w:color="auto" w:fill="D9D9D9" w:themeFill="background1" w:themeFillShade="D9"/>
            <w:vAlign w:val="center"/>
          </w:tcPr>
          <w:p w14:paraId="5C6E4144" w14:textId="77777777" w:rsidR="00897B8B" w:rsidRPr="00381011" w:rsidRDefault="00897B8B" w:rsidP="00183D44">
            <w:pPr>
              <w:pStyle w:val="Tableheader"/>
            </w:pPr>
            <w:r w:rsidRPr="00381011">
              <w:t>Not specified</w:t>
            </w:r>
          </w:p>
        </w:tc>
        <w:tc>
          <w:tcPr>
            <w:tcW w:w="1446" w:type="dxa"/>
            <w:shd w:val="clear" w:color="auto" w:fill="D9D9D9" w:themeFill="background1" w:themeFillShade="D9"/>
            <w:vAlign w:val="center"/>
          </w:tcPr>
          <w:p w14:paraId="0CCAC392" w14:textId="77777777" w:rsidR="00897B8B" w:rsidRPr="00381011" w:rsidRDefault="00897B8B" w:rsidP="00183D44">
            <w:pPr>
              <w:pStyle w:val="Tableheader"/>
            </w:pPr>
            <w:r w:rsidRPr="00381011">
              <w:t>Total</w:t>
            </w:r>
          </w:p>
        </w:tc>
      </w:tr>
      <w:tr w:rsidR="00897B8B" w14:paraId="22E9031A" w14:textId="77777777" w:rsidTr="00802E62">
        <w:tc>
          <w:tcPr>
            <w:tcW w:w="1560" w:type="dxa"/>
            <w:vAlign w:val="center"/>
          </w:tcPr>
          <w:p w14:paraId="51376B1E" w14:textId="77777777" w:rsidR="00897B8B" w:rsidRPr="00006031" w:rsidRDefault="00897B8B" w:rsidP="00183D44">
            <w:pPr>
              <w:pStyle w:val="Tabletext"/>
            </w:pPr>
            <w:r w:rsidRPr="00006031">
              <w:t>Individuals</w:t>
            </w:r>
          </w:p>
        </w:tc>
        <w:tc>
          <w:tcPr>
            <w:tcW w:w="1445" w:type="dxa"/>
            <w:vAlign w:val="center"/>
          </w:tcPr>
          <w:p w14:paraId="56154526" w14:textId="77777777" w:rsidR="00897B8B" w:rsidRPr="00006031" w:rsidRDefault="00897B8B" w:rsidP="00183D44">
            <w:pPr>
              <w:pStyle w:val="Tabletext"/>
            </w:pPr>
            <w:r w:rsidRPr="00006031">
              <w:t>23</w:t>
            </w:r>
          </w:p>
        </w:tc>
        <w:tc>
          <w:tcPr>
            <w:tcW w:w="1446" w:type="dxa"/>
            <w:vAlign w:val="center"/>
          </w:tcPr>
          <w:p w14:paraId="090AA830" w14:textId="77777777" w:rsidR="00897B8B" w:rsidRPr="00006031" w:rsidRDefault="00897B8B" w:rsidP="00183D44">
            <w:pPr>
              <w:pStyle w:val="Tabletext"/>
            </w:pPr>
            <w:r w:rsidRPr="00006031">
              <w:t>43</w:t>
            </w:r>
          </w:p>
        </w:tc>
        <w:tc>
          <w:tcPr>
            <w:tcW w:w="1446" w:type="dxa"/>
            <w:vAlign w:val="center"/>
          </w:tcPr>
          <w:p w14:paraId="78E2E3B2" w14:textId="77777777" w:rsidR="00897B8B" w:rsidRPr="00006031" w:rsidRDefault="00897B8B" w:rsidP="00183D44">
            <w:pPr>
              <w:pStyle w:val="Tabletext"/>
            </w:pPr>
            <w:r w:rsidRPr="00006031">
              <w:t>0</w:t>
            </w:r>
          </w:p>
        </w:tc>
        <w:tc>
          <w:tcPr>
            <w:tcW w:w="1446" w:type="dxa"/>
            <w:vAlign w:val="center"/>
          </w:tcPr>
          <w:p w14:paraId="33460E96" w14:textId="77777777" w:rsidR="00897B8B" w:rsidRPr="00006031" w:rsidRDefault="00897B8B" w:rsidP="00183D44">
            <w:pPr>
              <w:pStyle w:val="Tabletext"/>
            </w:pPr>
            <w:r w:rsidRPr="00006031">
              <w:t>8</w:t>
            </w:r>
          </w:p>
        </w:tc>
        <w:tc>
          <w:tcPr>
            <w:tcW w:w="1446" w:type="dxa"/>
            <w:vAlign w:val="center"/>
          </w:tcPr>
          <w:p w14:paraId="21AA7220" w14:textId="77777777" w:rsidR="00897B8B" w:rsidRPr="00006031" w:rsidRDefault="00897B8B" w:rsidP="00183D44">
            <w:pPr>
              <w:pStyle w:val="Tabletext"/>
            </w:pPr>
            <w:r w:rsidRPr="00006031">
              <w:t>74</w:t>
            </w:r>
          </w:p>
        </w:tc>
      </w:tr>
      <w:tr w:rsidR="00897B8B" w14:paraId="0C3C96BB" w14:textId="77777777" w:rsidTr="00802E62">
        <w:trPr>
          <w:trHeight w:val="268"/>
        </w:trPr>
        <w:tc>
          <w:tcPr>
            <w:tcW w:w="1560" w:type="dxa"/>
            <w:vAlign w:val="center"/>
          </w:tcPr>
          <w:p w14:paraId="6028CF3D" w14:textId="77777777" w:rsidR="00897B8B" w:rsidRPr="00006031" w:rsidRDefault="00897B8B" w:rsidP="00183D44">
            <w:pPr>
              <w:pStyle w:val="Tabletext"/>
            </w:pPr>
            <w:r>
              <w:t>Food i</w:t>
            </w:r>
            <w:r w:rsidRPr="00006031">
              <w:t>ndustry</w:t>
            </w:r>
          </w:p>
        </w:tc>
        <w:tc>
          <w:tcPr>
            <w:tcW w:w="1445" w:type="dxa"/>
            <w:vAlign w:val="center"/>
          </w:tcPr>
          <w:p w14:paraId="18A34C5A" w14:textId="77777777" w:rsidR="00897B8B" w:rsidRPr="00006031" w:rsidRDefault="00897B8B" w:rsidP="00183D44">
            <w:pPr>
              <w:pStyle w:val="Tabletext"/>
            </w:pPr>
            <w:r w:rsidRPr="00006031">
              <w:t>14</w:t>
            </w:r>
          </w:p>
        </w:tc>
        <w:tc>
          <w:tcPr>
            <w:tcW w:w="1446" w:type="dxa"/>
            <w:vAlign w:val="center"/>
          </w:tcPr>
          <w:p w14:paraId="4BB4CF78" w14:textId="77777777" w:rsidR="00897B8B" w:rsidRPr="00006031" w:rsidRDefault="00897B8B" w:rsidP="00183D44">
            <w:pPr>
              <w:pStyle w:val="Tabletext"/>
            </w:pPr>
            <w:r w:rsidRPr="00006031">
              <w:t>8</w:t>
            </w:r>
          </w:p>
        </w:tc>
        <w:tc>
          <w:tcPr>
            <w:tcW w:w="1446" w:type="dxa"/>
            <w:vAlign w:val="center"/>
          </w:tcPr>
          <w:p w14:paraId="7287FFF7" w14:textId="77777777" w:rsidR="00897B8B" w:rsidRPr="00006031" w:rsidRDefault="00897B8B" w:rsidP="00183D44">
            <w:pPr>
              <w:pStyle w:val="Tabletext"/>
            </w:pPr>
            <w:r w:rsidRPr="00006031">
              <w:t>9</w:t>
            </w:r>
          </w:p>
        </w:tc>
        <w:tc>
          <w:tcPr>
            <w:tcW w:w="1446" w:type="dxa"/>
            <w:vAlign w:val="center"/>
          </w:tcPr>
          <w:p w14:paraId="66738A9C" w14:textId="77777777" w:rsidR="00897B8B" w:rsidRPr="00006031" w:rsidRDefault="00897B8B" w:rsidP="00183D44">
            <w:pPr>
              <w:pStyle w:val="Tabletext"/>
            </w:pPr>
            <w:r w:rsidRPr="00006031">
              <w:t>0</w:t>
            </w:r>
          </w:p>
        </w:tc>
        <w:tc>
          <w:tcPr>
            <w:tcW w:w="1446" w:type="dxa"/>
            <w:vAlign w:val="center"/>
          </w:tcPr>
          <w:p w14:paraId="79996174" w14:textId="77777777" w:rsidR="00897B8B" w:rsidRPr="00006031" w:rsidRDefault="00897B8B" w:rsidP="00183D44">
            <w:pPr>
              <w:pStyle w:val="Tabletext"/>
            </w:pPr>
            <w:r w:rsidRPr="00006031">
              <w:t>31</w:t>
            </w:r>
          </w:p>
        </w:tc>
      </w:tr>
      <w:tr w:rsidR="00897B8B" w14:paraId="1C0AB978" w14:textId="77777777" w:rsidTr="00802E62">
        <w:tc>
          <w:tcPr>
            <w:tcW w:w="1560" w:type="dxa"/>
            <w:vAlign w:val="center"/>
          </w:tcPr>
          <w:p w14:paraId="0B6F3384" w14:textId="77777777" w:rsidR="00897B8B" w:rsidRPr="00006031" w:rsidRDefault="00897B8B" w:rsidP="00183D44">
            <w:pPr>
              <w:pStyle w:val="Tabletext"/>
            </w:pPr>
            <w:r w:rsidRPr="00006031">
              <w:t>Public Health</w:t>
            </w:r>
          </w:p>
        </w:tc>
        <w:tc>
          <w:tcPr>
            <w:tcW w:w="1445" w:type="dxa"/>
            <w:vAlign w:val="center"/>
          </w:tcPr>
          <w:p w14:paraId="44180F8B" w14:textId="77777777" w:rsidR="00897B8B" w:rsidRPr="00006031" w:rsidRDefault="00897B8B" w:rsidP="00183D44">
            <w:pPr>
              <w:pStyle w:val="Tabletext"/>
            </w:pPr>
            <w:r>
              <w:t>22</w:t>
            </w:r>
          </w:p>
        </w:tc>
        <w:tc>
          <w:tcPr>
            <w:tcW w:w="1446" w:type="dxa"/>
            <w:vAlign w:val="center"/>
          </w:tcPr>
          <w:p w14:paraId="6A191100" w14:textId="77777777" w:rsidR="00897B8B" w:rsidRPr="00006031" w:rsidRDefault="00897B8B" w:rsidP="00183D44">
            <w:pPr>
              <w:pStyle w:val="Tabletext"/>
            </w:pPr>
            <w:r>
              <w:t>27</w:t>
            </w:r>
          </w:p>
        </w:tc>
        <w:tc>
          <w:tcPr>
            <w:tcW w:w="1446" w:type="dxa"/>
            <w:vAlign w:val="center"/>
          </w:tcPr>
          <w:p w14:paraId="5EAE0E1B" w14:textId="77777777" w:rsidR="00897B8B" w:rsidRPr="00006031" w:rsidRDefault="00897B8B" w:rsidP="00183D44">
            <w:pPr>
              <w:pStyle w:val="Tabletext"/>
            </w:pPr>
            <w:r w:rsidRPr="00006031">
              <w:t>1</w:t>
            </w:r>
          </w:p>
        </w:tc>
        <w:tc>
          <w:tcPr>
            <w:tcW w:w="1446" w:type="dxa"/>
            <w:vAlign w:val="center"/>
          </w:tcPr>
          <w:p w14:paraId="56600B3B" w14:textId="77777777" w:rsidR="00897B8B" w:rsidRPr="00006031" w:rsidRDefault="00897B8B" w:rsidP="00183D44">
            <w:pPr>
              <w:pStyle w:val="Tabletext"/>
            </w:pPr>
            <w:r w:rsidRPr="00006031">
              <w:t>0</w:t>
            </w:r>
          </w:p>
        </w:tc>
        <w:tc>
          <w:tcPr>
            <w:tcW w:w="1446" w:type="dxa"/>
            <w:vAlign w:val="center"/>
          </w:tcPr>
          <w:p w14:paraId="3D9BC614" w14:textId="77777777" w:rsidR="00897B8B" w:rsidRPr="00006031" w:rsidRDefault="00897B8B" w:rsidP="00183D44">
            <w:pPr>
              <w:pStyle w:val="Tabletext"/>
            </w:pPr>
            <w:r>
              <w:t>50</w:t>
            </w:r>
          </w:p>
        </w:tc>
      </w:tr>
      <w:tr w:rsidR="00897B8B" w14:paraId="0437881A" w14:textId="77777777" w:rsidTr="00802E62">
        <w:tc>
          <w:tcPr>
            <w:tcW w:w="1560" w:type="dxa"/>
            <w:vAlign w:val="center"/>
          </w:tcPr>
          <w:p w14:paraId="627A0004" w14:textId="77777777" w:rsidR="00897B8B" w:rsidRPr="00006031" w:rsidRDefault="00897B8B" w:rsidP="00183D44">
            <w:pPr>
              <w:pStyle w:val="Tabletext"/>
            </w:pPr>
            <w:r w:rsidRPr="00006031">
              <w:t>Government</w:t>
            </w:r>
            <w:r>
              <w:t>s</w:t>
            </w:r>
          </w:p>
        </w:tc>
        <w:tc>
          <w:tcPr>
            <w:tcW w:w="1445" w:type="dxa"/>
            <w:vAlign w:val="center"/>
          </w:tcPr>
          <w:p w14:paraId="7D5F87F8" w14:textId="77777777" w:rsidR="00897B8B" w:rsidRPr="00006031" w:rsidRDefault="00897B8B" w:rsidP="00183D44">
            <w:pPr>
              <w:pStyle w:val="Tabletext"/>
            </w:pPr>
            <w:r w:rsidRPr="00006031">
              <w:t>5</w:t>
            </w:r>
          </w:p>
        </w:tc>
        <w:tc>
          <w:tcPr>
            <w:tcW w:w="1446" w:type="dxa"/>
            <w:vAlign w:val="center"/>
          </w:tcPr>
          <w:p w14:paraId="54F03239" w14:textId="77777777" w:rsidR="00897B8B" w:rsidRPr="00006031" w:rsidRDefault="00897B8B" w:rsidP="00183D44">
            <w:pPr>
              <w:pStyle w:val="Tabletext"/>
            </w:pPr>
            <w:r w:rsidRPr="00006031">
              <w:t>2</w:t>
            </w:r>
          </w:p>
        </w:tc>
        <w:tc>
          <w:tcPr>
            <w:tcW w:w="1446" w:type="dxa"/>
            <w:vAlign w:val="center"/>
          </w:tcPr>
          <w:p w14:paraId="1DC39BBC" w14:textId="77777777" w:rsidR="00897B8B" w:rsidRPr="00006031" w:rsidRDefault="00897B8B" w:rsidP="00183D44">
            <w:pPr>
              <w:pStyle w:val="Tabletext"/>
            </w:pPr>
            <w:r w:rsidRPr="00006031">
              <w:t>0</w:t>
            </w:r>
          </w:p>
        </w:tc>
        <w:tc>
          <w:tcPr>
            <w:tcW w:w="1446" w:type="dxa"/>
            <w:vAlign w:val="center"/>
          </w:tcPr>
          <w:p w14:paraId="743A4BC4" w14:textId="77777777" w:rsidR="00897B8B" w:rsidRPr="00006031" w:rsidRDefault="00897B8B" w:rsidP="00183D44">
            <w:pPr>
              <w:pStyle w:val="Tabletext"/>
            </w:pPr>
            <w:r w:rsidRPr="00006031">
              <w:t>0</w:t>
            </w:r>
          </w:p>
        </w:tc>
        <w:tc>
          <w:tcPr>
            <w:tcW w:w="1446" w:type="dxa"/>
            <w:vAlign w:val="center"/>
          </w:tcPr>
          <w:p w14:paraId="7B79A18D" w14:textId="77777777" w:rsidR="00897B8B" w:rsidRPr="00006031" w:rsidRDefault="00897B8B" w:rsidP="00183D44">
            <w:pPr>
              <w:pStyle w:val="Tabletext"/>
            </w:pPr>
            <w:r w:rsidRPr="00006031">
              <w:t>7</w:t>
            </w:r>
          </w:p>
        </w:tc>
      </w:tr>
      <w:tr w:rsidR="00897B8B" w14:paraId="22BC244A" w14:textId="77777777" w:rsidTr="00802E62">
        <w:tc>
          <w:tcPr>
            <w:tcW w:w="1560" w:type="dxa"/>
            <w:vAlign w:val="center"/>
          </w:tcPr>
          <w:p w14:paraId="616CF3E2" w14:textId="77777777" w:rsidR="00897B8B" w:rsidRPr="00006031" w:rsidRDefault="00897B8B" w:rsidP="00183D44">
            <w:pPr>
              <w:pStyle w:val="Tabletext"/>
            </w:pPr>
            <w:r w:rsidRPr="00006031">
              <w:t>Other</w:t>
            </w:r>
            <w:r>
              <w:t>s</w:t>
            </w:r>
          </w:p>
        </w:tc>
        <w:tc>
          <w:tcPr>
            <w:tcW w:w="1445" w:type="dxa"/>
            <w:vAlign w:val="center"/>
          </w:tcPr>
          <w:p w14:paraId="2BD505E9" w14:textId="77777777" w:rsidR="00897B8B" w:rsidRPr="00006031" w:rsidRDefault="00897B8B" w:rsidP="00183D44">
            <w:pPr>
              <w:pStyle w:val="Tabletext"/>
            </w:pPr>
            <w:r w:rsidRPr="00006031">
              <w:t>2</w:t>
            </w:r>
          </w:p>
        </w:tc>
        <w:tc>
          <w:tcPr>
            <w:tcW w:w="1446" w:type="dxa"/>
            <w:vAlign w:val="center"/>
          </w:tcPr>
          <w:p w14:paraId="26508932" w14:textId="77777777" w:rsidR="00897B8B" w:rsidRPr="00006031" w:rsidRDefault="00897B8B" w:rsidP="00183D44">
            <w:pPr>
              <w:pStyle w:val="Tabletext"/>
            </w:pPr>
            <w:r w:rsidRPr="00006031">
              <w:t>2</w:t>
            </w:r>
          </w:p>
        </w:tc>
        <w:tc>
          <w:tcPr>
            <w:tcW w:w="1446" w:type="dxa"/>
            <w:vAlign w:val="center"/>
          </w:tcPr>
          <w:p w14:paraId="7AAC1CED" w14:textId="77777777" w:rsidR="00897B8B" w:rsidRPr="00006031" w:rsidRDefault="00897B8B" w:rsidP="00183D44">
            <w:pPr>
              <w:pStyle w:val="Tabletext"/>
            </w:pPr>
            <w:r w:rsidRPr="00006031">
              <w:t>0</w:t>
            </w:r>
          </w:p>
        </w:tc>
        <w:tc>
          <w:tcPr>
            <w:tcW w:w="1446" w:type="dxa"/>
            <w:vAlign w:val="center"/>
          </w:tcPr>
          <w:p w14:paraId="37DEA12A" w14:textId="77777777" w:rsidR="00897B8B" w:rsidRPr="00006031" w:rsidRDefault="00897B8B" w:rsidP="00183D44">
            <w:pPr>
              <w:pStyle w:val="Tabletext"/>
            </w:pPr>
            <w:r w:rsidRPr="00006031">
              <w:t>0</w:t>
            </w:r>
          </w:p>
        </w:tc>
        <w:tc>
          <w:tcPr>
            <w:tcW w:w="1446" w:type="dxa"/>
            <w:vAlign w:val="center"/>
          </w:tcPr>
          <w:p w14:paraId="72D9A5D7" w14:textId="77777777" w:rsidR="00897B8B" w:rsidRPr="00006031" w:rsidRDefault="00897B8B" w:rsidP="00183D44">
            <w:pPr>
              <w:pStyle w:val="Tabletext"/>
            </w:pPr>
            <w:r w:rsidRPr="00006031">
              <w:t>4</w:t>
            </w:r>
          </w:p>
        </w:tc>
      </w:tr>
      <w:tr w:rsidR="00897B8B" w14:paraId="6D84B009" w14:textId="77777777" w:rsidTr="00802E62">
        <w:trPr>
          <w:trHeight w:val="70"/>
        </w:trPr>
        <w:tc>
          <w:tcPr>
            <w:tcW w:w="1560" w:type="dxa"/>
            <w:vAlign w:val="center"/>
          </w:tcPr>
          <w:p w14:paraId="26C8F60A" w14:textId="77777777" w:rsidR="00897B8B" w:rsidRPr="00006031" w:rsidRDefault="00897B8B" w:rsidP="00183D44">
            <w:pPr>
              <w:pStyle w:val="Tabletext"/>
            </w:pPr>
            <w:r w:rsidRPr="00006031">
              <w:t>Total</w:t>
            </w:r>
          </w:p>
        </w:tc>
        <w:tc>
          <w:tcPr>
            <w:tcW w:w="1445" w:type="dxa"/>
            <w:vAlign w:val="center"/>
          </w:tcPr>
          <w:p w14:paraId="0693983B" w14:textId="77777777" w:rsidR="00897B8B" w:rsidRPr="00006031" w:rsidRDefault="00897B8B" w:rsidP="00183D44">
            <w:pPr>
              <w:pStyle w:val="Tabletext"/>
            </w:pPr>
            <w:r w:rsidRPr="00006031">
              <w:t>68</w:t>
            </w:r>
          </w:p>
        </w:tc>
        <w:tc>
          <w:tcPr>
            <w:tcW w:w="1446" w:type="dxa"/>
            <w:vAlign w:val="center"/>
          </w:tcPr>
          <w:p w14:paraId="6743C48E" w14:textId="77777777" w:rsidR="00897B8B" w:rsidRPr="00006031" w:rsidRDefault="00897B8B" w:rsidP="00183D44">
            <w:pPr>
              <w:pStyle w:val="Tabletext"/>
            </w:pPr>
            <w:r w:rsidRPr="00006031">
              <w:t>82</w:t>
            </w:r>
          </w:p>
        </w:tc>
        <w:tc>
          <w:tcPr>
            <w:tcW w:w="1446" w:type="dxa"/>
            <w:vAlign w:val="center"/>
          </w:tcPr>
          <w:p w14:paraId="2DD87379" w14:textId="77777777" w:rsidR="00897B8B" w:rsidRPr="00006031" w:rsidRDefault="00897B8B" w:rsidP="00183D44">
            <w:pPr>
              <w:pStyle w:val="Tabletext"/>
            </w:pPr>
            <w:r w:rsidRPr="00006031">
              <w:t>8</w:t>
            </w:r>
          </w:p>
        </w:tc>
        <w:tc>
          <w:tcPr>
            <w:tcW w:w="1446" w:type="dxa"/>
            <w:vAlign w:val="center"/>
          </w:tcPr>
          <w:p w14:paraId="63D2B468" w14:textId="77777777" w:rsidR="00897B8B" w:rsidRPr="00006031" w:rsidRDefault="00897B8B" w:rsidP="00183D44">
            <w:pPr>
              <w:pStyle w:val="Tabletext"/>
            </w:pPr>
            <w:r w:rsidRPr="00006031">
              <w:t>8</w:t>
            </w:r>
          </w:p>
        </w:tc>
        <w:tc>
          <w:tcPr>
            <w:tcW w:w="1446" w:type="dxa"/>
            <w:vAlign w:val="center"/>
          </w:tcPr>
          <w:p w14:paraId="255FF69D" w14:textId="77777777" w:rsidR="00897B8B" w:rsidRPr="00006031" w:rsidRDefault="00897B8B" w:rsidP="00183D44">
            <w:pPr>
              <w:pStyle w:val="Tabletext"/>
            </w:pPr>
            <w:r w:rsidRPr="00006031">
              <w:t>166</w:t>
            </w:r>
          </w:p>
        </w:tc>
      </w:tr>
    </w:tbl>
    <w:p w14:paraId="52A3E466" w14:textId="4D3B63FF" w:rsidR="00897B8B" w:rsidRDefault="00897B8B" w:rsidP="00BC587F">
      <w:r>
        <w:t>Submissions were analysed by a team of policy officers from various FRSC jurisdictions who were part of a FRSC reference group for this project. Each team member reviewed all submissions and information provided in relation to one of the options for labelling of sugars proposed in the CRIS. Team members then individually prepared an analysis of the submissions and evidence provided in relation to that option. This analysis was incorporated into this document by the Australian Go</w:t>
      </w:r>
      <w:r w:rsidR="00125C95">
        <w:t>vernment Department of Health.</w:t>
      </w:r>
    </w:p>
    <w:p w14:paraId="747DEDD3" w14:textId="6C7DA777" w:rsidR="00897B8B" w:rsidRDefault="00897B8B" w:rsidP="00BC587F">
      <w:r>
        <w:t>Stakeholder responses to other questions in the CRIS (not related to the proposed options) were analysed by the Australian Government Department of Health. Information and evidence provided in the submissions has been incorporated into the r</w:t>
      </w:r>
      <w:r w:rsidR="00125C95">
        <w:t>elevant parts of this document.</w:t>
      </w:r>
    </w:p>
    <w:p w14:paraId="1E19B084" w14:textId="6D0E0603" w:rsidR="00897B8B" w:rsidRDefault="00897B8B" w:rsidP="00314A5D">
      <w:pPr>
        <w:pStyle w:val="Heading2"/>
      </w:pPr>
      <w:bookmarkStart w:id="176" w:name="_Toc6323618"/>
      <w:r>
        <w:t>Overall consultation themes</w:t>
      </w:r>
      <w:bookmarkEnd w:id="176"/>
    </w:p>
    <w:p w14:paraId="5A956AFA" w14:textId="6034BB65" w:rsidR="00897B8B" w:rsidRDefault="00897B8B" w:rsidP="00BC587F">
      <w:r>
        <w:t>F</w:t>
      </w:r>
      <w:r w:rsidRPr="00A16691">
        <w:t xml:space="preserve">eedback from the stakeholder submissions has been incorporated </w:t>
      </w:r>
      <w:r w:rsidRPr="00EA1888">
        <w:t xml:space="preserve">throughout this document and more detail on stakeholder feedback received is provided at </w:t>
      </w:r>
      <w:hyperlink w:anchor="_Attachment_C_–" w:history="1">
        <w:r w:rsidRPr="00E91513">
          <w:rPr>
            <w:rStyle w:val="Hyperlink"/>
          </w:rPr>
          <w:t>Attachment C</w:t>
        </w:r>
      </w:hyperlink>
      <w:r w:rsidR="00CB696C">
        <w:rPr>
          <w:rStyle w:val="Strong"/>
        </w:rPr>
        <w:t>.</w:t>
      </w:r>
      <w:r w:rsidRPr="00EA1888">
        <w:t xml:space="preserve"> A</w:t>
      </w:r>
      <w:r w:rsidRPr="00A16691">
        <w:t xml:space="preserve"> summary of </w:t>
      </w:r>
      <w:r>
        <w:t xml:space="preserve">stakeholder </w:t>
      </w:r>
      <w:r w:rsidRPr="00A16691">
        <w:t xml:space="preserve">feedback </w:t>
      </w:r>
      <w:r>
        <w:t>is presented</w:t>
      </w:r>
      <w:r w:rsidR="00277C55">
        <w:t xml:space="preserve"> below.</w:t>
      </w:r>
    </w:p>
    <w:p w14:paraId="3135ED69" w14:textId="77777777" w:rsidR="00897B8B" w:rsidRPr="00B44104" w:rsidRDefault="00897B8B" w:rsidP="00314A5D">
      <w:pPr>
        <w:pStyle w:val="Heading3"/>
      </w:pPr>
      <w:bookmarkStart w:id="177" w:name="_Toc1480954"/>
      <w:bookmarkStart w:id="178" w:name="_Toc1634510"/>
      <w:bookmarkStart w:id="179" w:name="_Toc2252907"/>
      <w:bookmarkStart w:id="180" w:name="_Toc3905580"/>
      <w:r w:rsidRPr="00B44104">
        <w:t>Stakeholder views in relation to the statement of the problem</w:t>
      </w:r>
      <w:bookmarkEnd w:id="177"/>
      <w:bookmarkEnd w:id="178"/>
      <w:bookmarkEnd w:id="179"/>
      <w:bookmarkEnd w:id="180"/>
    </w:p>
    <w:p w14:paraId="7CE1A0E5" w14:textId="4FE41558" w:rsidR="00897B8B" w:rsidRPr="00CB626B" w:rsidRDefault="00897B8B" w:rsidP="00BC587F">
      <w:proofErr w:type="gramStart"/>
      <w:r>
        <w:t>The majority of</w:t>
      </w:r>
      <w:proofErr w:type="gramEnd"/>
      <w:r>
        <w:t xml:space="preserve"> submissions to the public consultation on sugars labelling supported the statement of the problem. Those who did not support the statement of the problem considered the focus too narrow and thought the statement of the problem should be broadened to consider more whole-of-diet issues, however, some submissions from the food industry, and one public health academic, considered that there was no problem with the current information about sugars on food labels and insufficient evidence to justi</w:t>
      </w:r>
      <w:r w:rsidR="00277C55">
        <w:t>fy further action in this area.</w:t>
      </w:r>
    </w:p>
    <w:p w14:paraId="76E66387" w14:textId="77777777" w:rsidR="00897B8B" w:rsidRPr="00B44104" w:rsidRDefault="00897B8B" w:rsidP="00314A5D">
      <w:pPr>
        <w:pStyle w:val="Heading3"/>
      </w:pPr>
      <w:bookmarkStart w:id="181" w:name="_Toc1480955"/>
      <w:bookmarkStart w:id="182" w:name="_Toc1634511"/>
      <w:bookmarkStart w:id="183" w:name="_Toc2252908"/>
      <w:bookmarkStart w:id="184" w:name="_Toc3905581"/>
      <w:r w:rsidRPr="00B44104">
        <w:t>Stakeholder views in relation to the desired outcome</w:t>
      </w:r>
      <w:bookmarkEnd w:id="181"/>
      <w:bookmarkEnd w:id="182"/>
      <w:bookmarkEnd w:id="183"/>
      <w:bookmarkEnd w:id="184"/>
    </w:p>
    <w:p w14:paraId="7F85396F" w14:textId="50301AC7" w:rsidR="00897B8B" w:rsidRDefault="00897B8B" w:rsidP="00BC587F">
      <w:proofErr w:type="gramStart"/>
      <w:r>
        <w:t>The majority of</w:t>
      </w:r>
      <w:proofErr w:type="gramEnd"/>
      <w:r>
        <w:t xml:space="preserve"> submissions to the stakeholder consultation on sugars labelling were supportive of the desired outcome of this work. However, sixteen public health submitters did not support the desired outcome as they considered it be too narrow and thought the scope should be expanded to include incentivising product reformulation, support monitoring of the food supply, addressing inequalities </w:t>
      </w:r>
      <w:r w:rsidR="00125C95">
        <w:t xml:space="preserve">or promoting behaviour change. </w:t>
      </w:r>
      <w:r>
        <w:t>Another seven submissions from industry and some public health professionals considered that the scope of the desired outcome be broadened beyond sugars to include a who</w:t>
      </w:r>
      <w:r w:rsidR="00277C55">
        <w:t>le-of-diet approach.</w:t>
      </w:r>
    </w:p>
    <w:p w14:paraId="34F96038" w14:textId="71DC0056" w:rsidR="00897B8B" w:rsidRDefault="00897B8B" w:rsidP="00BC587F">
      <w:r>
        <w:t xml:space="preserve">These comments are </w:t>
      </w:r>
      <w:proofErr w:type="gramStart"/>
      <w:r>
        <w:t>acknowledged</w:t>
      </w:r>
      <w:proofErr w:type="gramEnd"/>
      <w:r>
        <w:t xml:space="preserve"> and other work is underway in areas such as promoting healthy eating, incentivising food reformulation and improving provision of healthy food in key settings. This work is described at </w:t>
      </w:r>
      <w:hyperlink w:anchor="_Attachment_B_–" w:history="1">
        <w:r w:rsidRPr="00E91513">
          <w:rPr>
            <w:rStyle w:val="Hyperlink"/>
          </w:rPr>
          <w:t>Attachment B</w:t>
        </w:r>
      </w:hyperlink>
      <w:r w:rsidRPr="005E6C7F">
        <w:t>.</w:t>
      </w:r>
    </w:p>
    <w:p w14:paraId="5DED18C9" w14:textId="77777777" w:rsidR="00897B8B" w:rsidRPr="00B44104" w:rsidRDefault="00897B8B" w:rsidP="00314A5D">
      <w:pPr>
        <w:pStyle w:val="Heading3"/>
      </w:pPr>
      <w:bookmarkStart w:id="185" w:name="_Toc1480957"/>
      <w:bookmarkStart w:id="186" w:name="_Toc1634513"/>
      <w:bookmarkStart w:id="187" w:name="_Toc2252909"/>
      <w:bookmarkStart w:id="188" w:name="_Toc3905582"/>
      <w:r w:rsidRPr="00B44104">
        <w:t>Stakeholder views in relation to Option 2</w:t>
      </w:r>
      <w:bookmarkEnd w:id="185"/>
      <w:bookmarkEnd w:id="186"/>
      <w:bookmarkEnd w:id="187"/>
      <w:bookmarkEnd w:id="188"/>
    </w:p>
    <w:p w14:paraId="6BDCCC0E" w14:textId="77777777" w:rsidR="00897B8B" w:rsidRDefault="00897B8B" w:rsidP="00BC587F">
      <w:r w:rsidRPr="00FE7CFC">
        <w:t>Ove</w:t>
      </w:r>
      <w:r>
        <w:t>ra</w:t>
      </w:r>
      <w:r w:rsidRPr="00FE7CFC">
        <w:t>ll</w:t>
      </w:r>
      <w:r>
        <w:t>, the food industry was the only stakeholder group to support this option. All other stakeholder groups felt that without label changes, this option would not meet the desired outcome.</w:t>
      </w:r>
      <w:r w:rsidRPr="00D83F82">
        <w:t xml:space="preserve"> </w:t>
      </w:r>
      <w:r>
        <w:t>Many stakeholders did not realise that all other proposed options have consumer education built into their implementation and often supported consumer education being implemented in combination with food label changes.</w:t>
      </w:r>
    </w:p>
    <w:p w14:paraId="108D2AA7" w14:textId="77777777" w:rsidR="00897B8B" w:rsidRPr="00B44104" w:rsidRDefault="00897B8B" w:rsidP="00314A5D">
      <w:pPr>
        <w:pStyle w:val="Heading3"/>
      </w:pPr>
      <w:bookmarkStart w:id="189" w:name="_Toc1480958"/>
      <w:bookmarkStart w:id="190" w:name="_Toc1634514"/>
      <w:bookmarkStart w:id="191" w:name="_Toc2252910"/>
      <w:bookmarkStart w:id="192" w:name="_Toc3905583"/>
      <w:r w:rsidRPr="00B44104">
        <w:t>Stakeholder views in relation to Option 3</w:t>
      </w:r>
      <w:bookmarkEnd w:id="189"/>
      <w:bookmarkEnd w:id="190"/>
      <w:bookmarkEnd w:id="191"/>
      <w:bookmarkEnd w:id="192"/>
    </w:p>
    <w:p w14:paraId="12A9FBFF" w14:textId="15602C7F" w:rsidR="00897B8B" w:rsidRPr="00624133" w:rsidRDefault="00897B8B" w:rsidP="00BC587F">
      <w:pPr>
        <w:rPr>
          <w:lang w:val="en-GB" w:eastAsia="en-GB"/>
        </w:rPr>
      </w:pPr>
      <w:proofErr w:type="gramStart"/>
      <w:r w:rsidRPr="00A6315F">
        <w:rPr>
          <w:lang w:val="en-GB" w:eastAsia="en-GB"/>
        </w:rPr>
        <w:t>The majo</w:t>
      </w:r>
      <w:r>
        <w:rPr>
          <w:lang w:val="en-GB" w:eastAsia="en-GB"/>
        </w:rPr>
        <w:t>rity of</w:t>
      </w:r>
      <w:proofErr w:type="gramEnd"/>
      <w:r>
        <w:rPr>
          <w:lang w:val="en-GB" w:eastAsia="en-GB"/>
        </w:rPr>
        <w:t xml:space="preserve"> food industry submitters</w:t>
      </w:r>
      <w:r w:rsidRPr="00A6315F">
        <w:rPr>
          <w:lang w:val="en-GB" w:eastAsia="en-GB"/>
        </w:rPr>
        <w:t xml:space="preserve"> did not </w:t>
      </w:r>
      <w:r w:rsidRPr="00A16691">
        <w:rPr>
          <w:lang w:val="en-GB" w:eastAsia="en-GB"/>
        </w:rPr>
        <w:t>support this option</w:t>
      </w:r>
      <w:r w:rsidR="00277C55">
        <w:rPr>
          <w:lang w:val="en-GB" w:eastAsia="en-GB"/>
        </w:rPr>
        <w:t>.</w:t>
      </w:r>
    </w:p>
    <w:p w14:paraId="1E352960" w14:textId="3CF153B8" w:rsidR="00897B8B" w:rsidRDefault="00897B8B" w:rsidP="00BC587F">
      <w:proofErr w:type="gramStart"/>
      <w:r w:rsidRPr="008D663A">
        <w:rPr>
          <w:lang w:val="en-GB" w:eastAsia="en-GB"/>
        </w:rPr>
        <w:t>The majority of</w:t>
      </w:r>
      <w:proofErr w:type="gramEnd"/>
      <w:r w:rsidRPr="008D663A">
        <w:rPr>
          <w:lang w:val="en-GB" w:eastAsia="en-GB"/>
        </w:rPr>
        <w:t xml:space="preserve"> </w:t>
      </w:r>
      <w:r>
        <w:rPr>
          <w:lang w:val="en-GB" w:eastAsia="en-GB"/>
        </w:rPr>
        <w:t>other</w:t>
      </w:r>
      <w:r w:rsidRPr="0092693D">
        <w:rPr>
          <w:lang w:val="en-GB" w:eastAsia="en-GB"/>
        </w:rPr>
        <w:t xml:space="preserve"> submitters considered this option would be either partially effective in addressing the policy issue and achieving the desired outcome or that it would be effective in combination with another option (mostly with additional labelling and some submitters also supported it in combination with education). </w:t>
      </w:r>
      <w:r w:rsidRPr="00A16691">
        <w:rPr>
          <w:lang w:val="en-GB" w:eastAsia="en-GB"/>
        </w:rPr>
        <w:t xml:space="preserve">Support for this option was on the basis that </w:t>
      </w:r>
      <w:r w:rsidRPr="00A6315F">
        <w:t>it would allow identification of added sugars and the relative contribution of added su</w:t>
      </w:r>
      <w:r w:rsidR="00277C55">
        <w:t>gars to a food.</w:t>
      </w:r>
    </w:p>
    <w:p w14:paraId="78810324" w14:textId="77777777" w:rsidR="00897B8B" w:rsidRPr="00094692" w:rsidRDefault="00897B8B" w:rsidP="00BC587F">
      <w:pPr>
        <w:rPr>
          <w:lang w:val="en-GB" w:eastAsia="en-GB"/>
        </w:rPr>
      </w:pPr>
      <w:r>
        <w:t>Members of the public offered mixed support for this option with some noting that consumers do not have the motivation or</w:t>
      </w:r>
      <w:r w:rsidRPr="0092693D">
        <w:t xml:space="preserve"> skil</w:t>
      </w:r>
      <w:r>
        <w:t xml:space="preserve">ls to read and interpret a statement of ingredients </w:t>
      </w:r>
      <w:r w:rsidRPr="0092693D">
        <w:t>and wanted labelling that was simpler and quicker to understand.</w:t>
      </w:r>
    </w:p>
    <w:p w14:paraId="08626FEC" w14:textId="77777777" w:rsidR="00897B8B" w:rsidRPr="00B44104" w:rsidRDefault="00897B8B" w:rsidP="00314A5D">
      <w:pPr>
        <w:pStyle w:val="Heading3"/>
      </w:pPr>
      <w:bookmarkStart w:id="193" w:name="_Toc1480959"/>
      <w:bookmarkStart w:id="194" w:name="_Toc1634515"/>
      <w:bookmarkStart w:id="195" w:name="_Toc2252911"/>
      <w:bookmarkStart w:id="196" w:name="_Toc3905584"/>
      <w:r w:rsidRPr="00B44104">
        <w:t>Stakeholder views in relation to Option 4</w:t>
      </w:r>
      <w:bookmarkEnd w:id="193"/>
      <w:bookmarkEnd w:id="194"/>
      <w:bookmarkEnd w:id="195"/>
      <w:bookmarkEnd w:id="196"/>
    </w:p>
    <w:p w14:paraId="436C5D51" w14:textId="2913A5BA" w:rsidR="00897B8B" w:rsidRPr="00006031" w:rsidRDefault="00897B8B" w:rsidP="00BC587F">
      <w:r>
        <w:t>Most food industry submissions offered support for this option (particularly if it could be implemented on a voluntary basis). Some food industry submitters commented they were already providing added sugars information in the NIP. Reasons for industry support for this option were that it could enable industry transparency with consumers, not over-emphasise added sugars on the food label, and would not involve a sign</w:t>
      </w:r>
      <w:r w:rsidR="00277C55">
        <w:t>ificant change to a food label.</w:t>
      </w:r>
    </w:p>
    <w:p w14:paraId="2F44C930" w14:textId="57A7AAC0" w:rsidR="00897B8B" w:rsidRDefault="00897B8B" w:rsidP="00BC587F">
      <w:r>
        <w:t>Food i</w:t>
      </w:r>
      <w:r w:rsidRPr="00006031">
        <w:t xml:space="preserve">ndustry submissions that did not support this option raised concerns over complexities and the technical challenges associated with measuring a food’s added sugars content (these concerns are relevant to all options involving quantification of a food’s added sugars content) and commented that added sugars are not different to other sugars on a </w:t>
      </w:r>
      <w:r>
        <w:t xml:space="preserve">chemical and therefore </w:t>
      </w:r>
      <w:r w:rsidRPr="002941D9">
        <w:t>physiological basis.</w:t>
      </w:r>
    </w:p>
    <w:p w14:paraId="7CE70B54" w14:textId="0010E5AB" w:rsidR="00897B8B" w:rsidRDefault="00897B8B" w:rsidP="00BC587F">
      <w:r w:rsidRPr="00006031">
        <w:t>The strong majority of public health sector, Governments, consumers and others (</w:t>
      </w:r>
      <w:proofErr w:type="gramStart"/>
      <w:r w:rsidRPr="00006031">
        <w:t>e.g.</w:t>
      </w:r>
      <w:proofErr w:type="gramEnd"/>
      <w:r w:rsidRPr="00006031">
        <w:t xml:space="preserve"> consumer advocates) supported this option because it provided context to the total sugars information in the NIP by clearly quantifying the amount of added sugars in a food product. Separating added and total sugars in the NIP was seen to be very important because added sugars specifically should be limited in the diet (rather than all sugars)</w:t>
      </w:r>
      <w:r w:rsidRPr="00BF45DE">
        <w:rPr>
          <w:vertAlign w:val="superscript"/>
        </w:rPr>
        <w:footnoteReference w:id="117"/>
      </w:r>
      <w:r w:rsidRPr="00006031">
        <w:t xml:space="preserve">. These submissions noted that the NIP is </w:t>
      </w:r>
      <w:proofErr w:type="gramStart"/>
      <w:r w:rsidRPr="00006031">
        <w:t>most commonly used</w:t>
      </w:r>
      <w:proofErr w:type="gramEnd"/>
      <w:r w:rsidRPr="00006031">
        <w:t xml:space="preserve"> by consumers</w:t>
      </w:r>
      <w:r w:rsidRPr="00BF45DE">
        <w:rPr>
          <w:vertAlign w:val="superscript"/>
        </w:rPr>
        <w:footnoteReference w:id="118"/>
      </w:r>
      <w:r w:rsidRPr="00BF45DE">
        <w:rPr>
          <w:vertAlign w:val="superscript"/>
        </w:rPr>
        <w:t>,</w:t>
      </w:r>
      <w:r w:rsidRPr="00006031">
        <w:t xml:space="preserve"> and includes other key nutrients such as sodium and saturated fat which the dietary guidelines recommend should be limited. Some submissions cited the CHOICE survey which reported 80% of respondents supported including added sugars in the NIP.</w:t>
      </w:r>
    </w:p>
    <w:p w14:paraId="46AA8E00" w14:textId="77777777" w:rsidR="00897B8B" w:rsidRDefault="00897B8B" w:rsidP="00BC587F">
      <w:r>
        <w:t>Some non-industry submitters noted</w:t>
      </w:r>
      <w:r w:rsidRPr="0092693D">
        <w:t xml:space="preserve"> that </w:t>
      </w:r>
      <w:r>
        <w:t xml:space="preserve">not all </w:t>
      </w:r>
      <w:r w:rsidRPr="0092693D">
        <w:t xml:space="preserve">consumers have the motivation or </w:t>
      </w:r>
      <w:r>
        <w:t>numeracy</w:t>
      </w:r>
      <w:r w:rsidRPr="0092693D">
        <w:t xml:space="preserve"> skills to read and interpret </w:t>
      </w:r>
      <w:r>
        <w:t>a NIP</w:t>
      </w:r>
      <w:r w:rsidRPr="0092693D">
        <w:t xml:space="preserve"> and wanted labelling that was simpler and quicker to understand.</w:t>
      </w:r>
    </w:p>
    <w:p w14:paraId="181672D7" w14:textId="5CBF975F" w:rsidR="00897B8B" w:rsidRDefault="00897B8B" w:rsidP="00BC587F">
      <w:r>
        <w:t xml:space="preserve">There was mixed support for including additional contextual information such as HIGH/MEDIUM/LOW or %DI labelling with this option with some submissions (particularly from the food industry) considering that this focuses on sugars above other nutrients and conflicts with the HSR. Others considered this may further support consumers to understand food labels and could be applied to other nutrients of concern. Some submissions suggested this could be considered after added sugars were quantified in the NIP </w:t>
      </w:r>
      <w:proofErr w:type="gramStart"/>
      <w:r w:rsidR="00277C55">
        <w:t>so as to</w:t>
      </w:r>
      <w:proofErr w:type="gramEnd"/>
      <w:r w:rsidR="00277C55">
        <w:t xml:space="preserve"> not delay the process.</w:t>
      </w:r>
    </w:p>
    <w:p w14:paraId="3040579B" w14:textId="19DDADCB" w:rsidR="00897B8B" w:rsidRPr="00BF45DE" w:rsidRDefault="00897B8B" w:rsidP="00BC587F">
      <w:r w:rsidRPr="00006031">
        <w:t>Non-industry sectors supported Option 4 being implemented on a mandatory basis to enable consistency in labelling, coverage across all p</w:t>
      </w:r>
      <w:r w:rsidR="00277C55">
        <w:t>roducts and product comparison.</w:t>
      </w:r>
    </w:p>
    <w:p w14:paraId="2F6DA34F" w14:textId="77777777" w:rsidR="00897B8B" w:rsidRPr="00B44104" w:rsidRDefault="00897B8B" w:rsidP="00314A5D">
      <w:pPr>
        <w:pStyle w:val="Heading3"/>
      </w:pPr>
      <w:bookmarkStart w:id="197" w:name="_Toc1480960"/>
      <w:bookmarkStart w:id="198" w:name="_Toc1634516"/>
      <w:bookmarkStart w:id="199" w:name="_Toc2252912"/>
      <w:bookmarkStart w:id="200" w:name="_Toc3905585"/>
      <w:r w:rsidRPr="00B44104">
        <w:t>Stakeholder views in relation to Option 5</w:t>
      </w:r>
      <w:bookmarkEnd w:id="197"/>
      <w:bookmarkEnd w:id="198"/>
      <w:bookmarkEnd w:id="199"/>
      <w:bookmarkEnd w:id="200"/>
    </w:p>
    <w:p w14:paraId="1C1EEAEA" w14:textId="5C6F5EE0" w:rsidR="00897B8B" w:rsidRPr="00A16691" w:rsidRDefault="00897B8B" w:rsidP="00BC587F">
      <w:r w:rsidRPr="00A16691">
        <w:t>Food industry overwhelmingly did not support this option. The main concerns raised by industry was the disproportion</w:t>
      </w:r>
      <w:r>
        <w:t>ate</w:t>
      </w:r>
      <w:r w:rsidRPr="00A16691">
        <w:t xml:space="preserve"> focus of this option on added sugar</w:t>
      </w:r>
      <w:r>
        <w:t>s</w:t>
      </w:r>
      <w:r w:rsidRPr="00A16691">
        <w:t xml:space="preserve"> relative to the available evidence, the impact on trade, and concerns that this option may replace the HSR, resultin</w:t>
      </w:r>
      <w:r w:rsidR="00277C55">
        <w:t>g in less consumer information.</w:t>
      </w:r>
    </w:p>
    <w:p w14:paraId="6926C4FC" w14:textId="1185A4F3" w:rsidR="00897B8B" w:rsidRPr="00A16691" w:rsidRDefault="00897B8B" w:rsidP="00BC587F">
      <w:r w:rsidRPr="00A16691">
        <w:t>Public heath submitters had mixed views on the merit of this option. While most submissions acknowledged that this optio</w:t>
      </w:r>
      <w:r>
        <w:t xml:space="preserve">n would be partially effective </w:t>
      </w:r>
      <w:r w:rsidRPr="00A16691">
        <w:t>or effective in com</w:t>
      </w:r>
      <w:r>
        <w:t>bination with other options, some submitters were concerned</w:t>
      </w:r>
      <w:r w:rsidRPr="00A16691">
        <w:t xml:space="preserve"> that this option focused too heavily on added sugars, which may result in consumption behaviours not aligned with the wider dietary guidelines. Although, some submissions noted that this option could be expanded to include saturated fat and sodium to reduce emphasis on added sugar</w:t>
      </w:r>
      <w:r>
        <w:t>s</w:t>
      </w:r>
      <w:r w:rsidRPr="00A16691">
        <w:t xml:space="preserve"> and pr</w:t>
      </w:r>
      <w:r w:rsidR="00277C55">
        <w:t>ovide a whole-of-diet approach.</w:t>
      </w:r>
    </w:p>
    <w:p w14:paraId="0F5FD74F" w14:textId="77777777" w:rsidR="00897B8B" w:rsidRPr="00A16691" w:rsidRDefault="00897B8B" w:rsidP="00BC587F">
      <w:r w:rsidRPr="00A16691">
        <w:t xml:space="preserve">Government </w:t>
      </w:r>
      <w:r>
        <w:t xml:space="preserve">submitters </w:t>
      </w:r>
      <w:r w:rsidRPr="00A16691">
        <w:t>held some concerns regarding this option. The key concern was the potential for this option to und</w:t>
      </w:r>
      <w:r>
        <w:t xml:space="preserve">ermine or compete with the HSR, in </w:t>
      </w:r>
      <w:r w:rsidRPr="00A16691">
        <w:t>which governments have invested significant time and financial resources. There were also some concerns about the overemphasis on added sugars relative to other risk nutrients, the growing competition for label space due to regulatory and quasi-regulatory labelling initiatives and the quality of evidence to support this option.</w:t>
      </w:r>
    </w:p>
    <w:p w14:paraId="6AD3AA6B" w14:textId="77777777" w:rsidR="00897B8B" w:rsidRPr="00006031" w:rsidRDefault="00897B8B" w:rsidP="00BC587F">
      <w:r w:rsidRPr="00006031">
        <w:t>Members of the public also held mixed views of this option. Some supported this option, as it would be simple and easy to understand. While others were concerned that this option did not provide sufficient information and did not help to identify foods that are high in other risk nutrients.</w:t>
      </w:r>
    </w:p>
    <w:p w14:paraId="553DB7F7" w14:textId="77777777" w:rsidR="00897B8B" w:rsidRPr="00B44104" w:rsidRDefault="00897B8B" w:rsidP="00314A5D">
      <w:pPr>
        <w:pStyle w:val="Heading3"/>
      </w:pPr>
      <w:bookmarkStart w:id="201" w:name="_Toc1480961"/>
      <w:bookmarkStart w:id="202" w:name="_Toc1634517"/>
      <w:bookmarkStart w:id="203" w:name="_Toc2252913"/>
      <w:bookmarkStart w:id="204" w:name="_Toc3905586"/>
      <w:r w:rsidRPr="00B44104">
        <w:t>Stakeholder views in relation to Option 6</w:t>
      </w:r>
      <w:bookmarkEnd w:id="201"/>
      <w:bookmarkEnd w:id="202"/>
      <w:bookmarkEnd w:id="203"/>
      <w:bookmarkEnd w:id="204"/>
    </w:p>
    <w:p w14:paraId="3BC76A8E" w14:textId="59D012B4" w:rsidR="00897B8B" w:rsidRDefault="00897B8B" w:rsidP="00BC587F">
      <w:r>
        <w:rPr>
          <w:lang w:eastAsia="en-GB"/>
        </w:rPr>
        <w:t>Support for this option was highest among consumers, who felt that pictorial displays are simple and easy to understand</w:t>
      </w:r>
      <w:r>
        <w:t>. Many public health and researcher/academic submissions cited the CHOICE survey, which showed 75% of surveyed consumers supported providing images of teaspoons of sugar reflecting amount of added sugar within products</w:t>
      </w:r>
      <w:r>
        <w:rPr>
          <w:rStyle w:val="FootnoteReference"/>
        </w:rPr>
        <w:footnoteReference w:id="119"/>
      </w:r>
      <w:r w:rsidR="00277C55">
        <w:t>.</w:t>
      </w:r>
    </w:p>
    <w:p w14:paraId="6C4F8BAC" w14:textId="770B4220" w:rsidR="00897B8B" w:rsidRDefault="00897B8B" w:rsidP="00BC587F">
      <w:pPr>
        <w:rPr>
          <w:lang w:eastAsia="en-GB"/>
        </w:rPr>
      </w:pPr>
      <w:r>
        <w:rPr>
          <w:lang w:eastAsia="en-GB"/>
        </w:rPr>
        <w:t>The public health sector was appreciative of the benefits of this option for those with lower literacy, however had concerns around disregarding other negative nutrients and conflict with the HSR. Government had very little support for this option, with the main concern being the existing investment in the HSR, and the potential for this option to create a conflict with this. Industry was generally not supportive of this option, due to concerns over the cost, the lack of labelling space, and that they did not</w:t>
      </w:r>
      <w:r w:rsidR="00277C55">
        <w:rPr>
          <w:lang w:eastAsia="en-GB"/>
        </w:rPr>
        <w:t xml:space="preserve"> believe it would be effective.</w:t>
      </w:r>
    </w:p>
    <w:p w14:paraId="42AE2744" w14:textId="09EAFCAA" w:rsidR="00897B8B" w:rsidRPr="00277C55" w:rsidRDefault="00897B8B" w:rsidP="00BC587F">
      <w:pPr>
        <w:rPr>
          <w:lang w:eastAsia="en-GB"/>
        </w:rPr>
      </w:pPr>
      <w:proofErr w:type="gramStart"/>
      <w:r>
        <w:rPr>
          <w:lang w:eastAsia="en-GB"/>
        </w:rPr>
        <w:t>The majority of</w:t>
      </w:r>
      <w:proofErr w:type="gramEnd"/>
      <w:r>
        <w:rPr>
          <w:lang w:eastAsia="en-GB"/>
        </w:rPr>
        <w:t xml:space="preserve"> submitters focussed on this option being for depicting added sugars, while some specifically preferred this option to depict total sugars instead. The majority of submitters focused on teaspoon </w:t>
      </w:r>
      <w:proofErr w:type="gramStart"/>
      <w:r>
        <w:rPr>
          <w:lang w:eastAsia="en-GB"/>
        </w:rPr>
        <w:t>labelling, and</w:t>
      </w:r>
      <w:proofErr w:type="gramEnd"/>
      <w:r>
        <w:rPr>
          <w:lang w:eastAsia="en-GB"/>
        </w:rPr>
        <w:t xml:space="preserve"> did not discuss the other potential forms a pictorial label could take. A few submitters did specifically express a clear preference for teaspoon labelling, due to being easier to understand and easier for those wit</w:t>
      </w:r>
      <w:r w:rsidR="00277C55">
        <w:rPr>
          <w:lang w:eastAsia="en-GB"/>
        </w:rPr>
        <w:t>h literacy and numeracy issues.</w:t>
      </w:r>
    </w:p>
    <w:p w14:paraId="2E253731" w14:textId="77777777" w:rsidR="00897B8B" w:rsidRPr="00B44104" w:rsidRDefault="00897B8B" w:rsidP="00314A5D">
      <w:pPr>
        <w:pStyle w:val="Heading3"/>
      </w:pPr>
      <w:bookmarkStart w:id="205" w:name="_Toc1480962"/>
      <w:bookmarkStart w:id="206" w:name="_Toc1634518"/>
      <w:bookmarkStart w:id="207" w:name="_Toc2252914"/>
      <w:bookmarkStart w:id="208" w:name="_Toc3905587"/>
      <w:r w:rsidRPr="00B44104">
        <w:t>Stakeholder views in relation to Option 7</w:t>
      </w:r>
      <w:bookmarkEnd w:id="205"/>
      <w:bookmarkEnd w:id="206"/>
      <w:bookmarkEnd w:id="207"/>
      <w:bookmarkEnd w:id="208"/>
    </w:p>
    <w:p w14:paraId="64C32452" w14:textId="79D731BA" w:rsidR="00897B8B" w:rsidRDefault="00897B8B" w:rsidP="00BC587F">
      <w:pPr>
        <w:rPr>
          <w:lang w:eastAsia="en-GB"/>
        </w:rPr>
      </w:pPr>
      <w:r>
        <w:rPr>
          <w:lang w:eastAsia="en-GB"/>
        </w:rPr>
        <w:t xml:space="preserve">Submissions made a range of interpretations about what implementation of this option would involve, which impacted on the consistency of responses. </w:t>
      </w:r>
      <w:r w:rsidRPr="00A16691">
        <w:rPr>
          <w:lang w:eastAsia="en-GB"/>
        </w:rPr>
        <w:t xml:space="preserve">The food industry </w:t>
      </w:r>
      <w:r>
        <w:rPr>
          <w:lang w:eastAsia="en-GB"/>
        </w:rPr>
        <w:t>had the most</w:t>
      </w:r>
      <w:r w:rsidRPr="00A16691">
        <w:rPr>
          <w:lang w:eastAsia="en-GB"/>
        </w:rPr>
        <w:t xml:space="preserve"> support </w:t>
      </w:r>
      <w:r>
        <w:rPr>
          <w:lang w:eastAsia="en-GB"/>
        </w:rPr>
        <w:t xml:space="preserve">for </w:t>
      </w:r>
      <w:r w:rsidRPr="00A16691">
        <w:rPr>
          <w:lang w:eastAsia="en-GB"/>
        </w:rPr>
        <w:t xml:space="preserve">this option </w:t>
      </w:r>
      <w:r>
        <w:rPr>
          <w:lang w:eastAsia="en-GB"/>
        </w:rPr>
        <w:t xml:space="preserve">and </w:t>
      </w:r>
      <w:r w:rsidRPr="00A16691">
        <w:rPr>
          <w:lang w:eastAsia="en-GB"/>
        </w:rPr>
        <w:t>consider</w:t>
      </w:r>
      <w:r>
        <w:rPr>
          <w:lang w:eastAsia="en-GB"/>
        </w:rPr>
        <w:t>ed</w:t>
      </w:r>
      <w:r w:rsidRPr="00A16691">
        <w:rPr>
          <w:lang w:eastAsia="en-GB"/>
        </w:rPr>
        <w:t xml:space="preserve"> it would be effective or partially effective in achieving the desired outcome. Industry emphasised this option could provide consumers with a variety of contextual information about food products and that t</w:t>
      </w:r>
      <w:r w:rsidR="00277C55">
        <w:rPr>
          <w:lang w:eastAsia="en-GB"/>
        </w:rPr>
        <w:t>his was a positive development.</w:t>
      </w:r>
    </w:p>
    <w:p w14:paraId="2D554F9B" w14:textId="7E81FD61" w:rsidR="00897B8B" w:rsidRPr="00A16691" w:rsidRDefault="00897B8B" w:rsidP="00BC587F">
      <w:pPr>
        <w:rPr>
          <w:lang w:eastAsia="en-GB"/>
        </w:rPr>
      </w:pPr>
      <w:r w:rsidRPr="00A16691">
        <w:rPr>
          <w:lang w:eastAsia="en-GB"/>
        </w:rPr>
        <w:t>All other sectors generally did not support this option and did not consider it would achieve the desired outcome as it did not provide consumer information at the point-of-sale and may not be accessible to all consumers and therefore</w:t>
      </w:r>
      <w:r>
        <w:rPr>
          <w:lang w:eastAsia="en-GB"/>
        </w:rPr>
        <w:t xml:space="preserve"> contribute to health and information </w:t>
      </w:r>
      <w:r w:rsidR="00277C55">
        <w:rPr>
          <w:lang w:eastAsia="en-GB"/>
        </w:rPr>
        <w:t>inequalities.</w:t>
      </w:r>
    </w:p>
    <w:p w14:paraId="3CDBC3C7" w14:textId="29E7BFBA" w:rsidR="00897B8B" w:rsidRDefault="00897B8B" w:rsidP="00BC587F">
      <w:pPr>
        <w:rPr>
          <w:lang w:eastAsia="en-GB"/>
        </w:rPr>
      </w:pPr>
      <w:r w:rsidRPr="00006031">
        <w:rPr>
          <w:lang w:eastAsia="en-GB"/>
        </w:rPr>
        <w:t>Most members o</w:t>
      </w:r>
      <w:r>
        <w:rPr>
          <w:lang w:eastAsia="en-GB"/>
        </w:rPr>
        <w:t>f the public did not support this</w:t>
      </w:r>
      <w:r w:rsidRPr="00006031">
        <w:rPr>
          <w:lang w:eastAsia="en-GB"/>
        </w:rPr>
        <w:t xml:space="preserve"> option as it was seen to be time consuming, required motivation to use and was not accessi</w:t>
      </w:r>
      <w:r>
        <w:rPr>
          <w:lang w:eastAsia="en-GB"/>
        </w:rPr>
        <w:t>ble to all consumers.</w:t>
      </w:r>
      <w:r w:rsidRPr="00006031">
        <w:rPr>
          <w:lang w:eastAsia="en-GB"/>
        </w:rPr>
        <w:t xml:space="preserve"> Members of the public </w:t>
      </w:r>
      <w:r>
        <w:rPr>
          <w:lang w:eastAsia="en-GB"/>
        </w:rPr>
        <w:t>overwhelmingly indicated they were unlikely to use this opt</w:t>
      </w:r>
      <w:r w:rsidR="00995E41">
        <w:rPr>
          <w:lang w:eastAsia="en-GB"/>
        </w:rPr>
        <w:t>ion.</w:t>
      </w:r>
    </w:p>
    <w:p w14:paraId="55F2744C" w14:textId="77777777" w:rsidR="00897B8B" w:rsidRPr="00E16E10" w:rsidRDefault="00897B8B" w:rsidP="00BC587F">
      <w:pPr>
        <w:rPr>
          <w:lang w:eastAsia="en-GB"/>
        </w:rPr>
      </w:pPr>
      <w:r>
        <w:rPr>
          <w:lang w:eastAsia="en-GB"/>
        </w:rPr>
        <w:t xml:space="preserve">One relevant point made in a number of submissions came from the </w:t>
      </w:r>
      <w:proofErr w:type="gramStart"/>
      <w:r>
        <w:rPr>
          <w:lang w:eastAsia="en-GB"/>
        </w:rPr>
        <w:t>country of origin</w:t>
      </w:r>
      <w:proofErr w:type="gramEnd"/>
      <w:r>
        <w:rPr>
          <w:lang w:eastAsia="en-GB"/>
        </w:rPr>
        <w:t xml:space="preserve"> labelling work where d</w:t>
      </w:r>
      <w:r w:rsidRPr="0070193D">
        <w:rPr>
          <w:lang w:eastAsia="en-GB"/>
        </w:rPr>
        <w:t>igital based solutions were considered for Country of Origin Label reform in Australia in 2016</w:t>
      </w:r>
      <w:r w:rsidRPr="00E019C9">
        <w:rPr>
          <w:rStyle w:val="FootnoteReference"/>
          <w:lang w:eastAsia="en-GB"/>
        </w:rPr>
        <w:footnoteReference w:id="120"/>
      </w:r>
      <w:r w:rsidRPr="00E019C9">
        <w:rPr>
          <w:lang w:eastAsia="en-GB"/>
        </w:rPr>
        <w:t>. This</w:t>
      </w:r>
      <w:r>
        <w:rPr>
          <w:lang w:eastAsia="en-GB"/>
        </w:rPr>
        <w:t xml:space="preserve"> work </w:t>
      </w:r>
      <w:r w:rsidRPr="0070193D">
        <w:rPr>
          <w:lang w:eastAsia="en-GB"/>
        </w:rPr>
        <w:t>acknowledged that neither industry nor consumers are ready for a solution that relied solely on digital information. Consumer research referred to showed that most consumers did not want to use digital solutions when shopping, and businesses also felt their IT systems were not equipped to disseminate this level of information and would require significant investment to do so.</w:t>
      </w:r>
    </w:p>
    <w:p w14:paraId="11B067AA" w14:textId="263A82F6" w:rsidR="00897B8B" w:rsidRPr="005E6C7F" w:rsidRDefault="00897B8B" w:rsidP="00314A5D">
      <w:pPr>
        <w:pStyle w:val="Heading2"/>
      </w:pPr>
      <w:bookmarkStart w:id="209" w:name="_Toc2252915"/>
      <w:bookmarkStart w:id="210" w:name="_Toc6323619"/>
      <w:r w:rsidRPr="005E6C7F">
        <w:t>Other options</w:t>
      </w:r>
      <w:bookmarkEnd w:id="209"/>
      <w:bookmarkEnd w:id="210"/>
    </w:p>
    <w:p w14:paraId="378593BD" w14:textId="54E2D676" w:rsidR="00897B8B" w:rsidRDefault="00897B8B" w:rsidP="00BC587F">
      <w:r>
        <w:rPr>
          <w:rFonts w:eastAsia="Calibri"/>
          <w:lang w:eastAsia="en-GB"/>
        </w:rPr>
        <w:t xml:space="preserve">The consultation process sought feedback from stakeholders about whether there were any other options that may achieve the desired outcome in relation to sugars labelling. Some submissions proposed a combination of options already under consideration and some proposed </w:t>
      </w:r>
      <w:r>
        <w:t>amendments to the HSR System. As the HSR system is being reviewed under a separate process, this feedback was provided to the relevant consu</w:t>
      </w:r>
      <w:r w:rsidR="00995E41">
        <w:t>ltant.</w:t>
      </w:r>
    </w:p>
    <w:p w14:paraId="1DFF9BDE" w14:textId="5370E7A0" w:rsidR="00897B8B" w:rsidRDefault="00897B8B" w:rsidP="00BC587F">
      <w:r>
        <w:t>Few other submissions proposed alternate options to achieve the desired outcome; two submissions proposed supermarket displays for added sugars education and three proposed changes to claim conditions in relation to sugars in the Code. These options were considered but were not seen to sufficiently address the policy issue and achieve the desired outcom</w:t>
      </w:r>
      <w:r w:rsidR="00995E41">
        <w:t>e and were not pursued further.</w:t>
      </w:r>
    </w:p>
    <w:p w14:paraId="705F9283" w14:textId="23BC7692" w:rsidR="00897B8B" w:rsidRPr="00A56F43" w:rsidRDefault="00897B8B" w:rsidP="00A8387E">
      <w:pPr>
        <w:pStyle w:val="Heading1"/>
      </w:pPr>
      <w:bookmarkStart w:id="211" w:name="_Toc6323620"/>
      <w:r w:rsidRPr="00A56F43">
        <w:t>Assessment of the options</w:t>
      </w:r>
      <w:bookmarkEnd w:id="211"/>
    </w:p>
    <w:p w14:paraId="76C5623D" w14:textId="7A471FB6" w:rsidR="005B374E" w:rsidRDefault="005B374E" w:rsidP="00314A5D">
      <w:pPr>
        <w:pStyle w:val="Heading2"/>
      </w:pPr>
      <w:bookmarkStart w:id="212" w:name="_Toc6323621"/>
      <w:r>
        <w:t>Assessment of the options against the desired outcome</w:t>
      </w:r>
      <w:bookmarkEnd w:id="212"/>
    </w:p>
    <w:p w14:paraId="2C004307" w14:textId="7726BA66" w:rsidR="000A796F" w:rsidRDefault="005B01EA" w:rsidP="00BC587F">
      <w:r>
        <w:t xml:space="preserve">Each of the proposed options was assessed to consider the extent to which </w:t>
      </w:r>
      <w:r w:rsidR="004B3D5E">
        <w:t>it</w:t>
      </w:r>
      <w:r>
        <w:t xml:space="preserve"> could achieve the desired </w:t>
      </w:r>
      <w:r w:rsidRPr="000A796F">
        <w:t xml:space="preserve">outcome: </w:t>
      </w:r>
      <w:r w:rsidRPr="00995E41">
        <w:rPr>
          <w:rStyle w:val="Emphasis"/>
        </w:rPr>
        <w:t>Food labels provide adequate contextual information about sugars to enable consumers to make informed choices in support of the dietary guidelines</w:t>
      </w:r>
      <w:r w:rsidRPr="00F70C9F">
        <w:t>.</w:t>
      </w:r>
    </w:p>
    <w:p w14:paraId="4EC34652" w14:textId="5A0639BF" w:rsidR="005B01EA" w:rsidRPr="000A796F" w:rsidRDefault="00CF2B5D" w:rsidP="00BC587F">
      <w:r>
        <w:t>To assist in this assessment, c</w:t>
      </w:r>
      <w:r w:rsidR="005B01EA" w:rsidRPr="000A796F">
        <w:t>riteria w</w:t>
      </w:r>
      <w:r w:rsidR="004B3D5E" w:rsidRPr="000A796F">
        <w:t>ere</w:t>
      </w:r>
      <w:r w:rsidR="005B01EA" w:rsidRPr="000A796F">
        <w:t xml:space="preserve"> developed </w:t>
      </w:r>
      <w:r w:rsidR="004B3D5E" w:rsidRPr="000A796F">
        <w:t>to</w:t>
      </w:r>
      <w:r w:rsidR="005B01EA" w:rsidRPr="000A796F">
        <w:t xml:space="preserve"> </w:t>
      </w:r>
      <w:r>
        <w:t>compare</w:t>
      </w:r>
      <w:r w:rsidR="005B01EA" w:rsidRPr="000A796F">
        <w:t xml:space="preserve"> </w:t>
      </w:r>
      <w:r w:rsidR="001F75DE">
        <w:t xml:space="preserve">and rank </w:t>
      </w:r>
      <w:r w:rsidR="005B01EA" w:rsidRPr="000A796F">
        <w:t>the</w:t>
      </w:r>
      <w:r w:rsidR="001F75DE">
        <w:t xml:space="preserve"> options</w:t>
      </w:r>
      <w:r w:rsidR="005B01EA" w:rsidRPr="000A796F">
        <w:t>. Th</w:t>
      </w:r>
      <w:r w:rsidR="00774A05">
        <w:t xml:space="preserve">ese criteria </w:t>
      </w:r>
      <w:r w:rsidR="00CB696C">
        <w:t>are detailed in</w:t>
      </w:r>
      <w:r w:rsidR="005B01EA" w:rsidRPr="000A796F">
        <w:t xml:space="preserve"> </w:t>
      </w:r>
      <w:r w:rsidR="00E04AE7" w:rsidRPr="000A796F">
        <w:t>T</w:t>
      </w:r>
      <w:r w:rsidR="005B01EA" w:rsidRPr="000A796F">
        <w:t>able</w:t>
      </w:r>
      <w:r w:rsidR="00125C95">
        <w:t xml:space="preserve"> 5</w:t>
      </w:r>
      <w:r w:rsidR="00E04AE7" w:rsidRPr="000A796F">
        <w:t>.1</w:t>
      </w:r>
      <w:r w:rsidR="000A796F" w:rsidRPr="000A796F">
        <w:t>.1</w:t>
      </w:r>
      <w:r>
        <w:t>.</w:t>
      </w:r>
    </w:p>
    <w:p w14:paraId="2316DFDE" w14:textId="56B01558" w:rsidR="00E04AE7" w:rsidRPr="00995E41" w:rsidRDefault="00A23998" w:rsidP="00696D94">
      <w:pPr>
        <w:pStyle w:val="Caption"/>
        <w:pageBreakBefore/>
      </w:pPr>
      <w:r>
        <w:t>5.1.</w:t>
      </w:r>
      <w:fldSimple w:instr=" SEQ 5.1. \* ARABIC ">
        <w:r w:rsidR="00BE6A72">
          <w:rPr>
            <w:noProof/>
          </w:rPr>
          <w:t>1</w:t>
        </w:r>
      </w:fldSimple>
      <w:r w:rsidR="00E04AE7" w:rsidRPr="00995E41">
        <w:t>- Criteria to assess the proposed options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1.1 is a summary of the criterion used to assess the proposed options. The table has two columns. 1 Criteria, 2 Description."/>
      </w:tblPr>
      <w:tblGrid>
        <w:gridCol w:w="2410"/>
        <w:gridCol w:w="6004"/>
      </w:tblGrid>
      <w:tr w:rsidR="005B01EA" w:rsidRPr="00183D44" w14:paraId="179FAB0F" w14:textId="77777777" w:rsidTr="00183D44">
        <w:trPr>
          <w:tblHeader/>
        </w:trPr>
        <w:tc>
          <w:tcPr>
            <w:tcW w:w="2410" w:type="dxa"/>
            <w:shd w:val="clear" w:color="auto" w:fill="D9D9D9" w:themeFill="background1" w:themeFillShade="D9"/>
          </w:tcPr>
          <w:p w14:paraId="15C5C978" w14:textId="3B84350C" w:rsidR="005B01EA" w:rsidRPr="00183D44" w:rsidRDefault="004B3D5E" w:rsidP="00183D44">
            <w:pPr>
              <w:pStyle w:val="Tableheader"/>
            </w:pPr>
            <w:r w:rsidRPr="00183D44">
              <w:t>Criteria</w:t>
            </w:r>
          </w:p>
        </w:tc>
        <w:tc>
          <w:tcPr>
            <w:tcW w:w="6004" w:type="dxa"/>
            <w:shd w:val="clear" w:color="auto" w:fill="D9D9D9" w:themeFill="background1" w:themeFillShade="D9"/>
          </w:tcPr>
          <w:p w14:paraId="5FCEB26B" w14:textId="4B8E317D" w:rsidR="005B01EA" w:rsidRPr="00183D44" w:rsidRDefault="004B3D5E" w:rsidP="00183D44">
            <w:pPr>
              <w:pStyle w:val="Tableheader"/>
            </w:pPr>
            <w:r w:rsidRPr="00183D44">
              <w:t>Description</w:t>
            </w:r>
          </w:p>
        </w:tc>
      </w:tr>
      <w:tr w:rsidR="004B3D5E" w:rsidRPr="000A796F" w14:paraId="2BF60D47" w14:textId="77777777" w:rsidTr="00B07C00">
        <w:tc>
          <w:tcPr>
            <w:tcW w:w="2410" w:type="dxa"/>
            <w:vMerge w:val="restart"/>
          </w:tcPr>
          <w:p w14:paraId="63721F69" w14:textId="4910B2EF" w:rsidR="004B3D5E" w:rsidRPr="00BE6A72" w:rsidRDefault="004B3D5E" w:rsidP="00183D44">
            <w:pPr>
              <w:pStyle w:val="Tabletext"/>
            </w:pPr>
            <w:r w:rsidRPr="00BE6A72">
              <w:t>Dietary guidelines</w:t>
            </w:r>
          </w:p>
        </w:tc>
        <w:tc>
          <w:tcPr>
            <w:tcW w:w="6004" w:type="dxa"/>
          </w:tcPr>
          <w:p w14:paraId="5F8187F0" w14:textId="6E32D9DE" w:rsidR="004B3D5E" w:rsidRPr="00BC587F" w:rsidRDefault="004B3D5E" w:rsidP="00183D44">
            <w:pPr>
              <w:pStyle w:val="Tabletext"/>
            </w:pPr>
            <w:r w:rsidRPr="00BC587F">
              <w:t>Considers how well the option supports the d</w:t>
            </w:r>
            <w:r w:rsidR="00995E41" w:rsidRPr="00BC587F">
              <w:t>ietary guidelines.</w:t>
            </w:r>
          </w:p>
          <w:p w14:paraId="0748DBA8" w14:textId="2D6DA465" w:rsidR="004B3D5E" w:rsidRPr="005E6C7F" w:rsidRDefault="00CD54FA" w:rsidP="00C84941">
            <w:pPr>
              <w:pStyle w:val="Bullets"/>
            </w:pPr>
            <w:r>
              <w:t xml:space="preserve">Australian Dietary Guidelines – </w:t>
            </w:r>
            <w:r w:rsidR="004B3D5E" w:rsidRPr="005E6C7F">
              <w:t xml:space="preserve">Limit intake of foods containing saturated fat, added </w:t>
            </w:r>
            <w:r w:rsidR="00995E41">
              <w:t>salt, added sugars and alcohol.</w:t>
            </w:r>
          </w:p>
          <w:p w14:paraId="2C2BEB7E" w14:textId="62FF7ADC" w:rsidR="004B3D5E" w:rsidRPr="005E6C7F" w:rsidRDefault="004B3D5E" w:rsidP="00C84941">
            <w:pPr>
              <w:pStyle w:val="Bullets"/>
            </w:pPr>
            <w:r w:rsidRPr="005E6C7F">
              <w:t>New Zealand Eating and Activity Guidelines – Choose and/or prepare foods and drinks with little or no added sugars.</w:t>
            </w:r>
          </w:p>
        </w:tc>
      </w:tr>
      <w:tr w:rsidR="004B3D5E" w:rsidRPr="000A796F" w14:paraId="771DA492" w14:textId="77777777" w:rsidTr="00B07C00">
        <w:tc>
          <w:tcPr>
            <w:tcW w:w="2410" w:type="dxa"/>
            <w:vMerge/>
          </w:tcPr>
          <w:p w14:paraId="196821BB" w14:textId="77777777" w:rsidR="004B3D5E" w:rsidRPr="005E6C7F" w:rsidRDefault="004B3D5E" w:rsidP="00183D44">
            <w:pPr>
              <w:pStyle w:val="Tabletext"/>
              <w:rPr>
                <w:rFonts w:cstheme="minorHAnsi"/>
              </w:rPr>
            </w:pPr>
          </w:p>
        </w:tc>
        <w:tc>
          <w:tcPr>
            <w:tcW w:w="6004" w:type="dxa"/>
          </w:tcPr>
          <w:p w14:paraId="4AE2BA9B" w14:textId="2C14FD0B" w:rsidR="004B3D5E" w:rsidRPr="00BC587F" w:rsidRDefault="004B3D5E" w:rsidP="00183D44">
            <w:pPr>
              <w:pStyle w:val="Tabletext"/>
            </w:pPr>
            <w:r w:rsidRPr="00BC587F">
              <w:t>Considers how well the option supports a whole-of-diet approach as opposed to over-emphasising a single</w:t>
            </w:r>
            <w:r w:rsidR="001F75DE" w:rsidRPr="00BC587F">
              <w:t xml:space="preserve"> nutrient. </w:t>
            </w:r>
            <w:r w:rsidRPr="00BC587F">
              <w:t>This includes whether the labelling option would ‘push off’ more whole-of-diet type i</w:t>
            </w:r>
            <w:r w:rsidR="00995E41" w:rsidRPr="00BC587F">
              <w:t>nformation from the food label.</w:t>
            </w:r>
          </w:p>
        </w:tc>
      </w:tr>
      <w:tr w:rsidR="005B01EA" w:rsidRPr="000A796F" w14:paraId="47A175F4" w14:textId="77777777" w:rsidTr="00B07C00">
        <w:tc>
          <w:tcPr>
            <w:tcW w:w="2410" w:type="dxa"/>
          </w:tcPr>
          <w:p w14:paraId="473F7431" w14:textId="584F2CCB" w:rsidR="005B01EA" w:rsidRPr="00BC587F" w:rsidRDefault="005B01EA" w:rsidP="00183D44">
            <w:pPr>
              <w:pStyle w:val="Tabletext"/>
            </w:pPr>
            <w:r w:rsidRPr="00BC587F">
              <w:t xml:space="preserve">Contextual information </w:t>
            </w:r>
          </w:p>
        </w:tc>
        <w:tc>
          <w:tcPr>
            <w:tcW w:w="6004" w:type="dxa"/>
          </w:tcPr>
          <w:p w14:paraId="68595F14" w14:textId="4C6B5210" w:rsidR="004B3D5E" w:rsidRPr="00BC587F" w:rsidRDefault="005B01EA" w:rsidP="00183D44">
            <w:pPr>
              <w:pStyle w:val="Tabletext"/>
            </w:pPr>
            <w:r w:rsidRPr="00BC587F">
              <w:t>Considers whether the option provides information that can support consumers to use and interpret sugar</w:t>
            </w:r>
            <w:r w:rsidR="00E966DE" w:rsidRPr="00BC587F">
              <w:t>s</w:t>
            </w:r>
            <w:r w:rsidRPr="00BC587F">
              <w:t xml:space="preserve"> information on the food label. This includes the ability to compare foods.</w:t>
            </w:r>
          </w:p>
        </w:tc>
      </w:tr>
      <w:tr w:rsidR="005B01EA" w:rsidRPr="000A796F" w14:paraId="6C623614" w14:textId="77777777" w:rsidTr="00B07C00">
        <w:tc>
          <w:tcPr>
            <w:tcW w:w="2410" w:type="dxa"/>
          </w:tcPr>
          <w:p w14:paraId="1836FCDE" w14:textId="53A63318" w:rsidR="005B01EA" w:rsidRPr="00BC587F" w:rsidRDefault="005B01EA" w:rsidP="00183D44">
            <w:pPr>
              <w:pStyle w:val="Tabletext"/>
            </w:pPr>
            <w:r w:rsidRPr="00BC587F">
              <w:t>Consumer understanding</w:t>
            </w:r>
          </w:p>
        </w:tc>
        <w:tc>
          <w:tcPr>
            <w:tcW w:w="6004" w:type="dxa"/>
          </w:tcPr>
          <w:p w14:paraId="108F815B" w14:textId="555649D3" w:rsidR="005B01EA" w:rsidRPr="00BC587F" w:rsidRDefault="005B01EA" w:rsidP="00183D44">
            <w:pPr>
              <w:pStyle w:val="Tabletext"/>
            </w:pPr>
            <w:r w:rsidRPr="00BC587F">
              <w:t>Considers how well the option is understood by consumers (including those with low literacy or numeracy or technological literacy)</w:t>
            </w:r>
            <w:r w:rsidR="004B3D5E" w:rsidRPr="00BC587F">
              <w:t xml:space="preserve">. Considers </w:t>
            </w:r>
            <w:r w:rsidRPr="00BC587F">
              <w:t>simplicity of message and ease of access to in</w:t>
            </w:r>
            <w:r w:rsidR="004B3D5E" w:rsidRPr="00BC587F">
              <w:t>formation on the label at point-of-</w:t>
            </w:r>
            <w:r w:rsidR="00995E41" w:rsidRPr="00BC587F">
              <w:t>sale.</w:t>
            </w:r>
          </w:p>
        </w:tc>
      </w:tr>
      <w:tr w:rsidR="005B01EA" w:rsidRPr="000A796F" w14:paraId="0268EC2D" w14:textId="77777777" w:rsidTr="00B07C00">
        <w:tc>
          <w:tcPr>
            <w:tcW w:w="2410" w:type="dxa"/>
          </w:tcPr>
          <w:p w14:paraId="0EC19C0C" w14:textId="090FAA35" w:rsidR="005B01EA" w:rsidRPr="00BC587F" w:rsidRDefault="005B01EA" w:rsidP="00183D44">
            <w:pPr>
              <w:pStyle w:val="Tabletext"/>
            </w:pPr>
            <w:r w:rsidRPr="00BC587F">
              <w:t>New information</w:t>
            </w:r>
          </w:p>
        </w:tc>
        <w:tc>
          <w:tcPr>
            <w:tcW w:w="6004" w:type="dxa"/>
          </w:tcPr>
          <w:p w14:paraId="348C38B9" w14:textId="6C6C9AAA" w:rsidR="005B01EA" w:rsidRPr="00BC587F" w:rsidRDefault="005B01EA" w:rsidP="00183D44">
            <w:pPr>
              <w:pStyle w:val="Tabletext"/>
            </w:pPr>
            <w:r w:rsidRPr="00BC587F">
              <w:t xml:space="preserve">Considers whether the option delivers </w:t>
            </w:r>
            <w:r w:rsidR="006E6C52" w:rsidRPr="00BC587F">
              <w:t>sugars</w:t>
            </w:r>
            <w:r w:rsidRPr="00BC587F">
              <w:t xml:space="preserve"> information that is not currently available to the consumer</w:t>
            </w:r>
            <w:r w:rsidR="00B953CE" w:rsidRPr="00BC587F">
              <w:t>.</w:t>
            </w:r>
          </w:p>
        </w:tc>
      </w:tr>
    </w:tbl>
    <w:p w14:paraId="407AE772" w14:textId="275668B9" w:rsidR="00982ADB" w:rsidRPr="00BC587F" w:rsidRDefault="00982ADB" w:rsidP="00BC587F">
      <w:r w:rsidRPr="00BC587F">
        <w:t xml:space="preserve">The assessment of the options </w:t>
      </w:r>
      <w:proofErr w:type="gramStart"/>
      <w:r w:rsidRPr="00BC587F">
        <w:t>took into account</w:t>
      </w:r>
      <w:proofErr w:type="gramEnd"/>
      <w:r w:rsidRPr="00BC587F">
        <w:t xml:space="preserve"> information provided through stakeholder consultation as well as additional research and critical analysis.</w:t>
      </w:r>
    </w:p>
    <w:p w14:paraId="7DEBCC5D" w14:textId="70003CDE" w:rsidR="004B3D5E" w:rsidRPr="00BC587F" w:rsidRDefault="004B3D5E" w:rsidP="00BC587F">
      <w:r w:rsidRPr="00BC587F">
        <w:t xml:space="preserve">Table </w:t>
      </w:r>
      <w:r w:rsidR="00CD54FA" w:rsidRPr="00BC587F">
        <w:t>5</w:t>
      </w:r>
      <w:r w:rsidR="00E04AE7" w:rsidRPr="00BC587F">
        <w:t>.</w:t>
      </w:r>
      <w:r w:rsidR="000A796F" w:rsidRPr="00BC587F">
        <w:t>1.</w:t>
      </w:r>
      <w:r w:rsidR="00E04AE7" w:rsidRPr="00BC587F">
        <w:t>2</w:t>
      </w:r>
      <w:r w:rsidRPr="00BC587F">
        <w:t xml:space="preserve"> presents</w:t>
      </w:r>
      <w:r w:rsidR="001F75DE" w:rsidRPr="00BC587F">
        <w:t xml:space="preserve"> an analysis of</w:t>
      </w:r>
      <w:r w:rsidRPr="00BC587F">
        <w:t xml:space="preserve"> each of the proposed options against the assessment criteria. </w:t>
      </w:r>
      <w:r w:rsidR="00D54F3B" w:rsidRPr="00BC587F">
        <w:t xml:space="preserve">The criteria were </w:t>
      </w:r>
      <w:r w:rsidR="009C406F" w:rsidRPr="00BC587F">
        <w:t>rated</w:t>
      </w:r>
      <w:r w:rsidR="00D54F3B" w:rsidRPr="00BC587F">
        <w:t xml:space="preserve"> according to green, amber or red to reflect the extent to which each option achieved these criteria</w:t>
      </w:r>
      <w:r w:rsidR="00982ADB" w:rsidRPr="00BC587F">
        <w:t xml:space="preserve"> (with green indicating that the criteria </w:t>
      </w:r>
      <w:proofErr w:type="gramStart"/>
      <w:r w:rsidR="00982ADB" w:rsidRPr="00BC587F">
        <w:t>w</w:t>
      </w:r>
      <w:r w:rsidR="009C406F" w:rsidRPr="00BC587F">
        <w:t>as</w:t>
      </w:r>
      <w:proofErr w:type="gramEnd"/>
      <w:r w:rsidR="00982ADB" w:rsidRPr="00BC587F">
        <w:t xml:space="preserve"> well met, amber indicating the criteria w</w:t>
      </w:r>
      <w:r w:rsidR="009C406F" w:rsidRPr="00BC587F">
        <w:t>as</w:t>
      </w:r>
      <w:r w:rsidR="00982ADB" w:rsidRPr="00BC587F">
        <w:t xml:space="preserve"> somewhat met and red indicating the criteria w</w:t>
      </w:r>
      <w:r w:rsidR="009C406F" w:rsidRPr="00BC587F">
        <w:t>as</w:t>
      </w:r>
      <w:r w:rsidR="00982ADB" w:rsidRPr="00BC587F">
        <w:t xml:space="preserve"> poorly met)</w:t>
      </w:r>
      <w:r w:rsidR="00D54F3B" w:rsidRPr="00BC587F">
        <w:t>.</w:t>
      </w:r>
    </w:p>
    <w:p w14:paraId="5A7D0C83" w14:textId="50D8D246" w:rsidR="005B374E" w:rsidRPr="00BC587F" w:rsidRDefault="001F75DE" w:rsidP="00BC587F">
      <w:r w:rsidRPr="00BC587F">
        <w:t>This analysis shows</w:t>
      </w:r>
      <w:r w:rsidR="0020350C" w:rsidRPr="00BC587F">
        <w:t xml:space="preserve"> that Option 4 (added sugars </w:t>
      </w:r>
      <w:r w:rsidR="00A141AE" w:rsidRPr="00BC587F">
        <w:t xml:space="preserve">quantified </w:t>
      </w:r>
      <w:r w:rsidRPr="00BC587F">
        <w:t>in the NIP)</w:t>
      </w:r>
      <w:r w:rsidR="0020350C" w:rsidRPr="00BC587F">
        <w:t xml:space="preserve"> could best achieve the desired outcome. The options least likely to achieve the desired outcome </w:t>
      </w:r>
      <w:r w:rsidRPr="00BC587F">
        <w:t>are</w:t>
      </w:r>
      <w:r w:rsidR="0020350C" w:rsidRPr="00BC587F">
        <w:t xml:space="preserve"> Option 1 (status quo), Option 2 (education) and Option 7 (digital linking to off label web-based information</w:t>
      </w:r>
      <w:r w:rsidR="000A796F" w:rsidRPr="00BC587F">
        <w:t xml:space="preserve">). </w:t>
      </w:r>
      <w:r w:rsidR="009C406F" w:rsidRPr="00BC587F">
        <w:t>Options that were ra</w:t>
      </w:r>
      <w:r w:rsidR="00B953CE" w:rsidRPr="00BC587F">
        <w:t>ted red in at least one criterion</w:t>
      </w:r>
      <w:r w:rsidR="009C406F" w:rsidRPr="00BC587F">
        <w:t xml:space="preserve"> were not considered feasible opti</w:t>
      </w:r>
      <w:r w:rsidR="00995E41" w:rsidRPr="00BC587F">
        <w:t>ons and not considered further.</w:t>
      </w:r>
    </w:p>
    <w:p w14:paraId="5A0C173A" w14:textId="66E975E3" w:rsidR="004B3D5E" w:rsidRPr="00BC587F" w:rsidRDefault="004B3D5E" w:rsidP="00BC587F">
      <w:pPr>
        <w:sectPr w:rsidR="004B3D5E" w:rsidRPr="00BC587F" w:rsidSect="00AB7D96">
          <w:pgSz w:w="11906" w:h="16838" w:code="9"/>
          <w:pgMar w:top="1418" w:right="1418" w:bottom="1418" w:left="1418" w:header="709" w:footer="709" w:gutter="0"/>
          <w:cols w:space="708"/>
          <w:docGrid w:linePitch="360"/>
        </w:sectPr>
      </w:pPr>
    </w:p>
    <w:p w14:paraId="1CE3E743" w14:textId="0054D871" w:rsidR="004B3D5E" w:rsidRPr="000A796F" w:rsidRDefault="00BE6A72" w:rsidP="00BE6A72">
      <w:pPr>
        <w:pStyle w:val="Caption"/>
      </w:pPr>
      <w:bookmarkStart w:id="213" w:name="_Toc1480944"/>
      <w:bookmarkStart w:id="214" w:name="_Toc1483621"/>
      <w:bookmarkStart w:id="215" w:name="_Toc1634501"/>
      <w:bookmarkStart w:id="216" w:name="_Toc2252918"/>
      <w:bookmarkStart w:id="217" w:name="_Toc3905591"/>
      <w:r>
        <w:t>5.1.</w:t>
      </w:r>
      <w:fldSimple w:instr=" SEQ 5.1. \* ARABIC ">
        <w:r>
          <w:rPr>
            <w:noProof/>
          </w:rPr>
          <w:t>2</w:t>
        </w:r>
      </w:fldSimple>
      <w:r w:rsidR="00E04AE7" w:rsidRPr="000A796F">
        <w:t xml:space="preserve">- </w:t>
      </w:r>
      <w:r w:rsidR="004B3D5E" w:rsidRPr="000A796F">
        <w:t>Extent to which each option can achieve the desired outcome</w:t>
      </w:r>
      <w:bookmarkEnd w:id="213"/>
      <w:bookmarkEnd w:id="214"/>
      <w:bookmarkEnd w:id="215"/>
      <w:bookmarkEnd w:id="216"/>
      <w:bookmarkEnd w:id="217"/>
    </w:p>
    <w:tbl>
      <w:tblPr>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1.2 provides a summary of the extent to which each option can achieve the desired outcome. There are 5 columns. 1 blank, 2 Dietary Guidelines, 3 Contextual information, 4 Consumer understanding, 5 New information."/>
      </w:tblPr>
      <w:tblGrid>
        <w:gridCol w:w="1555"/>
        <w:gridCol w:w="4819"/>
        <w:gridCol w:w="4820"/>
        <w:gridCol w:w="4819"/>
        <w:gridCol w:w="4820"/>
      </w:tblGrid>
      <w:tr w:rsidR="004B3D5E" w:rsidRPr="00183D44" w14:paraId="71B09EFB" w14:textId="77777777" w:rsidTr="00E91513">
        <w:trPr>
          <w:tblHeader/>
        </w:trPr>
        <w:tc>
          <w:tcPr>
            <w:tcW w:w="1555" w:type="dxa"/>
          </w:tcPr>
          <w:p w14:paraId="6E2BAAFC" w14:textId="77777777" w:rsidR="004B3D5E" w:rsidRPr="00183D44" w:rsidRDefault="004B3D5E" w:rsidP="00183D44">
            <w:pPr>
              <w:pStyle w:val="Tableheader"/>
            </w:pPr>
          </w:p>
        </w:tc>
        <w:tc>
          <w:tcPr>
            <w:tcW w:w="4819" w:type="dxa"/>
          </w:tcPr>
          <w:p w14:paraId="1C4B87DA" w14:textId="77777777" w:rsidR="004B3D5E" w:rsidRPr="00183D44" w:rsidRDefault="004B3D5E" w:rsidP="00183D44">
            <w:pPr>
              <w:pStyle w:val="Tableheader"/>
            </w:pPr>
            <w:r w:rsidRPr="00183D44">
              <w:t>Dietary Guidelines</w:t>
            </w:r>
          </w:p>
        </w:tc>
        <w:tc>
          <w:tcPr>
            <w:tcW w:w="4820" w:type="dxa"/>
          </w:tcPr>
          <w:p w14:paraId="18A764E1" w14:textId="77777777" w:rsidR="004B3D5E" w:rsidRPr="00183D44" w:rsidRDefault="004B3D5E" w:rsidP="00183D44">
            <w:pPr>
              <w:pStyle w:val="Tableheader"/>
            </w:pPr>
            <w:r w:rsidRPr="00183D44">
              <w:t>Contextual information</w:t>
            </w:r>
          </w:p>
        </w:tc>
        <w:tc>
          <w:tcPr>
            <w:tcW w:w="4819" w:type="dxa"/>
          </w:tcPr>
          <w:p w14:paraId="68D5C56E" w14:textId="77777777" w:rsidR="004B3D5E" w:rsidRPr="00183D44" w:rsidRDefault="004B3D5E" w:rsidP="00183D44">
            <w:pPr>
              <w:pStyle w:val="Tableheader"/>
            </w:pPr>
            <w:r w:rsidRPr="00183D44">
              <w:t>Consumer understanding</w:t>
            </w:r>
          </w:p>
        </w:tc>
        <w:tc>
          <w:tcPr>
            <w:tcW w:w="4820" w:type="dxa"/>
          </w:tcPr>
          <w:p w14:paraId="6C0407EA" w14:textId="77777777" w:rsidR="004B3D5E" w:rsidRPr="00183D44" w:rsidRDefault="004B3D5E" w:rsidP="00183D44">
            <w:pPr>
              <w:pStyle w:val="Tableheader"/>
            </w:pPr>
            <w:r w:rsidRPr="00183D44">
              <w:t>New information</w:t>
            </w:r>
          </w:p>
        </w:tc>
      </w:tr>
      <w:tr w:rsidR="00E966DE" w14:paraId="7BFE7897" w14:textId="77777777" w:rsidTr="00E91513">
        <w:tc>
          <w:tcPr>
            <w:tcW w:w="1555" w:type="dxa"/>
          </w:tcPr>
          <w:p w14:paraId="3210937D" w14:textId="21D15197" w:rsidR="00E966DE" w:rsidRPr="004F13AA" w:rsidRDefault="00E966DE" w:rsidP="00183D44">
            <w:pPr>
              <w:pStyle w:val="Tabletext"/>
            </w:pPr>
            <w:r w:rsidRPr="004F13AA">
              <w:t>Option 1</w:t>
            </w:r>
            <w:r w:rsidR="006C1D19">
              <w:t xml:space="preserve"> </w:t>
            </w:r>
            <w:r w:rsidR="006C1D19" w:rsidRPr="004F13AA">
              <w:t>–</w:t>
            </w:r>
            <w:r w:rsidRPr="004F13AA">
              <w:t>Status quo</w:t>
            </w:r>
          </w:p>
        </w:tc>
        <w:tc>
          <w:tcPr>
            <w:tcW w:w="4819" w:type="dxa"/>
            <w:shd w:val="clear" w:color="auto" w:fill="FF7C80"/>
          </w:tcPr>
          <w:p w14:paraId="437F9CD1" w14:textId="3D291536" w:rsidR="00E966DE" w:rsidRPr="00BC587F" w:rsidRDefault="00E966DE" w:rsidP="00183D44">
            <w:pPr>
              <w:pStyle w:val="Tabletext"/>
            </w:pPr>
            <w:r w:rsidRPr="00BC587F">
              <w:t>Some food manufacturers are choosing to voluntar</w:t>
            </w:r>
            <w:r w:rsidR="00774A05" w:rsidRPr="00BC587F">
              <w:t>il</w:t>
            </w:r>
            <w:r w:rsidRPr="00BC587F">
              <w:t>y declare the added sugars content of their food products. However, most food labels do not support consumers to easily identify products containing added sugars (Australian dietary guidelines) and products with little or no added sugars (New Zealand dietary guidelines).</w:t>
            </w:r>
          </w:p>
          <w:p w14:paraId="40F6F74E" w14:textId="773D0FAA" w:rsidR="00E966DE" w:rsidRPr="00B23961" w:rsidRDefault="00774A05" w:rsidP="00183D44">
            <w:pPr>
              <w:pStyle w:val="Tabletext"/>
            </w:pPr>
            <w:r>
              <w:t>This limits consumer</w:t>
            </w:r>
            <w:r w:rsidR="00E966DE">
              <w:t>s</w:t>
            </w:r>
            <w:r>
              <w:t>’</w:t>
            </w:r>
            <w:r w:rsidR="00E966DE">
              <w:t xml:space="preserve"> ability to consider all </w:t>
            </w:r>
            <w:r w:rsidR="00175E28">
              <w:t xml:space="preserve">negative </w:t>
            </w:r>
            <w:r w:rsidR="00E966DE">
              <w:t>nutrients the dietary guidelines recommend should be limited.</w:t>
            </w:r>
          </w:p>
        </w:tc>
        <w:tc>
          <w:tcPr>
            <w:tcW w:w="4820" w:type="dxa"/>
            <w:shd w:val="clear" w:color="auto" w:fill="FF7C80"/>
          </w:tcPr>
          <w:p w14:paraId="06983BF8" w14:textId="7D7D4DF1" w:rsidR="00B2012E" w:rsidRDefault="00E966DE" w:rsidP="00183D44">
            <w:pPr>
              <w:pStyle w:val="Tabletext"/>
            </w:pPr>
            <w:r>
              <w:t xml:space="preserve">Some labelling elements such as HSR and %DI may support consumers to use and interpret sugars information on the food label. However, this contextual information </w:t>
            </w:r>
            <w:r w:rsidR="00B2012E">
              <w:t>is focused on total sugars.</w:t>
            </w:r>
          </w:p>
          <w:p w14:paraId="5D7A3D75" w14:textId="721F25A7" w:rsidR="00E04AE7" w:rsidRPr="00B23961" w:rsidRDefault="00B2012E" w:rsidP="00183D44">
            <w:pPr>
              <w:pStyle w:val="Tabletext"/>
            </w:pPr>
            <w:r>
              <w:t xml:space="preserve">Consumers can compare products using total sugars information in the </w:t>
            </w:r>
            <w:proofErr w:type="gramStart"/>
            <w:r>
              <w:t>NIP, but</w:t>
            </w:r>
            <w:proofErr w:type="gramEnd"/>
            <w:r>
              <w:t xml:space="preserve"> cannot compare added sugars content of foods using the NIP or any other element of a food label.</w:t>
            </w:r>
          </w:p>
        </w:tc>
        <w:tc>
          <w:tcPr>
            <w:tcW w:w="4819" w:type="dxa"/>
            <w:shd w:val="clear" w:color="auto" w:fill="FF7C80"/>
          </w:tcPr>
          <w:p w14:paraId="35948E57" w14:textId="28134965" w:rsidR="00E966DE" w:rsidRPr="00BC587F" w:rsidRDefault="00B2012E" w:rsidP="00183D44">
            <w:pPr>
              <w:pStyle w:val="Tabletext"/>
            </w:pPr>
            <w:r w:rsidRPr="00BC587F">
              <w:t>There is some evidence of consumer confusion when interpreting food labels in relation to sugars under status quo</w:t>
            </w:r>
            <w:r w:rsidRPr="00183D44">
              <w:rPr>
                <w:vertAlign w:val="superscript"/>
              </w:rPr>
              <w:footnoteReference w:id="121"/>
            </w:r>
            <w:r w:rsidR="00995E41" w:rsidRPr="00BC587F">
              <w:t>.</w:t>
            </w:r>
          </w:p>
        </w:tc>
        <w:tc>
          <w:tcPr>
            <w:tcW w:w="4820" w:type="dxa"/>
            <w:shd w:val="clear" w:color="auto" w:fill="FF7C80"/>
          </w:tcPr>
          <w:p w14:paraId="1F257B78" w14:textId="7B713A82" w:rsidR="00E966DE" w:rsidRPr="00B23961" w:rsidRDefault="00B2012E" w:rsidP="00BC587F">
            <w:r>
              <w:t xml:space="preserve">The status quo is focussed on existing information. </w:t>
            </w:r>
          </w:p>
        </w:tc>
      </w:tr>
      <w:tr w:rsidR="004B3D5E" w14:paraId="52B193CB" w14:textId="77777777" w:rsidTr="00E91513">
        <w:tc>
          <w:tcPr>
            <w:tcW w:w="1555" w:type="dxa"/>
          </w:tcPr>
          <w:p w14:paraId="1FCFF082" w14:textId="77777777" w:rsidR="004B3D5E" w:rsidRPr="004F13AA" w:rsidRDefault="004B3D5E" w:rsidP="00183D44">
            <w:pPr>
              <w:pStyle w:val="Tabletext"/>
            </w:pPr>
            <w:r w:rsidRPr="004F13AA">
              <w:t>Option 2 – Education on how to read and interpret labelling information about sugars</w:t>
            </w:r>
          </w:p>
        </w:tc>
        <w:tc>
          <w:tcPr>
            <w:tcW w:w="4819" w:type="dxa"/>
            <w:tcBorders>
              <w:bottom w:val="single" w:sz="4" w:space="0" w:color="auto"/>
            </w:tcBorders>
            <w:shd w:val="clear" w:color="auto" w:fill="FFC000"/>
          </w:tcPr>
          <w:p w14:paraId="4B36F007" w14:textId="23AB6905" w:rsidR="004B3D5E" w:rsidRPr="00BC587F" w:rsidRDefault="00175E28" w:rsidP="00183D44">
            <w:pPr>
              <w:pStyle w:val="Tabletext"/>
            </w:pPr>
            <w:r w:rsidRPr="00BC587F">
              <w:t>Option 2</w:t>
            </w:r>
            <w:r w:rsidR="004B3D5E" w:rsidRPr="00BC587F">
              <w:t xml:space="preserve"> supports consumers to make food choices consistent with the dietary guidelines. An education campaign could assist to educate consumers on how to identify products containing added sugars (Australian dietary guidelines) and products with little or no added sugars (New Zealand dietary guidelines). However, without information on added sugars being provided on food labels, the potential for this</w:t>
            </w:r>
            <w:r w:rsidRPr="00BC587F">
              <w:t xml:space="preserve"> education campaign</w:t>
            </w:r>
            <w:r w:rsidR="004B3D5E" w:rsidRPr="00BC587F">
              <w:t xml:space="preserve"> may be limited.</w:t>
            </w:r>
          </w:p>
          <w:p w14:paraId="15A31B55" w14:textId="77777777" w:rsidR="004B3D5E" w:rsidRPr="00B23961" w:rsidRDefault="004B3D5E" w:rsidP="00183D44">
            <w:pPr>
              <w:pStyle w:val="Tabletext"/>
            </w:pPr>
            <w:r w:rsidRPr="00B23961">
              <w:t>An education campaign strategy could encourage consumers to take a whole-of-diet approach when evaluating a food product, which would not over-emphasise added sugars above other risk nutrients.</w:t>
            </w:r>
          </w:p>
        </w:tc>
        <w:tc>
          <w:tcPr>
            <w:tcW w:w="4820" w:type="dxa"/>
            <w:shd w:val="clear" w:color="auto" w:fill="FFC000"/>
          </w:tcPr>
          <w:p w14:paraId="2D5C36BD" w14:textId="2634F7BC" w:rsidR="004B3D5E" w:rsidRPr="00B23961" w:rsidRDefault="004B3D5E" w:rsidP="00183D44">
            <w:pPr>
              <w:pStyle w:val="Tabletext"/>
            </w:pPr>
            <w:r w:rsidRPr="00B23961">
              <w:t>Information that can support consumers to use and interpret a food label may be provided</w:t>
            </w:r>
            <w:r w:rsidR="00995E41">
              <w:t xml:space="preserve"> through an education campaign.</w:t>
            </w:r>
          </w:p>
          <w:p w14:paraId="104BE8E6" w14:textId="374FD0CA" w:rsidR="004B3D5E" w:rsidRPr="00B23961" w:rsidRDefault="004B3D5E" w:rsidP="00183D44">
            <w:pPr>
              <w:pStyle w:val="Tabletext"/>
            </w:pPr>
            <w:r w:rsidRPr="00B23961">
              <w:t xml:space="preserve">However, </w:t>
            </w:r>
            <w:r w:rsidR="00175E28">
              <w:t>Option 2</w:t>
            </w:r>
            <w:r w:rsidRPr="00B23961">
              <w:t xml:space="preserve"> will make no change to the current food label and would only be able to give general advice. </w:t>
            </w:r>
            <w:proofErr w:type="gramStart"/>
            <w:r w:rsidRPr="00B23961">
              <w:t>Therefore</w:t>
            </w:r>
            <w:proofErr w:type="gramEnd"/>
            <w:r w:rsidRPr="00B23961">
              <w:t xml:space="preserve"> this option does not allow comparison between products.</w:t>
            </w:r>
          </w:p>
        </w:tc>
        <w:tc>
          <w:tcPr>
            <w:tcW w:w="4819" w:type="dxa"/>
            <w:shd w:val="clear" w:color="auto" w:fill="FFC000"/>
          </w:tcPr>
          <w:p w14:paraId="6CC0E58E" w14:textId="1DE86468" w:rsidR="004B3D5E" w:rsidRPr="00B23961" w:rsidRDefault="004B3D5E" w:rsidP="00183D44">
            <w:pPr>
              <w:pStyle w:val="Tabletext"/>
            </w:pPr>
            <w:r w:rsidRPr="00BC587F">
              <w:t>There is some evidence of consumer confusion when interpreting food labels under status quo</w:t>
            </w:r>
            <w:r w:rsidRPr="00B23961">
              <w:rPr>
                <w:rStyle w:val="FootnoteReference"/>
                <w:rFonts w:eastAsiaTheme="majorEastAsia"/>
                <w:sz w:val="20"/>
                <w:szCs w:val="20"/>
              </w:rPr>
              <w:footnoteReference w:id="122"/>
            </w:r>
            <w:r w:rsidR="00175E28" w:rsidRPr="00BC587F">
              <w:t>.</w:t>
            </w:r>
            <w:r w:rsidRPr="00BC587F">
              <w:t xml:space="preserve"> Education may have some impact on consumer understanding of food labels in relation to added sugars</w:t>
            </w:r>
            <w:r w:rsidRPr="00B23961">
              <w:rPr>
                <w:rStyle w:val="FootnoteReference"/>
                <w:rFonts w:eastAsiaTheme="majorEastAsia"/>
                <w:sz w:val="20"/>
                <w:szCs w:val="20"/>
              </w:rPr>
              <w:footnoteReference w:id="123"/>
            </w:r>
            <w:r w:rsidRPr="00B23961">
              <w:t>, but the potential of this option is limited as it can only provide general advice and is time limited. Furthermore, this information will not be available at the point of sale. Consumer recall of the campaign message will be required to assist in purchasing decisions.</w:t>
            </w:r>
          </w:p>
          <w:p w14:paraId="3143D672" w14:textId="71E9FE92" w:rsidR="00E04AE7" w:rsidRPr="00B23961" w:rsidRDefault="00175E28" w:rsidP="00183D44">
            <w:pPr>
              <w:pStyle w:val="Tabletext"/>
            </w:pPr>
            <w:r>
              <w:t>If the education campaign is delivered online, the education campaign may not reach members</w:t>
            </w:r>
            <w:r w:rsidR="004B3D5E" w:rsidRPr="00B23961">
              <w:t xml:space="preserve"> of the community with limited access or literacy to technologies</w:t>
            </w:r>
            <w:r w:rsidR="004B3D5E" w:rsidRPr="00B23961">
              <w:rPr>
                <w:rStyle w:val="FootnoteReference"/>
                <w:rFonts w:eastAsiaTheme="majorEastAsia"/>
                <w:sz w:val="20"/>
                <w:szCs w:val="20"/>
              </w:rPr>
              <w:footnoteReference w:id="124"/>
            </w:r>
            <w:r w:rsidR="004B3D5E" w:rsidRPr="00BC587F">
              <w:t xml:space="preserve">. </w:t>
            </w:r>
            <w:r w:rsidR="00897B8B" w:rsidRPr="00BC587F">
              <w:t>E</w:t>
            </w:r>
            <w:r w:rsidR="004B3D5E" w:rsidRPr="00BC587F">
              <w:t>ducation may not be sufficiently understood by all community groups</w:t>
            </w:r>
            <w:r w:rsidR="004B3D5E" w:rsidRPr="00B23961">
              <w:rPr>
                <w:rStyle w:val="FootnoteReference"/>
                <w:rFonts w:eastAsiaTheme="majorEastAsia"/>
                <w:sz w:val="20"/>
                <w:szCs w:val="20"/>
              </w:rPr>
              <w:footnoteReference w:id="125"/>
            </w:r>
            <w:r w:rsidR="004B3D5E" w:rsidRPr="00B23961">
              <w:rPr>
                <w:vertAlign w:val="superscript"/>
              </w:rPr>
              <w:t>,</w:t>
            </w:r>
            <w:r w:rsidR="004B3D5E" w:rsidRPr="00B23961">
              <w:rPr>
                <w:rStyle w:val="FootnoteReference"/>
                <w:rFonts w:eastAsiaTheme="majorEastAsia"/>
                <w:sz w:val="20"/>
                <w:szCs w:val="20"/>
              </w:rPr>
              <w:footnoteReference w:id="126"/>
            </w:r>
            <w:r w:rsidR="004B3D5E" w:rsidRPr="00BC587F">
              <w:t>. However, there is capacity to tailor an education campaign to reach specific population groups and simplify information for groups with lower literacy skills.</w:t>
            </w:r>
          </w:p>
        </w:tc>
        <w:tc>
          <w:tcPr>
            <w:tcW w:w="4820" w:type="dxa"/>
            <w:shd w:val="clear" w:color="auto" w:fill="FF7C80"/>
          </w:tcPr>
          <w:p w14:paraId="1286A696" w14:textId="6C32B900" w:rsidR="004B3D5E" w:rsidRPr="00B23961" w:rsidRDefault="00175E28" w:rsidP="00BC587F">
            <w:r>
              <w:t>Option 2</w:t>
            </w:r>
            <w:r w:rsidR="004B3D5E" w:rsidRPr="00B23961">
              <w:t xml:space="preserve"> will not be providin</w:t>
            </w:r>
            <w:r w:rsidR="00710145">
              <w:t>g new information</w:t>
            </w:r>
            <w:r w:rsidR="004B3D5E" w:rsidRPr="00B23961">
              <w:t>. Rather it proposes to draw on existing information to increase consumers’ understanding of how to use and interpret food labels.</w:t>
            </w:r>
          </w:p>
        </w:tc>
      </w:tr>
      <w:tr w:rsidR="004B3D5E" w:rsidRPr="00FE3142" w14:paraId="192C844A" w14:textId="77777777" w:rsidTr="00E91513">
        <w:trPr>
          <w:trHeight w:val="338"/>
        </w:trPr>
        <w:tc>
          <w:tcPr>
            <w:tcW w:w="1555" w:type="dxa"/>
            <w:vMerge w:val="restart"/>
          </w:tcPr>
          <w:p w14:paraId="017FC1A5" w14:textId="77777777" w:rsidR="004B3D5E" w:rsidRPr="004F13AA" w:rsidRDefault="004B3D5E" w:rsidP="00183D44">
            <w:pPr>
              <w:pStyle w:val="Tabletext"/>
            </w:pPr>
            <w:r w:rsidRPr="004F13AA">
              <w:t xml:space="preserve">Option 3 – Change to statement of ingredients to overtly identify sugars-based ingredients </w:t>
            </w:r>
          </w:p>
        </w:tc>
        <w:tc>
          <w:tcPr>
            <w:tcW w:w="4819" w:type="dxa"/>
            <w:tcBorders>
              <w:bottom w:val="nil"/>
            </w:tcBorders>
            <w:shd w:val="clear" w:color="auto" w:fill="FFC000"/>
          </w:tcPr>
          <w:p w14:paraId="1D3483D3" w14:textId="3E0E65BB" w:rsidR="0049186F" w:rsidRPr="00BC587F" w:rsidRDefault="00175E28" w:rsidP="00183D44">
            <w:pPr>
              <w:pStyle w:val="Tabletext"/>
            </w:pPr>
            <w:r w:rsidRPr="00BC587F">
              <w:t>Option 3</w:t>
            </w:r>
            <w:r w:rsidR="004B3D5E" w:rsidRPr="00BC587F">
              <w:t xml:space="preserve"> supports consumers to make food choices consistent with the dietary guidelines because it provides information about the presence of added sugars in a food. Overtly identifying added sugars in the statement of ingredients allows consumers to identify products containing added sugars (Australian dietary guidelines). In respect to the New Zealand dietary guidelines, it will allow for identifying foods with no added sugars however is unlikely to assist with identifying foods with </w:t>
            </w:r>
            <w:r w:rsidR="0049186F" w:rsidRPr="00BC587F">
              <w:t>little</w:t>
            </w:r>
            <w:r w:rsidR="004B3D5E" w:rsidRPr="00BC587F">
              <w:t xml:space="preserve"> added sugars.</w:t>
            </w:r>
          </w:p>
        </w:tc>
        <w:tc>
          <w:tcPr>
            <w:tcW w:w="4820" w:type="dxa"/>
            <w:vMerge w:val="restart"/>
            <w:shd w:val="clear" w:color="auto" w:fill="FFC000"/>
          </w:tcPr>
          <w:p w14:paraId="02B207EE" w14:textId="52F2B759" w:rsidR="004B3D5E" w:rsidRPr="00FE3142" w:rsidRDefault="004B3D5E" w:rsidP="00183D44">
            <w:pPr>
              <w:pStyle w:val="Tabletext"/>
            </w:pPr>
            <w:r w:rsidRPr="00FE3142">
              <w:t xml:space="preserve">If added sugars were grouped in the statement of ingredients, </w:t>
            </w:r>
            <w:r w:rsidR="00175E28">
              <w:t>Option 3</w:t>
            </w:r>
            <w:r w:rsidRPr="00FE3142">
              <w:t xml:space="preserve"> would provide information about the relative contribution of added sugars in the context of other ingredients. It would allow consumers to compare the r</w:t>
            </w:r>
            <w:r w:rsidR="00486AE7">
              <w:t>elative amounts of added sugars to other ingredients within a</w:t>
            </w:r>
            <w:r w:rsidRPr="00FE3142">
              <w:t xml:space="preserve"> food</w:t>
            </w:r>
            <w:r w:rsidR="00B953CE">
              <w:t>;</w:t>
            </w:r>
            <w:r w:rsidRPr="00FE3142">
              <w:t xml:space="preserve"> </w:t>
            </w:r>
            <w:proofErr w:type="gramStart"/>
            <w:r w:rsidRPr="00FE3142">
              <w:t>however</w:t>
            </w:r>
            <w:proofErr w:type="gramEnd"/>
            <w:r w:rsidRPr="00FE3142">
              <w:t xml:space="preserve"> it would not allow consumers to identify whether a food has a high, medium or low added suga</w:t>
            </w:r>
            <w:r w:rsidR="00AA37B6">
              <w:t xml:space="preserve">rs content. </w:t>
            </w:r>
            <w:r w:rsidR="00175E28">
              <w:t>Option 3</w:t>
            </w:r>
            <w:r w:rsidR="00486AE7">
              <w:t xml:space="preserve"> would not allow </w:t>
            </w:r>
            <w:r w:rsidRPr="00FE3142">
              <w:t>for comparisons of added</w:t>
            </w:r>
            <w:r w:rsidR="00995E41">
              <w:t xml:space="preserve"> sugars content between foods.</w:t>
            </w:r>
          </w:p>
        </w:tc>
        <w:tc>
          <w:tcPr>
            <w:tcW w:w="4819" w:type="dxa"/>
            <w:vMerge w:val="restart"/>
            <w:shd w:val="clear" w:color="auto" w:fill="FFC000"/>
          </w:tcPr>
          <w:p w14:paraId="6E0631FF" w14:textId="5DDC05DD" w:rsidR="004B3D5E" w:rsidRPr="00FE3142" w:rsidRDefault="00175E28" w:rsidP="00183D44">
            <w:pPr>
              <w:pStyle w:val="Tabletext"/>
            </w:pPr>
            <w:r>
              <w:t>Option 3</w:t>
            </w:r>
            <w:r w:rsidR="004B3D5E" w:rsidRPr="00FE3142">
              <w:t xml:space="preserve"> should make identification of added sugars in a food easier at the point of sale, noting that </w:t>
            </w:r>
            <w:r w:rsidR="00486AE7">
              <w:t xml:space="preserve">under the status quo </w:t>
            </w:r>
            <w:r w:rsidR="004B3D5E" w:rsidRPr="00FE3142">
              <w:t>names other than ‘sugar’ can be used to describe sugars-based ingredients i</w:t>
            </w:r>
            <w:r w:rsidR="00995E41">
              <w:t>n the statement of ingredients.</w:t>
            </w:r>
          </w:p>
          <w:p w14:paraId="16EE0FC1" w14:textId="7417CF06" w:rsidR="004B3D5E" w:rsidRPr="00BC587F" w:rsidRDefault="00175E28" w:rsidP="00183D44">
            <w:pPr>
              <w:pStyle w:val="Tabletext"/>
            </w:pPr>
            <w:r w:rsidRPr="00BC587F">
              <w:t>Option 3</w:t>
            </w:r>
            <w:r w:rsidR="004B3D5E" w:rsidRPr="00BC587F">
              <w:t xml:space="preserve"> would require a degree of literacy and time on behalf of the consumer to study the statement of ingredients to identify the presence of added sugars amongs</w:t>
            </w:r>
            <w:r w:rsidRPr="00BC587F">
              <w:t xml:space="preserve">t other ingredients declared. </w:t>
            </w:r>
            <w:r w:rsidR="00486AE7" w:rsidRPr="00BC587F">
              <w:t>Around half of Australian consumers and less than half of New Zealand consumers are aware that the statement of ingredients requires ingredients to be listed in a specific order</w:t>
            </w:r>
            <w:r w:rsidR="00486AE7" w:rsidRPr="00696D94">
              <w:rPr>
                <w:vertAlign w:val="superscript"/>
              </w:rPr>
              <w:footnoteReference w:id="127"/>
            </w:r>
            <w:r w:rsidR="00486AE7" w:rsidRPr="00BC587F">
              <w:t xml:space="preserve">. </w:t>
            </w:r>
          </w:p>
        </w:tc>
        <w:tc>
          <w:tcPr>
            <w:tcW w:w="4820" w:type="dxa"/>
            <w:vMerge w:val="restart"/>
            <w:shd w:val="clear" w:color="auto" w:fill="92D050"/>
          </w:tcPr>
          <w:p w14:paraId="45DF0E18" w14:textId="32ABF123" w:rsidR="004B3D5E" w:rsidRPr="00FE3142" w:rsidRDefault="004B3D5E" w:rsidP="00183D44">
            <w:pPr>
              <w:pStyle w:val="Tabletext"/>
            </w:pPr>
            <w:r w:rsidRPr="00FE3142">
              <w:t xml:space="preserve">As noted, </w:t>
            </w:r>
            <w:r w:rsidR="00175E28">
              <w:t>Option 3</w:t>
            </w:r>
            <w:r w:rsidRPr="00FE3142">
              <w:t xml:space="preserve"> would provide some additional information to make identifying added sugars easier.</w:t>
            </w:r>
          </w:p>
        </w:tc>
      </w:tr>
      <w:tr w:rsidR="004B3D5E" w:rsidRPr="00FE3142" w14:paraId="0E666368" w14:textId="77777777" w:rsidTr="00E91513">
        <w:trPr>
          <w:trHeight w:val="339"/>
        </w:trPr>
        <w:tc>
          <w:tcPr>
            <w:tcW w:w="1555" w:type="dxa"/>
            <w:vMerge/>
          </w:tcPr>
          <w:p w14:paraId="5BDBCEFE" w14:textId="77777777" w:rsidR="004B3D5E" w:rsidRDefault="004B3D5E" w:rsidP="00A56F43">
            <w:pPr>
              <w:spacing w:before="60" w:after="60"/>
              <w:rPr>
                <w:rFonts w:cs="Arial"/>
              </w:rPr>
            </w:pPr>
          </w:p>
        </w:tc>
        <w:tc>
          <w:tcPr>
            <w:tcW w:w="4819" w:type="dxa"/>
            <w:tcBorders>
              <w:top w:val="nil"/>
              <w:bottom w:val="single" w:sz="4" w:space="0" w:color="auto"/>
            </w:tcBorders>
            <w:shd w:val="clear" w:color="auto" w:fill="FFC000"/>
          </w:tcPr>
          <w:p w14:paraId="039D437D" w14:textId="2D281BC0" w:rsidR="00376252" w:rsidRDefault="00175E28" w:rsidP="00183D44">
            <w:pPr>
              <w:pStyle w:val="Tabletext"/>
            </w:pPr>
            <w:r>
              <w:t>Option 3</w:t>
            </w:r>
            <w:r w:rsidR="004B3D5E" w:rsidRPr="00FE3142">
              <w:t xml:space="preserve"> may emphasise added sugars over other </w:t>
            </w:r>
            <w:r>
              <w:t xml:space="preserve">negative </w:t>
            </w:r>
            <w:r w:rsidR="004B3D5E" w:rsidRPr="00FE3142">
              <w:t xml:space="preserve">nutrients </w:t>
            </w:r>
            <w:r w:rsidR="0049186F">
              <w:t>identified</w:t>
            </w:r>
            <w:r w:rsidR="00995E41">
              <w:t xml:space="preserve"> in dietary guidelines.</w:t>
            </w:r>
          </w:p>
          <w:p w14:paraId="6B5FE84B" w14:textId="0D6E3E6A" w:rsidR="0020350C" w:rsidRDefault="004B3D5E" w:rsidP="00183D44">
            <w:pPr>
              <w:pStyle w:val="Tabletext"/>
            </w:pPr>
            <w:r w:rsidRPr="00FE3142">
              <w:t xml:space="preserve">There is no requirement to refer to </w:t>
            </w:r>
            <w:r w:rsidR="00175E28">
              <w:t>negative</w:t>
            </w:r>
            <w:r w:rsidRPr="00FE3142">
              <w:t xml:space="preserve"> nutrients</w:t>
            </w:r>
            <w:r w:rsidR="00175E28">
              <w:t>/ingredients</w:t>
            </w:r>
            <w:r w:rsidRPr="00FE3142">
              <w:t xml:space="preserve"> </w:t>
            </w:r>
            <w:r w:rsidR="0049186F">
              <w:t>identified</w:t>
            </w:r>
            <w:r w:rsidRPr="00FE3142">
              <w:t xml:space="preserve"> in dietary guidelines directly in the statement of ingredients nor to group them. This means they are not necessarily highlighted/emphasised or shifted upwards in the statement of ingredients due to grouping. Hence grouping added sugars may bring attention to sugar</w:t>
            </w:r>
            <w:r w:rsidR="0049186F">
              <w:t>s-based</w:t>
            </w:r>
            <w:r w:rsidRPr="00FE3142">
              <w:t xml:space="preserve"> ingredients over other ingredients such as salt or </w:t>
            </w:r>
            <w:r w:rsidR="0049186F">
              <w:t xml:space="preserve">ingredients </w:t>
            </w:r>
            <w:r w:rsidRPr="00FE3142">
              <w:t xml:space="preserve">containing saturated fat. </w:t>
            </w:r>
            <w:r w:rsidR="00376252">
              <w:t xml:space="preserve">This </w:t>
            </w:r>
            <w:r w:rsidR="00376252" w:rsidRPr="00DE310D">
              <w:t>may imply added sugars are a more concerning nutrient which is inconsistent with the dietary guidelines</w:t>
            </w:r>
            <w:r w:rsidR="00376252">
              <w:t>.</w:t>
            </w:r>
          </w:p>
          <w:p w14:paraId="614C7FB9" w14:textId="63A9762E" w:rsidR="00E04AE7" w:rsidRPr="00FE3142" w:rsidRDefault="004B3D5E" w:rsidP="00183D44">
            <w:pPr>
              <w:pStyle w:val="Tabletext"/>
            </w:pPr>
            <w:r w:rsidRPr="00FE3142">
              <w:t>Assuming all added sugars are currently declared in the statement of ingredients, a requirement to overtly identify added sugars should not result in significant additional labelling information (</w:t>
            </w:r>
            <w:proofErr w:type="gramStart"/>
            <w:r w:rsidRPr="00FE3142">
              <w:t>i.e.</w:t>
            </w:r>
            <w:proofErr w:type="gramEnd"/>
            <w:r w:rsidRPr="00FE3142">
              <w:t xml:space="preserve"> more words) and therefore should not necessitate the removal of other more holistic information such as the HSR.</w:t>
            </w:r>
          </w:p>
        </w:tc>
        <w:tc>
          <w:tcPr>
            <w:tcW w:w="4820" w:type="dxa"/>
            <w:vMerge/>
            <w:shd w:val="clear" w:color="auto" w:fill="CDDDD7" w:themeFill="accent6" w:themeFillTint="66"/>
          </w:tcPr>
          <w:p w14:paraId="4ECCC568" w14:textId="77777777" w:rsidR="004B3D5E" w:rsidRPr="00FE3142" w:rsidRDefault="004B3D5E" w:rsidP="00183D44">
            <w:pPr>
              <w:pStyle w:val="Tabletext"/>
              <w:rPr>
                <w:sz w:val="20"/>
                <w:szCs w:val="20"/>
              </w:rPr>
            </w:pPr>
          </w:p>
        </w:tc>
        <w:tc>
          <w:tcPr>
            <w:tcW w:w="4819" w:type="dxa"/>
            <w:vMerge/>
            <w:shd w:val="clear" w:color="auto" w:fill="CDDDD7" w:themeFill="accent6" w:themeFillTint="66"/>
          </w:tcPr>
          <w:p w14:paraId="20BE0186" w14:textId="77777777" w:rsidR="004B3D5E" w:rsidRPr="00FE3142" w:rsidRDefault="004B3D5E" w:rsidP="00183D44">
            <w:pPr>
              <w:pStyle w:val="Tabletext"/>
              <w:rPr>
                <w:sz w:val="20"/>
                <w:szCs w:val="20"/>
              </w:rPr>
            </w:pPr>
          </w:p>
        </w:tc>
        <w:tc>
          <w:tcPr>
            <w:tcW w:w="4820" w:type="dxa"/>
            <w:vMerge/>
            <w:shd w:val="clear" w:color="auto" w:fill="92D050"/>
          </w:tcPr>
          <w:p w14:paraId="344D23E2" w14:textId="77777777" w:rsidR="004B3D5E" w:rsidRPr="00FE3142" w:rsidRDefault="004B3D5E" w:rsidP="00A56F43">
            <w:pPr>
              <w:spacing w:before="60" w:after="60"/>
              <w:rPr>
                <w:sz w:val="20"/>
                <w:szCs w:val="20"/>
              </w:rPr>
            </w:pPr>
          </w:p>
        </w:tc>
      </w:tr>
      <w:tr w:rsidR="004B3D5E" w14:paraId="568A5D99" w14:textId="77777777" w:rsidTr="00E91513">
        <w:tc>
          <w:tcPr>
            <w:tcW w:w="1555" w:type="dxa"/>
            <w:vMerge w:val="restart"/>
          </w:tcPr>
          <w:p w14:paraId="02FB8513" w14:textId="77777777" w:rsidR="004B3D5E" w:rsidRPr="004F13AA" w:rsidRDefault="004B3D5E" w:rsidP="004F13AA">
            <w:r w:rsidRPr="004F13AA">
              <w:t>Option 4 – added sugars quantified in NIP</w:t>
            </w:r>
          </w:p>
        </w:tc>
        <w:tc>
          <w:tcPr>
            <w:tcW w:w="4819" w:type="dxa"/>
            <w:tcBorders>
              <w:bottom w:val="nil"/>
            </w:tcBorders>
            <w:shd w:val="clear" w:color="auto" w:fill="92D050"/>
          </w:tcPr>
          <w:p w14:paraId="02BCBDD7" w14:textId="36472ADA" w:rsidR="004B3D5E" w:rsidRPr="00BC587F" w:rsidRDefault="00175E28" w:rsidP="00183D44">
            <w:pPr>
              <w:pStyle w:val="Tabletext"/>
            </w:pPr>
            <w:r w:rsidRPr="00BC587F">
              <w:t>Option 4</w:t>
            </w:r>
            <w:r w:rsidR="004B3D5E" w:rsidRPr="00BC587F">
              <w:t xml:space="preserve"> supports consumers to make food choices consistent with the dietary guidelines because it provides quantified information about the added sugars content of the food product. </w:t>
            </w:r>
            <w:r w:rsidR="00376252" w:rsidRPr="00BC587F">
              <w:t>This would allow</w:t>
            </w:r>
            <w:r w:rsidR="004B3D5E" w:rsidRPr="00BC587F">
              <w:t xml:space="preserve"> consumers to identify products containing added sugars (Australian dietary guidelines) and products with little or no added sugars (New Zealand</w:t>
            </w:r>
            <w:r w:rsidR="00CD54FA" w:rsidRPr="00BC587F">
              <w:t xml:space="preserve"> dietary guidelines).</w:t>
            </w:r>
          </w:p>
        </w:tc>
        <w:tc>
          <w:tcPr>
            <w:tcW w:w="4820" w:type="dxa"/>
            <w:vMerge w:val="restart"/>
            <w:shd w:val="clear" w:color="auto" w:fill="92D050"/>
          </w:tcPr>
          <w:p w14:paraId="23692C58" w14:textId="68C2AD28" w:rsidR="004B3D5E" w:rsidRPr="00B23961" w:rsidRDefault="00175E28" w:rsidP="00183D44">
            <w:pPr>
              <w:pStyle w:val="Tabletext"/>
            </w:pPr>
            <w:r w:rsidRPr="00BC587F">
              <w:t>Option 4</w:t>
            </w:r>
            <w:r w:rsidR="004B3D5E" w:rsidRPr="00BC587F">
              <w:t xml:space="preserve"> provides contextual information as it allows consumers to understand how much of a product’s total sugars content is derived from added sugars</w:t>
            </w:r>
            <w:r w:rsidR="004B3D5E" w:rsidRPr="00B23961">
              <w:rPr>
                <w:rStyle w:val="FootnoteReference"/>
                <w:rFonts w:eastAsiaTheme="majorEastAsia"/>
                <w:sz w:val="20"/>
                <w:szCs w:val="20"/>
              </w:rPr>
              <w:footnoteReference w:id="128"/>
            </w:r>
            <w:r w:rsidR="00995E41">
              <w:t>.</w:t>
            </w:r>
          </w:p>
          <w:p w14:paraId="14D6E272" w14:textId="50BE4208" w:rsidR="004B3D5E" w:rsidRPr="00B23961" w:rsidRDefault="004B3D5E" w:rsidP="00183D44">
            <w:pPr>
              <w:pStyle w:val="Tabletext"/>
            </w:pPr>
            <w:r w:rsidRPr="00B23961">
              <w:t>The option for additional contextual information such as %DI or HIGH/MEDIUM/LOW labelling may also support consumers to interpret abstract information (such as grams of added sugars per 100g of food) without needing to compare products</w:t>
            </w:r>
            <w:r w:rsidRPr="00B953CE">
              <w:rPr>
                <w:rStyle w:val="FootnoteReference"/>
                <w:rFonts w:eastAsiaTheme="majorEastAsia"/>
                <w:sz w:val="20"/>
                <w:szCs w:val="20"/>
              </w:rPr>
              <w:footnoteReference w:id="129"/>
            </w:r>
            <w:r w:rsidR="00B953CE" w:rsidRPr="00B953CE">
              <w:rPr>
                <w:vertAlign w:val="superscript"/>
              </w:rPr>
              <w:t>,</w:t>
            </w:r>
            <w:r w:rsidRPr="00B953CE">
              <w:rPr>
                <w:rStyle w:val="FootnoteReference"/>
                <w:rFonts w:eastAsiaTheme="majorEastAsia"/>
                <w:sz w:val="20"/>
                <w:szCs w:val="20"/>
              </w:rPr>
              <w:footnoteReference w:id="130"/>
            </w:r>
            <w:r w:rsidRPr="00BC587F">
              <w:t>.</w:t>
            </w:r>
          </w:p>
        </w:tc>
        <w:tc>
          <w:tcPr>
            <w:tcW w:w="4819" w:type="dxa"/>
            <w:vMerge w:val="restart"/>
            <w:shd w:val="clear" w:color="auto" w:fill="92D050"/>
          </w:tcPr>
          <w:p w14:paraId="008FB303" w14:textId="6A2E0BE4" w:rsidR="004B3D5E" w:rsidRPr="00B23961" w:rsidRDefault="004B3D5E" w:rsidP="00183D44">
            <w:pPr>
              <w:pStyle w:val="Tabletext"/>
            </w:pPr>
            <w:r w:rsidRPr="00B23961">
              <w:t>Incorporating added sugars into the NIP would make this information available to consumers at the point of sale. The prescribed format and standardised units of the NIP</w:t>
            </w:r>
            <w:r w:rsidR="00995E41">
              <w:t xml:space="preserve"> allows for product comparison.</w:t>
            </w:r>
          </w:p>
          <w:p w14:paraId="78093F87" w14:textId="37FEE896" w:rsidR="004B3D5E" w:rsidRPr="00B23961" w:rsidRDefault="004B3D5E" w:rsidP="00183D44">
            <w:pPr>
              <w:pStyle w:val="Tabletext"/>
            </w:pPr>
            <w:r w:rsidRPr="00BC587F">
              <w:t>Seventy per cent (70%) of consumers in Australia and New Zealand use the NIP when making a food purchase for the first time with sugar information checked by consumers most frequently</w:t>
            </w:r>
            <w:r w:rsidRPr="00B23961">
              <w:rPr>
                <w:rStyle w:val="FootnoteReference"/>
                <w:rFonts w:eastAsiaTheme="majorEastAsia"/>
                <w:sz w:val="20"/>
                <w:szCs w:val="20"/>
              </w:rPr>
              <w:footnoteReference w:id="131"/>
            </w:r>
            <w:r w:rsidR="00995E41">
              <w:t>.</w:t>
            </w:r>
          </w:p>
          <w:p w14:paraId="758CBCBD" w14:textId="3EAC0623" w:rsidR="004B3D5E" w:rsidRPr="00BC587F" w:rsidRDefault="004B3D5E" w:rsidP="00183D44">
            <w:pPr>
              <w:pStyle w:val="Tabletext"/>
            </w:pPr>
            <w:r w:rsidRPr="00B23961">
              <w:t>Understanding a NIP requires a degree of numeracy and may not be understood by those with poor numeracy skills. However, most Australian and New Zealand consumers find the NIP to be moderately understandable, with only 3% of Australians and 2% of New Zealanders reporting that the NIP was ‘</w:t>
            </w:r>
            <w:r w:rsidRPr="00B23961">
              <w:rPr>
                <w:i/>
              </w:rPr>
              <w:t>not at all</w:t>
            </w:r>
            <w:r w:rsidRPr="00BC587F">
              <w:t>’ understandable</w:t>
            </w:r>
            <w:r w:rsidRPr="00B23961">
              <w:rPr>
                <w:rStyle w:val="FootnoteReference"/>
                <w:rFonts w:eastAsiaTheme="majorEastAsia"/>
                <w:sz w:val="20"/>
                <w:szCs w:val="20"/>
              </w:rPr>
              <w:footnoteReference w:id="132"/>
            </w:r>
            <w:r w:rsidR="00995E41" w:rsidRPr="00BC587F">
              <w:t>.</w:t>
            </w:r>
          </w:p>
          <w:p w14:paraId="3331A2D6" w14:textId="77777777" w:rsidR="004B3D5E" w:rsidRPr="00B23961" w:rsidRDefault="004B3D5E" w:rsidP="00183D44">
            <w:pPr>
              <w:pStyle w:val="Tabletext"/>
            </w:pPr>
            <w:r w:rsidRPr="00BC587F">
              <w:t>Inclusion of added sugars as a separate element on a NIP may lead some consumers to be confused and overestimate the sugar content of a food item</w:t>
            </w:r>
            <w:r w:rsidRPr="00B23961">
              <w:rPr>
                <w:rStyle w:val="FootnoteReference"/>
                <w:rFonts w:eastAsiaTheme="majorEastAsia"/>
                <w:sz w:val="20"/>
                <w:szCs w:val="20"/>
              </w:rPr>
              <w:footnoteReference w:id="133"/>
            </w:r>
            <w:r w:rsidRPr="00B23961">
              <w:rPr>
                <w:vertAlign w:val="superscript"/>
              </w:rPr>
              <w:t>,</w:t>
            </w:r>
            <w:r w:rsidRPr="00B23961">
              <w:rPr>
                <w:rStyle w:val="FootnoteReference"/>
                <w:rFonts w:eastAsiaTheme="majorEastAsia"/>
                <w:sz w:val="20"/>
                <w:szCs w:val="20"/>
              </w:rPr>
              <w:footnoteReference w:id="134"/>
            </w:r>
            <w:r w:rsidRPr="00BC587F">
              <w:t>. This occurs where consumers believe ‘added’ sugars are in addition to the ‘total’ sugars content. However, format and wording of the NIP influenced consumer understanding with consumer understanding of added sugars in the NIP greatest when added sugars were listed beneath total sugars and indented</w:t>
            </w:r>
            <w:r w:rsidRPr="00B23961">
              <w:rPr>
                <w:rStyle w:val="FootnoteReference"/>
                <w:rFonts w:eastAsiaTheme="majorEastAsia"/>
                <w:sz w:val="20"/>
                <w:szCs w:val="20"/>
              </w:rPr>
              <w:footnoteReference w:id="135"/>
            </w:r>
            <w:r w:rsidRPr="00BC587F">
              <w:t>.</w:t>
            </w:r>
          </w:p>
        </w:tc>
        <w:tc>
          <w:tcPr>
            <w:tcW w:w="4820" w:type="dxa"/>
            <w:vMerge w:val="restart"/>
            <w:shd w:val="clear" w:color="auto" w:fill="92D050"/>
          </w:tcPr>
          <w:p w14:paraId="1240AF1B" w14:textId="3624F2A8" w:rsidR="004B3D5E" w:rsidRPr="00B23961" w:rsidRDefault="00175E28" w:rsidP="00BC587F">
            <w:r>
              <w:t>Option 4</w:t>
            </w:r>
            <w:r w:rsidR="004B3D5E" w:rsidRPr="00B23961">
              <w:t xml:space="preserve"> provides new information on a food label as few food manufacturers currently quantify the </w:t>
            </w:r>
            <w:proofErr w:type="gramStart"/>
            <w:r w:rsidR="004B3D5E" w:rsidRPr="00B23961">
              <w:t>amount</w:t>
            </w:r>
            <w:proofErr w:type="gramEnd"/>
            <w:r w:rsidR="004B3D5E" w:rsidRPr="00B23961">
              <w:t xml:space="preserve"> of added sugars in a food product.</w:t>
            </w:r>
          </w:p>
        </w:tc>
      </w:tr>
      <w:tr w:rsidR="004B3D5E" w14:paraId="413B3EB6" w14:textId="77777777" w:rsidTr="00E91513">
        <w:tc>
          <w:tcPr>
            <w:tcW w:w="1555" w:type="dxa"/>
            <w:vMerge/>
          </w:tcPr>
          <w:p w14:paraId="153598AB" w14:textId="77777777" w:rsidR="004B3D5E" w:rsidRPr="00B23961" w:rsidRDefault="004B3D5E" w:rsidP="00E23393">
            <w:pPr>
              <w:spacing w:before="60" w:after="60"/>
              <w:jc w:val="both"/>
            </w:pPr>
          </w:p>
        </w:tc>
        <w:tc>
          <w:tcPr>
            <w:tcW w:w="4819" w:type="dxa"/>
            <w:tcBorders>
              <w:top w:val="nil"/>
            </w:tcBorders>
            <w:shd w:val="clear" w:color="auto" w:fill="92D050"/>
          </w:tcPr>
          <w:p w14:paraId="47582DA5" w14:textId="2DA282F4" w:rsidR="004B3D5E" w:rsidRPr="00B23961" w:rsidRDefault="004B3D5E" w:rsidP="00183D44">
            <w:pPr>
              <w:pStyle w:val="Tabletext"/>
            </w:pPr>
            <w:r w:rsidRPr="00B23961">
              <w:t xml:space="preserve">The NIP currently includes saturated fat and sodium which the dietary guidelines recommended should be limited (in addition to added sugars). The NIP also includes positive nutrients such as fibre which </w:t>
            </w:r>
            <w:r w:rsidR="00CD54FA">
              <w:t>are recommended to be consumed.</w:t>
            </w:r>
          </w:p>
          <w:p w14:paraId="3E6C73C8" w14:textId="60C959E4" w:rsidR="004B3D5E" w:rsidRPr="00B23961" w:rsidRDefault="004B3D5E" w:rsidP="00183D44">
            <w:pPr>
              <w:pStyle w:val="Tabletext"/>
            </w:pPr>
            <w:r w:rsidRPr="00B23961">
              <w:t>Placing added sugars in the NIP alongside other nutrients identified in the dietary guidelines and in a consistent format supports consumers to take</w:t>
            </w:r>
            <w:r w:rsidR="00774A05">
              <w:t xml:space="preserve"> a</w:t>
            </w:r>
            <w:r w:rsidRPr="00B23961">
              <w:t xml:space="preserve"> whole-of-diet approach when evaluating a food </w:t>
            </w:r>
            <w:proofErr w:type="gramStart"/>
            <w:r w:rsidRPr="00B23961">
              <w:t>product, and</w:t>
            </w:r>
            <w:proofErr w:type="gramEnd"/>
            <w:r w:rsidRPr="00B23961">
              <w:t xml:space="preserve"> does not over-emphasise added suga</w:t>
            </w:r>
            <w:r w:rsidR="00AA37B6">
              <w:t xml:space="preserve">rs above other risk nutrients. </w:t>
            </w:r>
          </w:p>
          <w:p w14:paraId="380C761C" w14:textId="066F108F" w:rsidR="00E04AE7" w:rsidRPr="00B23961" w:rsidRDefault="004B3D5E" w:rsidP="00183D44">
            <w:pPr>
              <w:pStyle w:val="Tabletext"/>
            </w:pPr>
            <w:r w:rsidRPr="00B23961">
              <w:t>Including added sugars in the NIP is a minimal change to a food label and is unlikely to necessitate removal of other more holistic information from the food label such as the HSR.</w:t>
            </w:r>
          </w:p>
        </w:tc>
        <w:tc>
          <w:tcPr>
            <w:tcW w:w="4820" w:type="dxa"/>
            <w:vMerge/>
            <w:shd w:val="clear" w:color="auto" w:fill="92D050"/>
          </w:tcPr>
          <w:p w14:paraId="511BD5B4" w14:textId="77777777" w:rsidR="004B3D5E" w:rsidRPr="00B23961" w:rsidRDefault="004B3D5E" w:rsidP="00183D44">
            <w:pPr>
              <w:pStyle w:val="Tabletext"/>
              <w:rPr>
                <w:sz w:val="20"/>
                <w:szCs w:val="20"/>
              </w:rPr>
            </w:pPr>
          </w:p>
        </w:tc>
        <w:tc>
          <w:tcPr>
            <w:tcW w:w="4819" w:type="dxa"/>
            <w:vMerge/>
            <w:shd w:val="clear" w:color="auto" w:fill="D8D4B9" w:themeFill="accent3" w:themeFillTint="66"/>
          </w:tcPr>
          <w:p w14:paraId="33E249CF" w14:textId="77777777" w:rsidR="004B3D5E" w:rsidRPr="00B23961" w:rsidRDefault="004B3D5E" w:rsidP="00183D44">
            <w:pPr>
              <w:pStyle w:val="Tabletext"/>
              <w:rPr>
                <w:sz w:val="20"/>
                <w:szCs w:val="20"/>
              </w:rPr>
            </w:pPr>
          </w:p>
        </w:tc>
        <w:tc>
          <w:tcPr>
            <w:tcW w:w="4820" w:type="dxa"/>
            <w:vMerge/>
            <w:shd w:val="clear" w:color="auto" w:fill="D8D4B9" w:themeFill="accent3" w:themeFillTint="66"/>
          </w:tcPr>
          <w:p w14:paraId="0B3667DD" w14:textId="77777777" w:rsidR="004B3D5E" w:rsidRPr="00B23961" w:rsidRDefault="004B3D5E" w:rsidP="00A56F43">
            <w:pPr>
              <w:spacing w:before="60" w:after="60"/>
              <w:rPr>
                <w:sz w:val="20"/>
                <w:szCs w:val="20"/>
              </w:rPr>
            </w:pPr>
          </w:p>
        </w:tc>
      </w:tr>
      <w:tr w:rsidR="004B3D5E" w14:paraId="4C079D5B" w14:textId="77777777" w:rsidTr="00E91513">
        <w:tc>
          <w:tcPr>
            <w:tcW w:w="1555" w:type="dxa"/>
          </w:tcPr>
          <w:p w14:paraId="78B3639E" w14:textId="77777777" w:rsidR="004B3D5E" w:rsidRPr="004F13AA" w:rsidRDefault="004B3D5E" w:rsidP="004F13AA">
            <w:r w:rsidRPr="004F13AA">
              <w:t xml:space="preserve">Option 5 – Advisory labels for foods high in added sugars </w:t>
            </w:r>
          </w:p>
        </w:tc>
        <w:tc>
          <w:tcPr>
            <w:tcW w:w="4819" w:type="dxa"/>
            <w:tcBorders>
              <w:bottom w:val="single" w:sz="4" w:space="0" w:color="auto"/>
            </w:tcBorders>
            <w:shd w:val="clear" w:color="auto" w:fill="FF7C80"/>
          </w:tcPr>
          <w:p w14:paraId="79EC66EF" w14:textId="1693C86A" w:rsidR="004B3D5E" w:rsidRPr="00B23961" w:rsidRDefault="00175E28" w:rsidP="00183D44">
            <w:pPr>
              <w:pStyle w:val="Tabletext"/>
            </w:pPr>
            <w:r>
              <w:t>Option 5</w:t>
            </w:r>
            <w:r w:rsidR="004B3D5E" w:rsidRPr="00B23961">
              <w:t xml:space="preserve"> provides limited support to enable consumers to make food choices in line with the dietary guidelines, as </w:t>
            </w:r>
            <w:r w:rsidR="0020389D">
              <w:t>it</w:t>
            </w:r>
            <w:r w:rsidR="004B3D5E" w:rsidRPr="00B23961">
              <w:t xml:space="preserve"> provides information only </w:t>
            </w:r>
            <w:r w:rsidR="00376252" w:rsidRPr="00B23961">
              <w:t xml:space="preserve">about </w:t>
            </w:r>
            <w:r w:rsidR="004B3D5E" w:rsidRPr="00B23961">
              <w:t>food products containi</w:t>
            </w:r>
            <w:r w:rsidR="00CD54FA">
              <w:t>ng high amounts of added sugar.</w:t>
            </w:r>
          </w:p>
          <w:p w14:paraId="17077DE0" w14:textId="24DD88B5" w:rsidR="004B3D5E" w:rsidRPr="00BC587F" w:rsidRDefault="004B3D5E" w:rsidP="00183D44">
            <w:pPr>
              <w:pStyle w:val="Tabletext"/>
            </w:pPr>
            <w:r w:rsidRPr="00BC587F">
              <w:t xml:space="preserve">Under </w:t>
            </w:r>
            <w:r w:rsidR="00175E28" w:rsidRPr="00BC587F">
              <w:t>Option 5</w:t>
            </w:r>
            <w:r w:rsidRPr="00BC587F">
              <w:t xml:space="preserve">, foods containing added sugars below the threshold will not be required to display the advisory label. Consequently, consumers may not be able to identify </w:t>
            </w:r>
            <w:r w:rsidR="00774A05" w:rsidRPr="00BC587F">
              <w:t xml:space="preserve">foods </w:t>
            </w:r>
            <w:r w:rsidRPr="00BC587F">
              <w:t>contain</w:t>
            </w:r>
            <w:r w:rsidR="0020389D" w:rsidRPr="00BC587F">
              <w:t>ing</w:t>
            </w:r>
            <w:r w:rsidRPr="00BC587F">
              <w:t xml:space="preserve"> added sugar </w:t>
            </w:r>
            <w:r w:rsidR="0020389D" w:rsidRPr="00BC587F">
              <w:t>(Australian dietary guidelines) or foods with little or no added sugars (New Zealand dietary guidelines).</w:t>
            </w:r>
          </w:p>
          <w:p w14:paraId="3AD937DD" w14:textId="2C5E91D4" w:rsidR="004B3D5E" w:rsidRPr="00B23961" w:rsidRDefault="00175E28" w:rsidP="00183D44">
            <w:pPr>
              <w:pStyle w:val="Tabletext"/>
            </w:pPr>
            <w:r>
              <w:t>Option 5</w:t>
            </w:r>
            <w:r w:rsidR="004B3D5E" w:rsidRPr="00B23961">
              <w:t xml:space="preserve"> does not support consumers to take a whole-of-diet approach</w:t>
            </w:r>
            <w:r w:rsidR="0046561C">
              <w:t xml:space="preserve"> when</w:t>
            </w:r>
            <w:r w:rsidR="004B3D5E" w:rsidRPr="00B23961">
              <w:t xml:space="preserve"> assessing food</w:t>
            </w:r>
            <w:r w:rsidR="0046561C">
              <w:t>s</w:t>
            </w:r>
            <w:r w:rsidR="004B3D5E" w:rsidRPr="00B23961">
              <w:t>, as t</w:t>
            </w:r>
            <w:r w:rsidR="0046561C">
              <w:t>he</w:t>
            </w:r>
            <w:r w:rsidR="004B3D5E" w:rsidRPr="00B23961">
              <w:t xml:space="preserve"> advisory label would be based on the added sugar</w:t>
            </w:r>
            <w:r w:rsidR="0020389D">
              <w:t>s</w:t>
            </w:r>
            <w:r w:rsidR="004B3D5E" w:rsidRPr="00B23961">
              <w:t xml:space="preserve"> content of the product and would not consider other </w:t>
            </w:r>
            <w:r w:rsidR="0020389D">
              <w:t xml:space="preserve">nutrients </w:t>
            </w:r>
            <w:r w:rsidR="00376252">
              <w:t xml:space="preserve">such as sodium or saturated fat </w:t>
            </w:r>
            <w:r w:rsidR="0020389D">
              <w:t>identified in the dietary guidelines.</w:t>
            </w:r>
            <w:r w:rsidR="00376252">
              <w:t xml:space="preserve"> This </w:t>
            </w:r>
            <w:r w:rsidR="00376252" w:rsidRPr="00376252">
              <w:t>may imply added sugars are a more concerning nutrient</w:t>
            </w:r>
            <w:r w:rsidR="00376252">
              <w:t>.</w:t>
            </w:r>
          </w:p>
          <w:p w14:paraId="3A40F5AC" w14:textId="12046364" w:rsidR="00E04AE7" w:rsidRPr="00B23961" w:rsidRDefault="004B3D5E" w:rsidP="00183D44">
            <w:pPr>
              <w:pStyle w:val="Tabletext"/>
            </w:pPr>
            <w:r w:rsidRPr="00B23961">
              <w:t xml:space="preserve">Depending on the style requirements of the advisory label, </w:t>
            </w:r>
            <w:r w:rsidR="00175E28">
              <w:t>Option 5</w:t>
            </w:r>
            <w:r w:rsidRPr="00B23961">
              <w:t xml:space="preserve"> may result in a lower uptake or removal of the HSR. The HSR provides an assessment of food products based on multiple risk and beneficial nutrients, and thus replacement of the HSR with an advisory label based on added sugar</w:t>
            </w:r>
            <w:r w:rsidR="0020389D">
              <w:t>s content only</w:t>
            </w:r>
            <w:r w:rsidRPr="00B23961">
              <w:t xml:space="preserve"> may reduce consumer</w:t>
            </w:r>
            <w:r w:rsidR="0020389D">
              <w:t xml:space="preserve">s’ ability to take a </w:t>
            </w:r>
            <w:r w:rsidRPr="00B23961">
              <w:t>whole-of-diet</w:t>
            </w:r>
            <w:r w:rsidR="0020389D">
              <w:t xml:space="preserve"> approach when making </w:t>
            </w:r>
            <w:r w:rsidRPr="00B23961">
              <w:t>food choices.</w:t>
            </w:r>
          </w:p>
        </w:tc>
        <w:tc>
          <w:tcPr>
            <w:tcW w:w="4820" w:type="dxa"/>
            <w:shd w:val="clear" w:color="auto" w:fill="FF7C80"/>
          </w:tcPr>
          <w:p w14:paraId="308C2148" w14:textId="060E35BF" w:rsidR="004B3D5E" w:rsidRPr="00BC587F" w:rsidRDefault="00175E28" w:rsidP="00183D44">
            <w:pPr>
              <w:pStyle w:val="Tabletext"/>
            </w:pPr>
            <w:r w:rsidRPr="00BC587F">
              <w:t>Option 5</w:t>
            </w:r>
            <w:r w:rsidR="004B3D5E" w:rsidRPr="00BC587F">
              <w:t xml:space="preserve"> provides some contextual information, as it provides an assessment of products that are high in added sugar</w:t>
            </w:r>
            <w:r w:rsidR="0020389D" w:rsidRPr="00BC587F">
              <w:t>s</w:t>
            </w:r>
            <w:r w:rsidR="004B3D5E" w:rsidRPr="00BC587F">
              <w:t xml:space="preserve">, therefore removing consumer need to interpret information about added sugars. </w:t>
            </w:r>
            <w:r w:rsidR="0020389D" w:rsidRPr="00BC587F">
              <w:t>M</w:t>
            </w:r>
            <w:r w:rsidR="004B3D5E" w:rsidRPr="00BC587F">
              <w:t>any consumers struggle to determine what is considered ‘a lot’ for risk nutrients in foods</w:t>
            </w:r>
            <w:r w:rsidR="0020389D" w:rsidRPr="00696D94">
              <w:rPr>
                <w:vertAlign w:val="superscript"/>
              </w:rPr>
              <w:footnoteReference w:id="136"/>
            </w:r>
            <w:r w:rsidR="004B3D5E" w:rsidRPr="00BC587F">
              <w:t xml:space="preserve">, and thus </w:t>
            </w:r>
            <w:r w:rsidRPr="00BC587F">
              <w:t>Option 5</w:t>
            </w:r>
            <w:r w:rsidR="004B3D5E" w:rsidRPr="00BC587F">
              <w:t xml:space="preserve"> would assist consumers in that interpretation.</w:t>
            </w:r>
          </w:p>
          <w:p w14:paraId="246F221C" w14:textId="7B02D0F6" w:rsidR="0020389D" w:rsidRDefault="004B3D5E" w:rsidP="00183D44">
            <w:pPr>
              <w:pStyle w:val="Tabletext"/>
            </w:pPr>
            <w:r w:rsidRPr="00B23961">
              <w:t xml:space="preserve">However, comparison between products is limited to between those displaying </w:t>
            </w:r>
            <w:r w:rsidR="004F3B1B" w:rsidRPr="00B23961">
              <w:t>and</w:t>
            </w:r>
            <w:r w:rsidRPr="00B23961">
              <w:t xml:space="preserve"> not displaying the advisory label. Consumers will not be able to compare between products that may vary in added sugar</w:t>
            </w:r>
            <w:r w:rsidR="0020389D">
              <w:t>s</w:t>
            </w:r>
            <w:r w:rsidRPr="00B23961">
              <w:t xml:space="preserve"> content but are not required to display an advisory label.</w:t>
            </w:r>
          </w:p>
          <w:p w14:paraId="2689465F" w14:textId="321DD36C" w:rsidR="004B3D5E" w:rsidRPr="00B23961" w:rsidRDefault="004B3D5E" w:rsidP="00183D44">
            <w:pPr>
              <w:pStyle w:val="Tabletext"/>
            </w:pPr>
            <w:r w:rsidRPr="00B23961">
              <w:t xml:space="preserve">Additionally, consumers may be aware to limit foods high in added </w:t>
            </w:r>
            <w:proofErr w:type="gramStart"/>
            <w:r w:rsidRPr="00B23961">
              <w:t>sugars, but</w:t>
            </w:r>
            <w:proofErr w:type="gramEnd"/>
            <w:r w:rsidRPr="00B23961">
              <w:t xml:space="preserve"> may not understand how often they should limit these foods</w:t>
            </w:r>
            <w:r w:rsidR="0020389D">
              <w:t xml:space="preserve"> or appropriate portion sizes</w:t>
            </w:r>
            <w:r w:rsidRPr="00B23961">
              <w:t>.</w:t>
            </w:r>
          </w:p>
        </w:tc>
        <w:tc>
          <w:tcPr>
            <w:tcW w:w="4819" w:type="dxa"/>
            <w:shd w:val="clear" w:color="auto" w:fill="92D050"/>
          </w:tcPr>
          <w:p w14:paraId="4A164B9F" w14:textId="6A02F451" w:rsidR="004B3D5E" w:rsidRPr="00BC587F" w:rsidRDefault="00175E28" w:rsidP="00183D44">
            <w:pPr>
              <w:pStyle w:val="Tabletext"/>
            </w:pPr>
            <w:r w:rsidRPr="00BC587F">
              <w:t>Option 5</w:t>
            </w:r>
            <w:r w:rsidR="004B3D5E" w:rsidRPr="00BC587F">
              <w:t xml:space="preserve"> does not require numerical calculations or an interpretation against recommendations and therefore consumer understanding is expected to be very high. Reach of consumer impact may also be greater, as this option is more likely to be understood by individuals with lower literacy and numeracy such as children and</w:t>
            </w:r>
            <w:r w:rsidR="004F3B1B" w:rsidRPr="00BC587F">
              <w:t xml:space="preserve"> individuals from disadvantaged</w:t>
            </w:r>
            <w:r w:rsidR="004B3D5E" w:rsidRPr="00BC587F">
              <w:t xml:space="preserve"> and culturally and linguistically diverse backgrounds (CALD)</w:t>
            </w:r>
            <w:r w:rsidR="004B3D5E" w:rsidRPr="00B23961">
              <w:rPr>
                <w:rStyle w:val="FootnoteReference"/>
                <w:rFonts w:eastAsiaTheme="majorEastAsia"/>
                <w:sz w:val="20"/>
                <w:szCs w:val="20"/>
              </w:rPr>
              <w:footnoteReference w:id="137"/>
            </w:r>
            <w:r w:rsidR="004B3D5E" w:rsidRPr="00BC587F">
              <w:t>.</w:t>
            </w:r>
          </w:p>
          <w:p w14:paraId="545FF67E" w14:textId="5305C74A" w:rsidR="004B3D5E" w:rsidRPr="00B23961" w:rsidRDefault="00CC7D85" w:rsidP="00183D44">
            <w:pPr>
              <w:pStyle w:val="Tabletext"/>
            </w:pPr>
            <w:r w:rsidRPr="00BC587F">
              <w:t xml:space="preserve">Australia and New Zealand consumers </w:t>
            </w:r>
            <w:r w:rsidR="00982ADB" w:rsidRPr="00BC587F">
              <w:t xml:space="preserve">generally </w:t>
            </w:r>
            <w:r w:rsidRPr="00BC587F">
              <w:t xml:space="preserve">understand, </w:t>
            </w:r>
            <w:proofErr w:type="gramStart"/>
            <w:r w:rsidRPr="00BC587F">
              <w:t>believe</w:t>
            </w:r>
            <w:proofErr w:type="gramEnd"/>
            <w:r w:rsidRPr="00BC587F">
              <w:t xml:space="preserve"> and trust advisory statements on food labels, particularly short statements</w:t>
            </w:r>
            <w:r>
              <w:rPr>
                <w:rStyle w:val="FootnoteReference"/>
                <w:sz w:val="20"/>
                <w:szCs w:val="20"/>
              </w:rPr>
              <w:footnoteReference w:id="138"/>
            </w:r>
          </w:p>
        </w:tc>
        <w:tc>
          <w:tcPr>
            <w:tcW w:w="4820" w:type="dxa"/>
            <w:shd w:val="clear" w:color="auto" w:fill="92D050"/>
          </w:tcPr>
          <w:p w14:paraId="0080108D" w14:textId="2DE92994" w:rsidR="004B3D5E" w:rsidRPr="00B23961" w:rsidRDefault="006C390B" w:rsidP="00BC587F">
            <w:r>
              <w:t>Option 5</w:t>
            </w:r>
            <w:r w:rsidR="004B3D5E" w:rsidRPr="00B23961">
              <w:t xml:space="preserve"> provides new information about foods that are high in added sugar</w:t>
            </w:r>
            <w:r w:rsidR="00D54F3B">
              <w:t>s</w:t>
            </w:r>
            <w:r w:rsidR="004B3D5E" w:rsidRPr="00B23961">
              <w:t>. While this may be well known in certain food categories such as soft drinks and confectionary, this option ma</w:t>
            </w:r>
            <w:r w:rsidR="00982ADB">
              <w:t>y provide information about the</w:t>
            </w:r>
            <w:r w:rsidR="004B3D5E" w:rsidRPr="00B23961">
              <w:t xml:space="preserve"> added sugar</w:t>
            </w:r>
            <w:r w:rsidR="00982ADB">
              <w:t>s</w:t>
            </w:r>
            <w:r w:rsidR="004B3D5E" w:rsidRPr="00B23961">
              <w:t xml:space="preserve"> content of some less well understood products such as processed cereals and cereal bars.</w:t>
            </w:r>
          </w:p>
        </w:tc>
      </w:tr>
      <w:tr w:rsidR="004B3D5E" w14:paraId="0920C749" w14:textId="77777777" w:rsidTr="00E91513">
        <w:trPr>
          <w:trHeight w:val="489"/>
        </w:trPr>
        <w:tc>
          <w:tcPr>
            <w:tcW w:w="1555" w:type="dxa"/>
            <w:vMerge w:val="restart"/>
          </w:tcPr>
          <w:p w14:paraId="5B2C855F" w14:textId="18BF9F2A" w:rsidR="004B3D5E" w:rsidRPr="004F13AA" w:rsidRDefault="004B3D5E" w:rsidP="00183D44">
            <w:pPr>
              <w:pStyle w:val="Tabletext"/>
            </w:pPr>
            <w:r w:rsidRPr="004F13AA">
              <w:t xml:space="preserve">Option 6 – pictorial approaches to convey the </w:t>
            </w:r>
            <w:proofErr w:type="gramStart"/>
            <w:r w:rsidRPr="004F13AA">
              <w:t>amount</w:t>
            </w:r>
            <w:proofErr w:type="gramEnd"/>
            <w:r w:rsidRPr="004F13AA">
              <w:t xml:space="preserve"> of sugars in a serving of food</w:t>
            </w:r>
          </w:p>
        </w:tc>
        <w:tc>
          <w:tcPr>
            <w:tcW w:w="4819" w:type="dxa"/>
            <w:tcBorders>
              <w:bottom w:val="nil"/>
            </w:tcBorders>
            <w:shd w:val="clear" w:color="auto" w:fill="FFC000"/>
          </w:tcPr>
          <w:p w14:paraId="56058698" w14:textId="5155200B" w:rsidR="004B3D5E" w:rsidRPr="00BC587F" w:rsidRDefault="006C390B" w:rsidP="00183D44">
            <w:pPr>
              <w:pStyle w:val="Tabletext"/>
            </w:pPr>
            <w:r w:rsidRPr="00BC587F">
              <w:t>Option 6</w:t>
            </w:r>
            <w:r w:rsidR="004B3D5E" w:rsidRPr="00BC587F">
              <w:t xml:space="preserve"> provides some support for consumers to make food choices consistent with the dietary guidelines because it provides information about the sugars content of the food product. If added sugars were displayed in a pictorial format this could allow consumers to identify products containing added sugars (Australian dietary guidelines) and products with little or no added sugars (New Zealand dietary guidelines).</w:t>
            </w:r>
          </w:p>
        </w:tc>
        <w:tc>
          <w:tcPr>
            <w:tcW w:w="4820" w:type="dxa"/>
            <w:vMerge w:val="restart"/>
            <w:shd w:val="clear" w:color="auto" w:fill="FFC000"/>
          </w:tcPr>
          <w:p w14:paraId="2D096371" w14:textId="3B67F5CA" w:rsidR="004B3D5E" w:rsidRPr="00BC587F" w:rsidRDefault="00710145" w:rsidP="00183D44">
            <w:pPr>
              <w:pStyle w:val="Tabletext"/>
            </w:pPr>
            <w:r w:rsidRPr="00BC587F">
              <w:t xml:space="preserve">Depends on the pictorial approach taken. </w:t>
            </w:r>
            <w:r w:rsidR="006C390B" w:rsidRPr="00BC587F">
              <w:t>Option 6</w:t>
            </w:r>
            <w:r w:rsidR="004B3D5E" w:rsidRPr="00BC587F">
              <w:t xml:space="preserve"> provides some contextual information on added sugar</w:t>
            </w:r>
            <w:r w:rsidR="00CC7D85" w:rsidRPr="00BC587F">
              <w:t>s</w:t>
            </w:r>
            <w:r w:rsidR="004B3D5E" w:rsidRPr="00BC587F">
              <w:t xml:space="preserve"> or total sugar</w:t>
            </w:r>
            <w:r w:rsidR="00CC7D85" w:rsidRPr="00BC587F">
              <w:t>s</w:t>
            </w:r>
            <w:r w:rsidR="004B3D5E" w:rsidRPr="00BC587F">
              <w:t>, by representing it in a re</w:t>
            </w:r>
            <w:r w:rsidR="00CC7D85" w:rsidRPr="00BC587F">
              <w:t>latable format, which could support</w:t>
            </w:r>
            <w:r w:rsidR="004B3D5E" w:rsidRPr="00BC587F">
              <w:t xml:space="preserve"> greater </w:t>
            </w:r>
            <w:r w:rsidR="00CC7D85" w:rsidRPr="00BC587F">
              <w:t xml:space="preserve">consumer </w:t>
            </w:r>
            <w:r w:rsidR="004B3D5E" w:rsidRPr="00BC587F">
              <w:t>understanding of the quantity of sugar</w:t>
            </w:r>
            <w:r w:rsidR="006E6C52" w:rsidRPr="00BC587F">
              <w:t>s</w:t>
            </w:r>
            <w:r w:rsidR="0088602C" w:rsidRPr="00696D94">
              <w:rPr>
                <w:vertAlign w:val="superscript"/>
              </w:rPr>
              <w:footnoteReference w:id="139"/>
            </w:r>
            <w:r w:rsidR="004B3D5E" w:rsidRPr="00BC587F">
              <w:t>. However, the teaspoon or sugar cube options do not provide context on the recommended intake of sugar. The option of a bar or pie chart could provide contextual information by illustrating the proportion of sugars compared to recommended intake</w:t>
            </w:r>
            <w:r w:rsidR="0020350C" w:rsidRPr="00BC587F">
              <w:t xml:space="preserve"> (once established)</w:t>
            </w:r>
            <w:r w:rsidR="00995E41" w:rsidRPr="00BC587F">
              <w:t>.</w:t>
            </w:r>
          </w:p>
          <w:p w14:paraId="5B91B60B" w14:textId="1E960B2F" w:rsidR="004B3D5E" w:rsidRPr="00B23961" w:rsidRDefault="00D21965" w:rsidP="00183D44">
            <w:pPr>
              <w:pStyle w:val="Tabletext"/>
            </w:pPr>
            <w:r>
              <w:t>Option 6</w:t>
            </w:r>
            <w:r w:rsidR="001A36B1" w:rsidRPr="00B23961">
              <w:t xml:space="preserve"> </w:t>
            </w:r>
            <w:r w:rsidR="001A36B1">
              <w:t xml:space="preserve">supports consumers to compare products at the point of sale, and potentially </w:t>
            </w:r>
            <w:r w:rsidR="001A36B1" w:rsidRPr="00B23961">
              <w:t xml:space="preserve">without even taking </w:t>
            </w:r>
            <w:r w:rsidR="001A36B1">
              <w:t xml:space="preserve">the product off the </w:t>
            </w:r>
            <w:proofErr w:type="gramStart"/>
            <w:r w:rsidR="001A36B1">
              <w:t>shelf</w:t>
            </w:r>
            <w:r w:rsidR="0020350C">
              <w:t>,</w:t>
            </w:r>
            <w:r w:rsidR="001A36B1" w:rsidRPr="00B23961">
              <w:t xml:space="preserve"> if</w:t>
            </w:r>
            <w:proofErr w:type="gramEnd"/>
            <w:r w:rsidR="001A36B1" w:rsidRPr="00B23961">
              <w:t xml:space="preserve"> the label is hi</w:t>
            </w:r>
            <w:r w:rsidR="00995E41">
              <w:t>ghly visible and front-of-pack.</w:t>
            </w:r>
          </w:p>
        </w:tc>
        <w:tc>
          <w:tcPr>
            <w:tcW w:w="4819" w:type="dxa"/>
            <w:vMerge w:val="restart"/>
            <w:shd w:val="clear" w:color="auto" w:fill="92D050"/>
          </w:tcPr>
          <w:p w14:paraId="355319A0" w14:textId="507A89F5" w:rsidR="00CC7D85" w:rsidRDefault="004B3D5E" w:rsidP="00183D44">
            <w:pPr>
              <w:pStyle w:val="Tabletext"/>
            </w:pPr>
            <w:r w:rsidRPr="00B23961">
              <w:t xml:space="preserve">The main strength of pictorial representation is simplicity </w:t>
            </w:r>
            <w:r w:rsidR="00CC7D85">
              <w:t xml:space="preserve">of message </w:t>
            </w:r>
            <w:r w:rsidRPr="00B23961">
              <w:t>and ease of access</w:t>
            </w:r>
            <w:r w:rsidR="00CC7D85">
              <w:t xml:space="preserve"> to information</w:t>
            </w:r>
            <w:r w:rsidR="00995E41">
              <w:t>.</w:t>
            </w:r>
          </w:p>
          <w:p w14:paraId="2A99D6BD" w14:textId="08A6A2B7" w:rsidR="001A36B1" w:rsidRDefault="00E90157" w:rsidP="00183D44">
            <w:pPr>
              <w:pStyle w:val="Tabletext"/>
            </w:pPr>
            <w:r>
              <w:t>Depending on the pictorial approach taken</w:t>
            </w:r>
            <w:r w:rsidR="00CC7D85">
              <w:t xml:space="preserve">, the information may be </w:t>
            </w:r>
            <w:r w:rsidR="004B3D5E" w:rsidRPr="00B23961">
              <w:t>immediately apparent to consumers and relatable</w:t>
            </w:r>
            <w:r w:rsidR="00CC7D85">
              <w:t>.</w:t>
            </w:r>
            <w:r w:rsidR="003558B8">
              <w:t xml:space="preserve"> </w:t>
            </w:r>
            <w:r w:rsidR="004B3D5E" w:rsidRPr="00B23961">
              <w:t>This means the information could be gleaned quickly i</w:t>
            </w:r>
            <w:r w:rsidR="00995E41">
              <w:t>n a time-pressured environment.</w:t>
            </w:r>
          </w:p>
          <w:p w14:paraId="6ECF1AB9" w14:textId="0C34912F" w:rsidR="004B3D5E" w:rsidRPr="00B23961" w:rsidRDefault="004B3D5E" w:rsidP="00183D44">
            <w:pPr>
              <w:pStyle w:val="Tabletext"/>
            </w:pPr>
            <w:r w:rsidRPr="00B23961">
              <w:t>However,</w:t>
            </w:r>
            <w:r w:rsidR="001A36B1">
              <w:t xml:space="preserve"> </w:t>
            </w:r>
            <w:r w:rsidRPr="00B23961">
              <w:t>a strong visual image could detract the shopper from other nutrients that could be more important to focus on in the product. It may also confuse consumers if the sugar</w:t>
            </w:r>
            <w:r w:rsidR="001A36B1">
              <w:t>s</w:t>
            </w:r>
            <w:r w:rsidRPr="00B23961">
              <w:t xml:space="preserve"> content is high and a high </w:t>
            </w:r>
            <w:r w:rsidR="001A36B1">
              <w:t xml:space="preserve">(good) </w:t>
            </w:r>
            <w:r w:rsidR="00995E41">
              <w:t>HSR is displayed alongside it.</w:t>
            </w:r>
          </w:p>
          <w:p w14:paraId="04EE7DF5" w14:textId="146FF220" w:rsidR="004B3D5E" w:rsidRPr="00B23961" w:rsidRDefault="004B3D5E" w:rsidP="00183D44">
            <w:pPr>
              <w:pStyle w:val="Tabletext"/>
            </w:pPr>
            <w:r w:rsidRPr="00B23961">
              <w:t xml:space="preserve">Pictorial labelling, especially if in teaspoon form, is more accessible to a wide audience than more traditional forms of nutritional labelling. This is </w:t>
            </w:r>
            <w:proofErr w:type="gramStart"/>
            <w:r w:rsidRPr="00B23961">
              <w:t>due to the fact that</w:t>
            </w:r>
            <w:proofErr w:type="gramEnd"/>
            <w:r w:rsidRPr="00B23961">
              <w:t xml:space="preserve"> it requires significantly less numeracy and literacy skills, which is useful for children, those from disadvantaged backgrounds, or who speak English as a second language.</w:t>
            </w:r>
          </w:p>
        </w:tc>
        <w:tc>
          <w:tcPr>
            <w:tcW w:w="4820" w:type="dxa"/>
            <w:vMerge w:val="restart"/>
            <w:shd w:val="clear" w:color="auto" w:fill="92D050"/>
          </w:tcPr>
          <w:p w14:paraId="4C62E610" w14:textId="48FBFD87" w:rsidR="004B3D5E" w:rsidRPr="00B23961" w:rsidRDefault="004B3D5E" w:rsidP="00183D44">
            <w:pPr>
              <w:pStyle w:val="Tabletext"/>
            </w:pPr>
            <w:r w:rsidRPr="00B23961">
              <w:t xml:space="preserve">If the </w:t>
            </w:r>
            <w:r w:rsidR="00E90157">
              <w:t xml:space="preserve">pictorial </w:t>
            </w:r>
            <w:r w:rsidRPr="00B23961">
              <w:t xml:space="preserve">approach for </w:t>
            </w:r>
            <w:r w:rsidR="00E90157">
              <w:t>Option 5</w:t>
            </w:r>
            <w:r w:rsidRPr="00B23961">
              <w:t xml:space="preserve"> related to or included added sugars, then it could provide new label information. Few food manufacturers quantify added sugar in a food product, and even fewer do so in a pictorial form. If </w:t>
            </w:r>
            <w:r w:rsidR="00E90157">
              <w:t>Option 6</w:t>
            </w:r>
            <w:r w:rsidRPr="00B23961">
              <w:t xml:space="preserve"> instead illustrated total sugar</w:t>
            </w:r>
            <w:r w:rsidR="001A36B1">
              <w:t>s</w:t>
            </w:r>
            <w:r w:rsidRPr="00B23961">
              <w:t>, this would not offer new information.</w:t>
            </w:r>
          </w:p>
        </w:tc>
      </w:tr>
      <w:tr w:rsidR="004B3D5E" w14:paraId="77B002CE" w14:textId="77777777" w:rsidTr="00E91513">
        <w:trPr>
          <w:trHeight w:val="1146"/>
        </w:trPr>
        <w:tc>
          <w:tcPr>
            <w:tcW w:w="1555" w:type="dxa"/>
            <w:vMerge/>
          </w:tcPr>
          <w:p w14:paraId="4989FC55" w14:textId="77777777" w:rsidR="004B3D5E" w:rsidRPr="00B23961" w:rsidRDefault="004B3D5E" w:rsidP="00183D44">
            <w:pPr>
              <w:pStyle w:val="Tabletext"/>
            </w:pPr>
          </w:p>
        </w:tc>
        <w:tc>
          <w:tcPr>
            <w:tcW w:w="4819" w:type="dxa"/>
            <w:tcBorders>
              <w:top w:val="nil"/>
            </w:tcBorders>
            <w:shd w:val="clear" w:color="auto" w:fill="FFC000"/>
          </w:tcPr>
          <w:p w14:paraId="4DA2274A" w14:textId="1C5ABB15" w:rsidR="004B3D5E" w:rsidRPr="003C0EE4" w:rsidRDefault="00E90157" w:rsidP="00183D44">
            <w:pPr>
              <w:pStyle w:val="Tabletext"/>
            </w:pPr>
            <w:r>
              <w:t>Option 6</w:t>
            </w:r>
            <w:r w:rsidR="004B3D5E" w:rsidRPr="003C0EE4">
              <w:t xml:space="preserve"> does not s</w:t>
            </w:r>
            <w:r w:rsidR="00376252">
              <w:t>upport a whole-of-diet approach</w:t>
            </w:r>
            <w:r w:rsidR="004B3D5E" w:rsidRPr="003C0EE4">
              <w:t xml:space="preserve"> as it places significant emphasis on sugar</w:t>
            </w:r>
            <w:r w:rsidR="00CC7D85">
              <w:t>s</w:t>
            </w:r>
            <w:r w:rsidR="00376252">
              <w:t xml:space="preserve">. This </w:t>
            </w:r>
            <w:r w:rsidR="00376252" w:rsidRPr="00376252">
              <w:t xml:space="preserve">may imply added sugars are a more concerning nutrient </w:t>
            </w:r>
            <w:r w:rsidR="00376252">
              <w:t>than others and</w:t>
            </w:r>
            <w:r w:rsidR="00376252" w:rsidRPr="003C0EE4">
              <w:t xml:space="preserve"> </w:t>
            </w:r>
            <w:r w:rsidR="00376252">
              <w:t>cause</w:t>
            </w:r>
            <w:r w:rsidR="00376252" w:rsidRPr="003C0EE4">
              <w:t xml:space="preserve"> consumers </w:t>
            </w:r>
            <w:r w:rsidR="00376252">
              <w:t>to place</w:t>
            </w:r>
            <w:r w:rsidR="00376252" w:rsidRPr="003C0EE4">
              <w:t xml:space="preserve"> excessive importance on added sugar</w:t>
            </w:r>
            <w:r w:rsidR="00376252">
              <w:t>s</w:t>
            </w:r>
            <w:r w:rsidR="00376252" w:rsidRPr="003C0EE4">
              <w:t xml:space="preserve">, </w:t>
            </w:r>
            <w:r w:rsidR="00376252">
              <w:t>ignoring other</w:t>
            </w:r>
            <w:r w:rsidR="00376252" w:rsidRPr="003C0EE4">
              <w:t xml:space="preserve"> nutrients</w:t>
            </w:r>
            <w:r w:rsidR="00376252">
              <w:t xml:space="preserve"> that the dietary guidelines recommend should be avoided</w:t>
            </w:r>
            <w:r w:rsidR="00995E41">
              <w:t>.</w:t>
            </w:r>
          </w:p>
          <w:p w14:paraId="0C4EC591" w14:textId="0FE2A5B9" w:rsidR="00CC7D85" w:rsidRPr="003C0EE4" w:rsidRDefault="00D21965" w:rsidP="00183D44">
            <w:pPr>
              <w:pStyle w:val="Tabletext"/>
            </w:pPr>
            <w:r>
              <w:t>Option 6</w:t>
            </w:r>
            <w:r w:rsidR="004B3D5E" w:rsidRPr="003C0EE4">
              <w:t xml:space="preserve"> also has the potential to result in the removal of more holistic information from the food label, such as the HSR.</w:t>
            </w:r>
          </w:p>
        </w:tc>
        <w:tc>
          <w:tcPr>
            <w:tcW w:w="4820" w:type="dxa"/>
            <w:vMerge/>
            <w:shd w:val="clear" w:color="auto" w:fill="FFC000"/>
          </w:tcPr>
          <w:p w14:paraId="44FE006D" w14:textId="77777777" w:rsidR="004B3D5E" w:rsidRPr="00B23961" w:rsidRDefault="004B3D5E" w:rsidP="00183D44">
            <w:pPr>
              <w:pStyle w:val="Tabletext"/>
              <w:rPr>
                <w:sz w:val="20"/>
                <w:szCs w:val="20"/>
              </w:rPr>
            </w:pPr>
          </w:p>
        </w:tc>
        <w:tc>
          <w:tcPr>
            <w:tcW w:w="4819" w:type="dxa"/>
            <w:vMerge/>
            <w:shd w:val="clear" w:color="auto" w:fill="92D050"/>
          </w:tcPr>
          <w:p w14:paraId="5F632AA4" w14:textId="77777777" w:rsidR="004B3D5E" w:rsidRPr="00B23961" w:rsidRDefault="004B3D5E" w:rsidP="00183D44">
            <w:pPr>
              <w:pStyle w:val="Tabletext"/>
              <w:rPr>
                <w:sz w:val="20"/>
                <w:szCs w:val="20"/>
              </w:rPr>
            </w:pPr>
          </w:p>
        </w:tc>
        <w:tc>
          <w:tcPr>
            <w:tcW w:w="4820" w:type="dxa"/>
            <w:vMerge/>
            <w:shd w:val="clear" w:color="auto" w:fill="92D050"/>
          </w:tcPr>
          <w:p w14:paraId="7A67B5A2" w14:textId="77777777" w:rsidR="004B3D5E" w:rsidRPr="00B23961" w:rsidRDefault="004B3D5E" w:rsidP="00183D44">
            <w:pPr>
              <w:pStyle w:val="Tabletext"/>
              <w:rPr>
                <w:sz w:val="20"/>
                <w:szCs w:val="20"/>
              </w:rPr>
            </w:pPr>
          </w:p>
        </w:tc>
      </w:tr>
      <w:tr w:rsidR="004B3D5E" w14:paraId="1687BFCF" w14:textId="77777777" w:rsidTr="00E91513">
        <w:tc>
          <w:tcPr>
            <w:tcW w:w="1555" w:type="dxa"/>
          </w:tcPr>
          <w:p w14:paraId="36689BE3" w14:textId="52910B6A" w:rsidR="004B3D5E" w:rsidRPr="004F13AA" w:rsidRDefault="004B3D5E" w:rsidP="006C1D19">
            <w:pPr>
              <w:pStyle w:val="Tabletext"/>
            </w:pPr>
            <w:r w:rsidRPr="004F13AA">
              <w:t>Option 7</w:t>
            </w:r>
            <w:r w:rsidR="006C1D19">
              <w:t xml:space="preserve"> </w:t>
            </w:r>
            <w:r w:rsidR="006C1D19" w:rsidRPr="004F13AA">
              <w:t>–</w:t>
            </w:r>
            <w:r w:rsidRPr="004F13AA">
              <w:t xml:space="preserve"> Digital linking to off label web-based information about added sugars content</w:t>
            </w:r>
          </w:p>
        </w:tc>
        <w:tc>
          <w:tcPr>
            <w:tcW w:w="4819" w:type="dxa"/>
            <w:shd w:val="clear" w:color="auto" w:fill="FFC000"/>
          </w:tcPr>
          <w:p w14:paraId="54552CB6" w14:textId="2A322B57" w:rsidR="001A36B1" w:rsidRDefault="004B3D5E" w:rsidP="00183D44">
            <w:pPr>
              <w:pStyle w:val="Tabletext"/>
            </w:pPr>
            <w:r w:rsidRPr="003C0EE4">
              <w:t xml:space="preserve">There is potential for </w:t>
            </w:r>
            <w:r w:rsidR="00D21965">
              <w:t>Option 7</w:t>
            </w:r>
            <w:r w:rsidRPr="003C0EE4">
              <w:t xml:space="preserve"> to be consistent with advice from the dietary guidelines, however the extent to which it does so will be dependent on final implementation details regarding what information is available on the digitally linked </w:t>
            </w:r>
            <w:r w:rsidR="00D21965">
              <w:t xml:space="preserve">company </w:t>
            </w:r>
            <w:r w:rsidR="00696D94">
              <w:t>website.</w:t>
            </w:r>
          </w:p>
          <w:p w14:paraId="36B88E16" w14:textId="6A2B97B6" w:rsidR="004B3D5E" w:rsidRPr="003C0EE4" w:rsidRDefault="001A36B1" w:rsidP="00183D44">
            <w:pPr>
              <w:pStyle w:val="Tabletext"/>
            </w:pPr>
            <w:r>
              <w:t>The website information has the potential to provide holi</w:t>
            </w:r>
            <w:r w:rsidR="00D21965">
              <w:t>stic whole of diet information.</w:t>
            </w:r>
            <w:r>
              <w:t xml:space="preserve"> However, the digital link (</w:t>
            </w:r>
            <w:proofErr w:type="gramStart"/>
            <w:r>
              <w:t>e.g.</w:t>
            </w:r>
            <w:proofErr w:type="gramEnd"/>
            <w:r>
              <w:t xml:space="preserve"> website or QR code) may occupy some of the limited space on a food label and necessitate removal of other more holistic food labelling information such as the HSR</w:t>
            </w:r>
            <w:r w:rsidR="004B3D5E" w:rsidRPr="003C0EE4">
              <w:t>.</w:t>
            </w:r>
          </w:p>
        </w:tc>
        <w:tc>
          <w:tcPr>
            <w:tcW w:w="4820" w:type="dxa"/>
            <w:shd w:val="clear" w:color="auto" w:fill="FFC000"/>
          </w:tcPr>
          <w:p w14:paraId="612FC113" w14:textId="706114CB" w:rsidR="004B3D5E" w:rsidRPr="003C0EE4" w:rsidRDefault="004B3D5E" w:rsidP="00183D44">
            <w:pPr>
              <w:pStyle w:val="Tabletext"/>
            </w:pPr>
            <w:r w:rsidRPr="003C0EE4">
              <w:t xml:space="preserve">There is potential for </w:t>
            </w:r>
            <w:r w:rsidR="00D21965">
              <w:t>Option 7</w:t>
            </w:r>
            <w:r w:rsidRPr="003C0EE4">
              <w:t xml:space="preserve"> to provide considerable contextual information given a website landing page does not have the same limited space restrictions as a food label.</w:t>
            </w:r>
          </w:p>
          <w:p w14:paraId="3A473CF5" w14:textId="48B63012" w:rsidR="001A36B1" w:rsidRPr="003C0EE4" w:rsidRDefault="001A36B1" w:rsidP="00183D44">
            <w:pPr>
              <w:pStyle w:val="Tabletext"/>
            </w:pPr>
            <w:r>
              <w:t xml:space="preserve">It may be challenging for consumers to easily compare the sugars content of different food products if they need to visit multiple company websites which may present information in different formats </w:t>
            </w:r>
          </w:p>
        </w:tc>
        <w:tc>
          <w:tcPr>
            <w:tcW w:w="4819" w:type="dxa"/>
            <w:shd w:val="clear" w:color="auto" w:fill="FF7C80"/>
          </w:tcPr>
          <w:p w14:paraId="6DC2B2AF" w14:textId="78785F2A" w:rsidR="005167D5" w:rsidRDefault="00D21965" w:rsidP="00183D44">
            <w:pPr>
              <w:pStyle w:val="Tabletext"/>
            </w:pPr>
            <w:r>
              <w:t>Option 7</w:t>
            </w:r>
            <w:r w:rsidR="005167D5">
              <w:t xml:space="preserve"> relies on consumers having compatible smart phones, internet access and technological literacy and therefore may not be widely understood and accessible to all consumers </w:t>
            </w:r>
            <w:r w:rsidR="00E65677">
              <w:t xml:space="preserve">and </w:t>
            </w:r>
            <w:r w:rsidR="005167D5">
              <w:t>at the point of sale. Accessing the digital inf</w:t>
            </w:r>
            <w:r w:rsidR="00995E41">
              <w:t>ormation may be time consuming.</w:t>
            </w:r>
          </w:p>
          <w:p w14:paraId="59FA4C0F" w14:textId="261FCF10" w:rsidR="004B3D5E" w:rsidRPr="00BC587F" w:rsidRDefault="00E65677" w:rsidP="00183D44">
            <w:pPr>
              <w:pStyle w:val="Tabletext"/>
            </w:pPr>
            <w:r w:rsidRPr="00BC587F">
              <w:t xml:space="preserve">There </w:t>
            </w:r>
            <w:r w:rsidR="00B01424" w:rsidRPr="00BC587F">
              <w:t>are</w:t>
            </w:r>
            <w:r w:rsidR="009D4A72" w:rsidRPr="00BC587F">
              <w:t xml:space="preserve"> </w:t>
            </w:r>
            <w:r w:rsidRPr="00BC587F">
              <w:t>inequalities in smart-phone ownership</w:t>
            </w:r>
            <w:r w:rsidR="00B01424" w:rsidRPr="00696D94">
              <w:rPr>
                <w:vertAlign w:val="superscript"/>
              </w:rPr>
              <w:footnoteReference w:id="140"/>
            </w:r>
            <w:r w:rsidRPr="00BC587F">
              <w:t xml:space="preserve"> and </w:t>
            </w:r>
            <w:r w:rsidR="00B01424" w:rsidRPr="00BC587F">
              <w:t>access to digital information</w:t>
            </w:r>
            <w:r w:rsidR="00B01424" w:rsidRPr="00696D94">
              <w:rPr>
                <w:vertAlign w:val="superscript"/>
              </w:rPr>
              <w:footnoteReference w:id="141"/>
            </w:r>
            <w:r w:rsidR="00B01424" w:rsidRPr="00BC587F">
              <w:t>. T</w:t>
            </w:r>
            <w:r w:rsidR="005167D5" w:rsidRPr="00BC587F">
              <w:t>echnological literacy l</w:t>
            </w:r>
            <w:r w:rsidR="00514BB3" w:rsidRPr="00BC587F">
              <w:t>evels vary by demographic group</w:t>
            </w:r>
            <w:r w:rsidR="00514BB3" w:rsidRPr="00696D94">
              <w:rPr>
                <w:vertAlign w:val="superscript"/>
              </w:rPr>
              <w:footnoteReference w:id="142"/>
            </w:r>
            <w:r w:rsidR="00B01424" w:rsidRPr="00BC587F">
              <w:t xml:space="preserve">. This means </w:t>
            </w:r>
            <w:r w:rsidR="005167D5" w:rsidRPr="00BC587F">
              <w:t>consumers</w:t>
            </w:r>
            <w:r w:rsidR="00B01424" w:rsidRPr="00BC587F">
              <w:t xml:space="preserve"> such as the aged, lower educated, lower income or Indigenous people may be </w:t>
            </w:r>
            <w:r w:rsidR="005167D5" w:rsidRPr="00BC587F">
              <w:t xml:space="preserve">less able to </w:t>
            </w:r>
            <w:r w:rsidRPr="00BC587F">
              <w:t xml:space="preserve">access </w:t>
            </w:r>
            <w:r w:rsidR="00B01424" w:rsidRPr="00BC587F">
              <w:t xml:space="preserve">and understand </w:t>
            </w:r>
            <w:r w:rsidRPr="00BC587F">
              <w:t xml:space="preserve">the digital information </w:t>
            </w:r>
            <w:r w:rsidR="005167D5" w:rsidRPr="00BC587F">
              <w:t xml:space="preserve">to make informed choices. There is </w:t>
            </w:r>
            <w:r w:rsidRPr="00BC587F">
              <w:t xml:space="preserve">also </w:t>
            </w:r>
            <w:r w:rsidR="005167D5" w:rsidRPr="00BC587F">
              <w:t>evidence that consumers may be con</w:t>
            </w:r>
            <w:r w:rsidR="00DB5AA1" w:rsidRPr="00BC587F">
              <w:t>fused about how to use QR codes</w:t>
            </w:r>
            <w:r w:rsidR="00DB5AA1" w:rsidRPr="00696D94">
              <w:rPr>
                <w:vertAlign w:val="superscript"/>
              </w:rPr>
              <w:footnoteReference w:id="143"/>
            </w:r>
            <w:r w:rsidR="005167D5" w:rsidRPr="00BC587F">
              <w:t>.</w:t>
            </w:r>
          </w:p>
          <w:p w14:paraId="0DEE67D3" w14:textId="0785439F" w:rsidR="00E04AE7" w:rsidRPr="003C0EE4" w:rsidRDefault="00B621AD" w:rsidP="00183D44">
            <w:pPr>
              <w:pStyle w:val="Tabletext"/>
            </w:pPr>
            <w:r w:rsidRPr="0053166A">
              <w:t>For</w:t>
            </w:r>
            <w:r w:rsidR="005167D5" w:rsidRPr="0053166A">
              <w:t xml:space="preserve"> consumers </w:t>
            </w:r>
            <w:r w:rsidRPr="0053166A">
              <w:t xml:space="preserve">that </w:t>
            </w:r>
            <w:r w:rsidR="005167D5" w:rsidRPr="0053166A">
              <w:t>can access the digital information</w:t>
            </w:r>
            <w:r w:rsidR="005167D5">
              <w:t xml:space="preserve"> there is potential for the digital information to enhance consumer understanding through use of pictorial information, other </w:t>
            </w:r>
            <w:proofErr w:type="gramStart"/>
            <w:r w:rsidR="005167D5">
              <w:t>languages</w:t>
            </w:r>
            <w:proofErr w:type="gramEnd"/>
            <w:r w:rsidR="005167D5">
              <w:t xml:space="preserve"> and large font sizes. </w:t>
            </w:r>
          </w:p>
        </w:tc>
        <w:tc>
          <w:tcPr>
            <w:tcW w:w="4820" w:type="dxa"/>
            <w:shd w:val="clear" w:color="auto" w:fill="FFC000"/>
          </w:tcPr>
          <w:p w14:paraId="290A9876" w14:textId="1A80F19E" w:rsidR="004B3D5E" w:rsidRPr="00BC587F" w:rsidRDefault="00E65677" w:rsidP="00183D44">
            <w:pPr>
              <w:pStyle w:val="Tabletext"/>
            </w:pPr>
            <w:r w:rsidRPr="00BC587F">
              <w:t xml:space="preserve">Provided consumers have the skills and motivation to access the digital information, </w:t>
            </w:r>
            <w:r w:rsidR="00D21965" w:rsidRPr="00BC587F">
              <w:t>Option 7</w:t>
            </w:r>
            <w:r w:rsidR="005167D5" w:rsidRPr="00BC587F">
              <w:t xml:space="preserve"> has</w:t>
            </w:r>
            <w:r w:rsidR="004B3D5E" w:rsidRPr="00BC587F">
              <w:t xml:space="preserve"> potential to present new information </w:t>
            </w:r>
            <w:r w:rsidR="005167D5" w:rsidRPr="00BC587F">
              <w:t>about sugars (such as added sugars or different types of sugars) as well as a range of other new</w:t>
            </w:r>
            <w:r w:rsidR="004B3D5E" w:rsidRPr="00BC587F">
              <w:t xml:space="preserve"> information.</w:t>
            </w:r>
          </w:p>
        </w:tc>
      </w:tr>
    </w:tbl>
    <w:p w14:paraId="34B896B0" w14:textId="6256E27F" w:rsidR="004B3D5E" w:rsidRPr="00BC587F" w:rsidRDefault="004B3D5E" w:rsidP="00BC587F"/>
    <w:p w14:paraId="06C5D79B" w14:textId="77777777" w:rsidR="004B3D5E" w:rsidRPr="00BC587F" w:rsidRDefault="004B3D5E" w:rsidP="00BC587F">
      <w:pPr>
        <w:sectPr w:rsidR="004B3D5E" w:rsidRPr="00BC587F" w:rsidSect="003456D0">
          <w:pgSz w:w="23811" w:h="16838" w:orient="landscape" w:code="8"/>
          <w:pgMar w:top="1135" w:right="1276" w:bottom="1800" w:left="993" w:header="850" w:footer="567" w:gutter="0"/>
          <w:cols w:space="708"/>
          <w:docGrid w:linePitch="360"/>
        </w:sectPr>
      </w:pPr>
    </w:p>
    <w:p w14:paraId="7DDEDEF6" w14:textId="4AABBB0A" w:rsidR="009555CF" w:rsidRPr="00AE293C" w:rsidRDefault="00CD54FA" w:rsidP="00A8387E">
      <w:pPr>
        <w:pStyle w:val="Heading1"/>
      </w:pPr>
      <w:bookmarkStart w:id="218" w:name="_Toc6323622"/>
      <w:bookmarkEnd w:id="174"/>
      <w:r>
        <w:t>Benefits and i</w:t>
      </w:r>
      <w:r w:rsidR="009555CF" w:rsidRPr="00AE293C">
        <w:t>mpact analysis</w:t>
      </w:r>
      <w:bookmarkEnd w:id="218"/>
    </w:p>
    <w:p w14:paraId="62F8E979" w14:textId="65FB9E1F" w:rsidR="009555CF" w:rsidRDefault="008D7BBC" w:rsidP="00BC587F">
      <w:r>
        <w:t>A</w:t>
      </w:r>
      <w:r w:rsidR="00853CB1">
        <w:t xml:space="preserve"> </w:t>
      </w:r>
      <w:proofErr w:type="gramStart"/>
      <w:r w:rsidR="00853CB1">
        <w:t>high level</w:t>
      </w:r>
      <w:proofErr w:type="gramEnd"/>
      <w:r w:rsidR="00F419A8">
        <w:t xml:space="preserve"> </w:t>
      </w:r>
      <w:r w:rsidR="00853CB1">
        <w:t xml:space="preserve">qualitative </w:t>
      </w:r>
      <w:r w:rsidR="001D4AF5" w:rsidRPr="00CB626B">
        <w:t xml:space="preserve">analysis of the </w:t>
      </w:r>
      <w:r w:rsidR="00CD54FA">
        <w:t xml:space="preserve">benefits and </w:t>
      </w:r>
      <w:r w:rsidR="009320D8">
        <w:t>impacts</w:t>
      </w:r>
      <w:r w:rsidR="001D4AF5" w:rsidRPr="00CB626B">
        <w:t xml:space="preserve"> of the feasible options</w:t>
      </w:r>
      <w:r>
        <w:t xml:space="preserve"> </w:t>
      </w:r>
      <w:r w:rsidR="00B57C34">
        <w:t>(Options 3</w:t>
      </w:r>
      <w:r w:rsidR="00897B8B">
        <w:t>- Statement of Ingredients</w:t>
      </w:r>
      <w:r w:rsidR="00B57C34">
        <w:t>,</w:t>
      </w:r>
      <w:r w:rsidR="00897B8B">
        <w:t xml:space="preserve"> Option 4- Added sugars in the NIP</w:t>
      </w:r>
      <w:r w:rsidR="00F1765A">
        <w:t xml:space="preserve"> and </w:t>
      </w:r>
      <w:r w:rsidR="00897B8B">
        <w:t xml:space="preserve">Option </w:t>
      </w:r>
      <w:r w:rsidR="00F1765A">
        <w:t>6</w:t>
      </w:r>
      <w:r w:rsidR="00897B8B">
        <w:t>- Pictorial approaches</w:t>
      </w:r>
      <w:r w:rsidR="00F1765A">
        <w:t xml:space="preserve">) </w:t>
      </w:r>
      <w:r>
        <w:t>has been undertaken</w:t>
      </w:r>
      <w:r w:rsidR="001D4AF5" w:rsidRPr="00CB626B">
        <w:t xml:space="preserve">, including </w:t>
      </w:r>
      <w:r>
        <w:t xml:space="preserve">consideration of </w:t>
      </w:r>
      <w:r w:rsidR="001D4AF5" w:rsidRPr="00CB626B">
        <w:t>the groups in the community that would be affected and the economic, social and</w:t>
      </w:r>
      <w:r w:rsidR="00EA1888">
        <w:t xml:space="preserve"> other</w:t>
      </w:r>
      <w:r w:rsidR="001D4AF5" w:rsidRPr="00CB626B">
        <w:t xml:space="preserve"> impacts on them. This section </w:t>
      </w:r>
      <w:r w:rsidR="009320D8">
        <w:t xml:space="preserve">is not intended to be a cost-benefit analysis and only considers potential impacts of the feasible options at a high level and on a qualitative basis. </w:t>
      </w:r>
      <w:r w:rsidR="00677BF1">
        <w:t>This section draws</w:t>
      </w:r>
      <w:r>
        <w:t xml:space="preserve"> on feedback provided through the consultation process</w:t>
      </w:r>
      <w:r w:rsidR="00677BF1">
        <w:t>, particularly responses to questions about the impacts of the options on stakeholders a</w:t>
      </w:r>
      <w:r w:rsidR="00CD54FA">
        <w:t>nd existing labelling elements.</w:t>
      </w:r>
    </w:p>
    <w:p w14:paraId="05A9CA64" w14:textId="6D25E0A1" w:rsidR="00F1765A" w:rsidRPr="00AE293C" w:rsidRDefault="00B51DAD" w:rsidP="00314A5D">
      <w:pPr>
        <w:pStyle w:val="Heading2"/>
      </w:pPr>
      <w:bookmarkStart w:id="219" w:name="_Toc6323623"/>
      <w:r w:rsidRPr="00AE293C">
        <w:t>Benefits</w:t>
      </w:r>
      <w:bookmarkEnd w:id="219"/>
    </w:p>
    <w:p w14:paraId="691F1586" w14:textId="1B5B3708" w:rsidR="00E36CE4" w:rsidRPr="00993032" w:rsidRDefault="00F1765A" w:rsidP="00BC587F">
      <w:r w:rsidRPr="00CB626B">
        <w:t>As the desired outcome of this work relates to provision of information</w:t>
      </w:r>
      <w:r>
        <w:t xml:space="preserve"> to consumers</w:t>
      </w:r>
      <w:r w:rsidRPr="00CB626B">
        <w:t xml:space="preserve">, that is the focus of the consideration of benefits associated with the </w:t>
      </w:r>
      <w:r>
        <w:t>feasible</w:t>
      </w:r>
      <w:r w:rsidR="00CD54FA">
        <w:t xml:space="preserve"> options.</w:t>
      </w:r>
    </w:p>
    <w:p w14:paraId="7111F866" w14:textId="2124377A" w:rsidR="00F1765A" w:rsidRPr="00B44104" w:rsidRDefault="00E36CE4" w:rsidP="00314A5D">
      <w:pPr>
        <w:pStyle w:val="Heading3"/>
      </w:pPr>
      <w:r w:rsidRPr="00B44104">
        <w:t>Information for consumers</w:t>
      </w:r>
    </w:p>
    <w:p w14:paraId="40469D69" w14:textId="19AF1200" w:rsidR="004E6DA0" w:rsidRPr="0070624D" w:rsidRDefault="00F1765A" w:rsidP="00BC587F">
      <w:r>
        <w:t>T</w:t>
      </w:r>
      <w:r w:rsidR="0048647B" w:rsidRPr="00CB626B">
        <w:t xml:space="preserve">he </w:t>
      </w:r>
      <w:r w:rsidR="007D15FD">
        <w:t>feasible</w:t>
      </w:r>
      <w:r w:rsidR="007D15FD" w:rsidRPr="00CB626B">
        <w:t xml:space="preserve"> </w:t>
      </w:r>
      <w:r w:rsidR="0048647B" w:rsidRPr="00CB626B">
        <w:t xml:space="preserve">options </w:t>
      </w:r>
      <w:r w:rsidR="003350C6" w:rsidRPr="00CB626B">
        <w:t xml:space="preserve">would benefit </w:t>
      </w:r>
      <w:r w:rsidR="003835B5">
        <w:t xml:space="preserve">consumers in </w:t>
      </w:r>
      <w:r w:rsidR="004F3B1B">
        <w:t>Australia</w:t>
      </w:r>
      <w:r w:rsidR="00B51DAD" w:rsidRPr="00CB626B">
        <w:t xml:space="preserve"> and New Zealand </w:t>
      </w:r>
      <w:r w:rsidR="003350C6" w:rsidRPr="00CB626B">
        <w:t xml:space="preserve">by providing additional </w:t>
      </w:r>
      <w:r w:rsidR="00052D47" w:rsidRPr="00CB626B">
        <w:t>contextual</w:t>
      </w:r>
      <w:r w:rsidR="00A94315" w:rsidRPr="00CB626B">
        <w:t xml:space="preserve"> </w:t>
      </w:r>
      <w:r w:rsidR="0048647B" w:rsidRPr="00CB626B">
        <w:t>information</w:t>
      </w:r>
      <w:r w:rsidR="003350C6" w:rsidRPr="00CB626B">
        <w:t xml:space="preserve"> </w:t>
      </w:r>
      <w:r w:rsidR="00A94315" w:rsidRPr="00CB626B">
        <w:t>in relation to sugar</w:t>
      </w:r>
      <w:r w:rsidR="00654EA5" w:rsidRPr="00CB626B">
        <w:t>s</w:t>
      </w:r>
      <w:r w:rsidR="00A94315" w:rsidRPr="00CB626B">
        <w:t xml:space="preserve"> to better </w:t>
      </w:r>
      <w:r w:rsidR="003350C6" w:rsidRPr="00CB626B">
        <w:t>enable them to make informed choices in sup</w:t>
      </w:r>
      <w:r w:rsidR="007377AC">
        <w:t>port of the dietary guidelines.</w:t>
      </w:r>
    </w:p>
    <w:p w14:paraId="1D739E3C" w14:textId="2B0ACB04" w:rsidR="00853CB1" w:rsidRDefault="00853CB1" w:rsidP="00BC587F">
      <w:r w:rsidRPr="00CB626B">
        <w:t xml:space="preserve">Labelling </w:t>
      </w:r>
      <w:r>
        <w:t xml:space="preserve">that </w:t>
      </w:r>
      <w:r w:rsidRPr="00CB626B">
        <w:t>provides information to consumers at the potential point of purchase or consumption</w:t>
      </w:r>
      <w:r>
        <w:t xml:space="preserve"> </w:t>
      </w:r>
      <w:r w:rsidRPr="00CB626B">
        <w:t xml:space="preserve">supports them to make timely decisions about the foods they purchase and/or consume. Under the status quo, consumers wanting information on the added sugars content of foods would need to access the technical Australian </w:t>
      </w:r>
      <w:r>
        <w:t xml:space="preserve">or New Zealand </w:t>
      </w:r>
      <w:r w:rsidRPr="00CB626B">
        <w:t>food composition database</w:t>
      </w:r>
      <w:r>
        <w:t xml:space="preserve">s </w:t>
      </w:r>
      <w:r w:rsidRPr="00CB626B">
        <w:t xml:space="preserve">which may not be </w:t>
      </w:r>
      <w:proofErr w:type="gramStart"/>
      <w:r w:rsidRPr="00CB626B">
        <w:t>up-to-date</w:t>
      </w:r>
      <w:proofErr w:type="gramEnd"/>
      <w:r w:rsidRPr="00CB626B">
        <w:t xml:space="preserve"> in relation to changes in food composition or food supply, </w:t>
      </w:r>
      <w:r>
        <w:t>do</w:t>
      </w:r>
      <w:r w:rsidRPr="00CB626B">
        <w:t xml:space="preserve"> not allo</w:t>
      </w:r>
      <w:r w:rsidR="006E6C52">
        <w:t>w comparison between different brands</w:t>
      </w:r>
      <w:r w:rsidRPr="00CB626B">
        <w:t xml:space="preserve"> of a product, and </w:t>
      </w:r>
      <w:r>
        <w:t>are</w:t>
      </w:r>
      <w:r w:rsidRPr="00CB626B">
        <w:t xml:space="preserve"> not desig</w:t>
      </w:r>
      <w:r>
        <w:t>ned to be a consumer resource</w:t>
      </w:r>
      <w:r w:rsidR="002019B0">
        <w:rPr>
          <w:rStyle w:val="FootnoteReference"/>
        </w:rPr>
        <w:footnoteReference w:id="144"/>
      </w:r>
      <w:r>
        <w:t xml:space="preserve">. </w:t>
      </w:r>
      <w:r w:rsidRPr="00CB626B">
        <w:t xml:space="preserve">Accessing this information is not a </w:t>
      </w:r>
      <w:r>
        <w:t>quick or easy</w:t>
      </w:r>
      <w:r w:rsidRPr="00CB626B">
        <w:t xml:space="preserve"> process and requires nutrition knowledge and mat</w:t>
      </w:r>
      <w:r w:rsidR="00CD54FA">
        <w:t>hematical skills to interpret.</w:t>
      </w:r>
    </w:p>
    <w:p w14:paraId="38E16715" w14:textId="4AC1097D" w:rsidR="005D52E5" w:rsidRDefault="005D52E5" w:rsidP="00BC587F">
      <w:proofErr w:type="gramStart"/>
      <w:r>
        <w:t>All of</w:t>
      </w:r>
      <w:proofErr w:type="gramEnd"/>
      <w:r>
        <w:t xml:space="preserve"> the feasible options </w:t>
      </w:r>
      <w:r w:rsidR="00B4778F">
        <w:t xml:space="preserve">support consumers to identify </w:t>
      </w:r>
      <w:r w:rsidR="00853CB1">
        <w:t xml:space="preserve">foods containing added sugars. </w:t>
      </w:r>
      <w:r w:rsidR="00995E41">
        <w:t>In particular:</w:t>
      </w:r>
    </w:p>
    <w:p w14:paraId="7C60A8DC" w14:textId="77B903D3" w:rsidR="005D52E5" w:rsidRPr="00A16691" w:rsidRDefault="006E6C52" w:rsidP="00C84941">
      <w:pPr>
        <w:pStyle w:val="Bullets"/>
        <w:rPr>
          <w:lang w:eastAsia="en-US"/>
        </w:rPr>
      </w:pPr>
      <w:r>
        <w:rPr>
          <w:lang w:val="en-GB" w:eastAsia="en-GB"/>
        </w:rPr>
        <w:t>Option 3 supports consumer</w:t>
      </w:r>
      <w:r w:rsidR="005D52E5">
        <w:rPr>
          <w:lang w:val="en-GB" w:eastAsia="en-GB"/>
        </w:rPr>
        <w:t>s</w:t>
      </w:r>
      <w:r>
        <w:rPr>
          <w:lang w:val="en-GB" w:eastAsia="en-GB"/>
        </w:rPr>
        <w:t>’</w:t>
      </w:r>
      <w:r w:rsidR="005D52E5">
        <w:rPr>
          <w:lang w:val="en-GB" w:eastAsia="en-GB"/>
        </w:rPr>
        <w:t xml:space="preserve"> ability</w:t>
      </w:r>
      <w:r w:rsidR="005D52E5" w:rsidRPr="007A499A">
        <w:rPr>
          <w:lang w:val="en-GB" w:eastAsia="en-GB"/>
        </w:rPr>
        <w:t xml:space="preserve"> to u</w:t>
      </w:r>
      <w:r w:rsidR="005D52E5">
        <w:rPr>
          <w:lang w:val="en-GB" w:eastAsia="en-GB"/>
        </w:rPr>
        <w:t>nderstand what added sugars are, identify added sugars</w:t>
      </w:r>
      <w:r w:rsidR="005D52E5" w:rsidRPr="007A499A">
        <w:rPr>
          <w:lang w:val="en-GB" w:eastAsia="en-GB"/>
        </w:rPr>
        <w:t xml:space="preserve"> </w:t>
      </w:r>
      <w:r w:rsidR="005D52E5">
        <w:rPr>
          <w:lang w:val="en-GB" w:eastAsia="en-GB"/>
        </w:rPr>
        <w:t>in the statement of ingredients and assess the</w:t>
      </w:r>
      <w:r w:rsidR="005D52E5" w:rsidRPr="0048321F">
        <w:rPr>
          <w:lang w:val="en-GB" w:eastAsia="en-GB"/>
        </w:rPr>
        <w:t xml:space="preserve"> relative contribution </w:t>
      </w:r>
      <w:r w:rsidR="005D52E5">
        <w:rPr>
          <w:lang w:val="en-GB" w:eastAsia="en-GB"/>
        </w:rPr>
        <w:t xml:space="preserve">of added sugars to a food compared </w:t>
      </w:r>
      <w:r w:rsidR="005D52E5" w:rsidRPr="0048321F">
        <w:rPr>
          <w:lang w:val="en-GB" w:eastAsia="en-GB"/>
        </w:rPr>
        <w:t>to other ingredients.</w:t>
      </w:r>
    </w:p>
    <w:p w14:paraId="6A70E458" w14:textId="79673DD3" w:rsidR="005D52E5" w:rsidRDefault="005D52E5" w:rsidP="00C84941">
      <w:pPr>
        <w:pStyle w:val="Bullets"/>
      </w:pPr>
      <w:r>
        <w:rPr>
          <w:lang w:val="en-GB" w:eastAsia="en-GB"/>
        </w:rPr>
        <w:t>Option 4</w:t>
      </w:r>
      <w:r w:rsidRPr="005D52E5">
        <w:t xml:space="preserve"> </w:t>
      </w:r>
      <w:r>
        <w:t xml:space="preserve">supports consumers to </w:t>
      </w:r>
      <w:r w:rsidR="00B4778F">
        <w:t>assess the</w:t>
      </w:r>
      <w:r w:rsidR="007B25D2">
        <w:t xml:space="preserve"> </w:t>
      </w:r>
      <w:proofErr w:type="gramStart"/>
      <w:r w:rsidR="007B25D2">
        <w:t>amount</w:t>
      </w:r>
      <w:proofErr w:type="gramEnd"/>
      <w:r w:rsidR="007B25D2">
        <w:t xml:space="preserve"> of added sugars in the</w:t>
      </w:r>
      <w:r w:rsidR="00B4778F">
        <w:t xml:space="preserve"> food</w:t>
      </w:r>
      <w:r>
        <w:t xml:space="preserve"> and compare products.</w:t>
      </w:r>
    </w:p>
    <w:p w14:paraId="7650F4AC" w14:textId="3852B3C9" w:rsidR="00B57C34" w:rsidRDefault="005D52E5" w:rsidP="00C84941">
      <w:pPr>
        <w:pStyle w:val="Bullets"/>
      </w:pPr>
      <w:r>
        <w:t xml:space="preserve">Option 6 supports consumers to quickly </w:t>
      </w:r>
      <w:r w:rsidR="00B4778F">
        <w:t>assess the</w:t>
      </w:r>
      <w:r>
        <w:t xml:space="preserve"> </w:t>
      </w:r>
      <w:proofErr w:type="gramStart"/>
      <w:r>
        <w:t>amount</w:t>
      </w:r>
      <w:proofErr w:type="gramEnd"/>
      <w:r>
        <w:t xml:space="preserve"> of added sugars in products and compare similar products</w:t>
      </w:r>
      <w:r w:rsidR="006D5138">
        <w:t xml:space="preserve"> without having to read and interpret the NIP</w:t>
      </w:r>
      <w:r w:rsidR="00B57C34">
        <w:t>.</w:t>
      </w:r>
    </w:p>
    <w:p w14:paraId="10A52E34" w14:textId="5B09A64B" w:rsidR="00853CB1" w:rsidRDefault="00853CB1" w:rsidP="00BC587F">
      <w:r w:rsidRPr="00CB626B">
        <w:t>Consumer research indicates that consumers are concerned about the sugars content of food, and consumers who are attempting to reduce their intakes of sugars report limiting consumption of food categories they consider being high in sugars (</w:t>
      </w:r>
      <w:proofErr w:type="gramStart"/>
      <w:r w:rsidRPr="00CB626B">
        <w:t>e.g.</w:t>
      </w:r>
      <w:proofErr w:type="gramEnd"/>
      <w:r w:rsidRPr="00CB626B">
        <w:t xml:space="preserve"> sugar-sweetened beverages) and reading food labels</w:t>
      </w:r>
      <w:r w:rsidRPr="00CB626B">
        <w:rPr>
          <w:rStyle w:val="FootnoteReference"/>
        </w:rPr>
        <w:footnoteReference w:id="145"/>
      </w:r>
      <w:r w:rsidRPr="00CB626B">
        <w:t xml:space="preserve">, and the </w:t>
      </w:r>
      <w:r>
        <w:t xml:space="preserve">feasible </w:t>
      </w:r>
      <w:r w:rsidRPr="00CB626B">
        <w:t>options would partic</w:t>
      </w:r>
      <w:r w:rsidR="00CD54FA">
        <w:t>ularly benefit these consumers.</w:t>
      </w:r>
    </w:p>
    <w:p w14:paraId="3D6CC143" w14:textId="30E21B8B" w:rsidR="003835B5" w:rsidRDefault="007D15FD" w:rsidP="00BC587F">
      <w:r>
        <w:t>T</w:t>
      </w:r>
      <w:r w:rsidR="00E62E7F" w:rsidRPr="00CB626B">
        <w:t>here may be</w:t>
      </w:r>
      <w:r w:rsidR="00AA40C7" w:rsidRPr="00CB626B">
        <w:t xml:space="preserve"> additional benefits</w:t>
      </w:r>
      <w:r w:rsidR="00E62E7F" w:rsidRPr="00CB626B">
        <w:t xml:space="preserve"> </w:t>
      </w:r>
      <w:r w:rsidR="00F1765A">
        <w:t>ass</w:t>
      </w:r>
      <w:r w:rsidR="00001792">
        <w:t>ociated</w:t>
      </w:r>
      <w:r w:rsidR="00F1765A">
        <w:t xml:space="preserve"> with the </w:t>
      </w:r>
      <w:r w:rsidR="00001792">
        <w:t xml:space="preserve">feasible </w:t>
      </w:r>
      <w:r w:rsidR="00F1765A">
        <w:t>options</w:t>
      </w:r>
      <w:r w:rsidR="001E603C">
        <w:t xml:space="preserve">. </w:t>
      </w:r>
      <w:r w:rsidR="00CD54FA">
        <w:t>These are described below.</w:t>
      </w:r>
    </w:p>
    <w:p w14:paraId="4705E574" w14:textId="6D9E974D" w:rsidR="00001792" w:rsidRPr="00B44104" w:rsidRDefault="00001792" w:rsidP="00314A5D">
      <w:pPr>
        <w:pStyle w:val="Heading3"/>
      </w:pPr>
      <w:r w:rsidRPr="00B44104">
        <w:t>Reformulation</w:t>
      </w:r>
    </w:p>
    <w:p w14:paraId="2E4E32B8" w14:textId="3349CCD9" w:rsidR="00FD26E0" w:rsidRPr="00D84060" w:rsidRDefault="00B4778F" w:rsidP="00BC587F">
      <w:r>
        <w:t xml:space="preserve">The feasible options </w:t>
      </w:r>
      <w:r w:rsidR="00F1765A">
        <w:t>may</w:t>
      </w:r>
      <w:r w:rsidR="00E62E7F" w:rsidRPr="00CB626B">
        <w:t xml:space="preserve"> encourage reformulation of products to reduce the</w:t>
      </w:r>
      <w:r w:rsidR="00A91DBB">
        <w:t xml:space="preserve"> </w:t>
      </w:r>
      <w:r w:rsidR="00E62E7F" w:rsidRPr="00CB626B">
        <w:t>sugar</w:t>
      </w:r>
      <w:r w:rsidR="00654EA5" w:rsidRPr="00CB626B">
        <w:t>s</w:t>
      </w:r>
      <w:r>
        <w:t xml:space="preserve"> content</w:t>
      </w:r>
      <w:r w:rsidR="00E62E7F" w:rsidRPr="00CB626B">
        <w:t xml:space="preserve"> </w:t>
      </w:r>
      <w:r w:rsidR="00DC0FE1">
        <w:t>as manufacturers seek an advantage over competitors</w:t>
      </w:r>
      <w:r w:rsidR="005D52E5">
        <w:t xml:space="preserve">. </w:t>
      </w:r>
      <w:r w:rsidR="00DC0FE1">
        <w:t xml:space="preserve">Reformulation has been observed internationally in countries that have introduced taxes on </w:t>
      </w:r>
      <w:r>
        <w:t>sugar-sweetened beverages</w:t>
      </w:r>
      <w:r w:rsidR="00DC0FE1">
        <w:rPr>
          <w:rStyle w:val="FootnoteReference"/>
        </w:rPr>
        <w:footnoteReference w:id="146"/>
      </w:r>
      <w:r w:rsidR="00DC0FE1">
        <w:t xml:space="preserve"> or when </w:t>
      </w:r>
      <w:proofErr w:type="gramStart"/>
      <w:r w:rsidR="00DC0FE1">
        <w:t>particular nutrients</w:t>
      </w:r>
      <w:proofErr w:type="gramEnd"/>
      <w:r w:rsidR="00DC0FE1">
        <w:t xml:space="preserve"> such as trans-fats must be labelled</w:t>
      </w:r>
      <w:r w:rsidR="00DC0FE1" w:rsidRPr="00CD54FA">
        <w:rPr>
          <w:rStyle w:val="FootnoteReference"/>
        </w:rPr>
        <w:footnoteReference w:id="147"/>
      </w:r>
      <w:r w:rsidR="00CD54FA" w:rsidRPr="00CD54FA">
        <w:rPr>
          <w:vertAlign w:val="superscript"/>
        </w:rPr>
        <w:t>,</w:t>
      </w:r>
      <w:r w:rsidR="00593A73">
        <w:rPr>
          <w:rStyle w:val="FootnoteReference"/>
        </w:rPr>
        <w:footnoteReference w:id="148"/>
      </w:r>
      <w:r w:rsidR="00DC0FE1">
        <w:t xml:space="preserve">. This can support a reduction in sugars in the food supply </w:t>
      </w:r>
      <w:r w:rsidR="00DC0FE1" w:rsidRPr="00A56F43">
        <w:t>and is an equitable approach because it benefits the whole population</w:t>
      </w:r>
      <w:r w:rsidRPr="00A56F43">
        <w:t xml:space="preserve"> rather than those with the education and skills to read a food label</w:t>
      </w:r>
      <w:r w:rsidRPr="00D84060">
        <w:rPr>
          <w:rStyle w:val="FootnoteReference"/>
        </w:rPr>
        <w:footnoteReference w:id="149"/>
      </w:r>
      <w:r w:rsidR="00D84060" w:rsidRPr="00A56F43">
        <w:t>.</w:t>
      </w:r>
    </w:p>
    <w:p w14:paraId="6B222481" w14:textId="6906669E" w:rsidR="00635546" w:rsidRDefault="00FD26E0" w:rsidP="00BC587F">
      <w:r>
        <w:t>Potential for reformulation is strongest with Option 4 and Option 6 as Option 3 does not quantify the added sugars in the food product</w:t>
      </w:r>
      <w:r w:rsidR="00635546">
        <w:t>.</w:t>
      </w:r>
      <w:r w:rsidR="00BC2C72">
        <w:t xml:space="preserve"> </w:t>
      </w:r>
      <w:r w:rsidR="00417F12">
        <w:t xml:space="preserve">If Option 3 uses a bracketed list approach it may encourage reformulation as manufacturers seek to reduce the sugars content of the food </w:t>
      </w:r>
      <w:proofErr w:type="gramStart"/>
      <w:r w:rsidR="00417F12">
        <w:t>in order to</w:t>
      </w:r>
      <w:proofErr w:type="gramEnd"/>
      <w:r w:rsidR="00417F12">
        <w:t xml:space="preserve"> move sugars-based ingredients down in the order of ingredients. However, i</w:t>
      </w:r>
      <w:r w:rsidR="00BC2C72">
        <w:t>f Option 3 uses asterisks or emboldening of individual sugars-based ingredients</w:t>
      </w:r>
      <w:r w:rsidR="00417F12">
        <w:t>,</w:t>
      </w:r>
      <w:r w:rsidR="00BC2C72">
        <w:t xml:space="preserve"> it may encourage manufacturers to reduce the number of different types of sugars in the product (rather than the total amount of sugars) so that the ingredients list appears to have </w:t>
      </w:r>
      <w:r w:rsidR="00995E41">
        <w:t>fewer sugars-based ingredients.</w:t>
      </w:r>
    </w:p>
    <w:p w14:paraId="1C26BBC5" w14:textId="70CEE285" w:rsidR="00635546" w:rsidRDefault="00635546" w:rsidP="00BC587F">
      <w:r>
        <w:t xml:space="preserve">While reformulation may improve a product’s nutritional profile, it depends </w:t>
      </w:r>
      <w:r w:rsidR="004F3B1B">
        <w:t xml:space="preserve">on </w:t>
      </w:r>
      <w:r>
        <w:t>what the added sugars removed from the product are replaced with. If added sugars are replaced with:</w:t>
      </w:r>
    </w:p>
    <w:p w14:paraId="14FE4365" w14:textId="35606639" w:rsidR="00635546" w:rsidRDefault="00635546" w:rsidP="00C84941">
      <w:pPr>
        <w:pStyle w:val="Bullets"/>
      </w:pPr>
      <w:r>
        <w:t>saturated fat, it would increase the energy density of the product and increase saturated fat content</w:t>
      </w:r>
      <w:r>
        <w:rPr>
          <w:rStyle w:val="FootnoteReference"/>
        </w:rPr>
        <w:footnoteReference w:id="150"/>
      </w:r>
      <w:r>
        <w:t xml:space="preserve"> (diet</w:t>
      </w:r>
      <w:r w:rsidR="00774A05">
        <w:t xml:space="preserve">ary guidelines recommend </w:t>
      </w:r>
      <w:r>
        <w:t>foods containing saturated fats be limited).</w:t>
      </w:r>
    </w:p>
    <w:p w14:paraId="468C169A" w14:textId="7DB1F7A7" w:rsidR="00635546" w:rsidRDefault="00635546" w:rsidP="00C84941">
      <w:pPr>
        <w:pStyle w:val="Bullets"/>
      </w:pPr>
      <w:r>
        <w:t>starches, it would not change the energy (kilojoule) content of the</w:t>
      </w:r>
      <w:r w:rsidR="00995E41">
        <w:t xml:space="preserve"> product.</w:t>
      </w:r>
    </w:p>
    <w:p w14:paraId="41A26F28" w14:textId="1CA40C1D" w:rsidR="00063937" w:rsidRDefault="00635546" w:rsidP="00BC587F">
      <w:r>
        <w:t xml:space="preserve">Some submitters to the stakeholder consultation raised concerns about the potential for increased use of artificial sweeteners or preservatives if sugars are removed from a product. Use of artificial sweeteners and preservatives is regulated by </w:t>
      </w:r>
      <w:r w:rsidR="00995E41">
        <w:t>FSANZ to ensure safety.</w:t>
      </w:r>
    </w:p>
    <w:p w14:paraId="42AABE99" w14:textId="2893890A" w:rsidR="00F1765A" w:rsidRPr="00B44104" w:rsidRDefault="00B57C34" w:rsidP="00314A5D">
      <w:pPr>
        <w:pStyle w:val="Heading3"/>
      </w:pPr>
      <w:r w:rsidRPr="00B44104">
        <w:t xml:space="preserve">Support for </w:t>
      </w:r>
      <w:r w:rsidR="003835B5" w:rsidRPr="00B44104">
        <w:t xml:space="preserve">the </w:t>
      </w:r>
      <w:r w:rsidRPr="00B44104">
        <w:t>p</w:t>
      </w:r>
      <w:r w:rsidR="00001792" w:rsidRPr="00B44104">
        <w:t xml:space="preserve">ublic health </w:t>
      </w:r>
      <w:r w:rsidR="003835B5" w:rsidRPr="00B44104">
        <w:t>sector</w:t>
      </w:r>
    </w:p>
    <w:p w14:paraId="4A7D7993" w14:textId="4CE1D01B" w:rsidR="00347B5C" w:rsidRDefault="00B4778F" w:rsidP="00BC587F">
      <w:r>
        <w:t xml:space="preserve">The feasible options </w:t>
      </w:r>
      <w:r w:rsidR="00F1765A" w:rsidRPr="00CB626B">
        <w:t>may support programs and campaigns that aim to promote the dietary guidelines to the public</w:t>
      </w:r>
      <w:r w:rsidR="00CD3D25">
        <w:t>. For example, the label information could also be used to improve the implementation of programs that promote healthy eating and/or restrict availability of foods high in added sugar</w:t>
      </w:r>
      <w:r>
        <w:t>s</w:t>
      </w:r>
      <w:r w:rsidR="00CD3D25">
        <w:t xml:space="preserve"> in settings such as schools, health services, sport and recreation fac</w:t>
      </w:r>
      <w:r w:rsidR="00995E41">
        <w:t>ilities and Government offices.</w:t>
      </w:r>
    </w:p>
    <w:p w14:paraId="00B16ACA" w14:textId="28FC604A" w:rsidR="00F1765A" w:rsidRDefault="00B4778F" w:rsidP="00BC587F">
      <w:r>
        <w:t>Food l</w:t>
      </w:r>
      <w:r w:rsidR="00CD3D25">
        <w:t>abel</w:t>
      </w:r>
      <w:r>
        <w:t xml:space="preserve"> information</w:t>
      </w:r>
      <w:r w:rsidR="00455EC0">
        <w:t xml:space="preserve"> could also support </w:t>
      </w:r>
      <w:r w:rsidR="00CD3D25">
        <w:t xml:space="preserve">work to </w:t>
      </w:r>
      <w:r w:rsidR="00455EC0">
        <w:t>develop</w:t>
      </w:r>
      <w:r w:rsidR="00CD3D25">
        <w:t xml:space="preserve"> </w:t>
      </w:r>
      <w:r w:rsidR="00455EC0">
        <w:t xml:space="preserve">or improve </w:t>
      </w:r>
      <w:r>
        <w:t xml:space="preserve">campaigns and </w:t>
      </w:r>
      <w:r w:rsidR="00455EC0">
        <w:t>practical resources for consumers about how to reduce intake of added sugars.</w:t>
      </w:r>
      <w:r w:rsidR="00BD1258">
        <w:t xml:space="preserve"> </w:t>
      </w:r>
      <w:r w:rsidR="00347B5C">
        <w:t xml:space="preserve">For example, </w:t>
      </w:r>
      <w:r w:rsidR="00BD1258">
        <w:t>consumer resources could simpl</w:t>
      </w:r>
      <w:r w:rsidR="00347B5C">
        <w:t>if</w:t>
      </w:r>
      <w:r w:rsidR="00BD1258">
        <w:t xml:space="preserve">y the </w:t>
      </w:r>
      <w:r w:rsidR="00347B5C">
        <w:t xml:space="preserve">quantified </w:t>
      </w:r>
      <w:r w:rsidR="00BD1258">
        <w:t xml:space="preserve">information </w:t>
      </w:r>
      <w:r w:rsidR="00347B5C">
        <w:t xml:space="preserve">in Option 4 </w:t>
      </w:r>
      <w:r w:rsidR="00BD1258">
        <w:t xml:space="preserve">as pictures such as teaspoons of sugars or </w:t>
      </w:r>
      <w:r w:rsidR="00347B5C">
        <w:t xml:space="preserve">charts that make </w:t>
      </w:r>
      <w:r w:rsidR="00BD1258">
        <w:t>comparisons against WHO guidelines a</w:t>
      </w:r>
      <w:r w:rsidR="00995E41">
        <w:t>bout added sugars consumption.</w:t>
      </w:r>
    </w:p>
    <w:p w14:paraId="46E946A8" w14:textId="1E6D361C" w:rsidR="00EA7D46" w:rsidRDefault="00EA7D46" w:rsidP="00BC587F">
      <w:r>
        <w:t>The feasible options could also support clinicians</w:t>
      </w:r>
      <w:r w:rsidR="00E5529E">
        <w:t xml:space="preserve"> and other health professionals</w:t>
      </w:r>
      <w:r w:rsidR="00063937">
        <w:t xml:space="preserve"> when educating their patients and the public </w:t>
      </w:r>
      <w:r>
        <w:t xml:space="preserve">about healthy eating and selecting packaged healthy foods. </w:t>
      </w:r>
      <w:proofErr w:type="gramStart"/>
      <w:r w:rsidR="005015D2">
        <w:t>However</w:t>
      </w:r>
      <w:proofErr w:type="gramEnd"/>
      <w:r w:rsidR="005015D2">
        <w:t xml:space="preserve"> </w:t>
      </w:r>
      <w:r w:rsidR="00347B5C">
        <w:t xml:space="preserve">some </w:t>
      </w:r>
      <w:r w:rsidR="005015D2">
        <w:t>clinicians raised concerns that food label</w:t>
      </w:r>
      <w:r w:rsidR="006E6C52">
        <w:t>s</w:t>
      </w:r>
      <w:r w:rsidR="005015D2">
        <w:t xml:space="preserve"> </w:t>
      </w:r>
      <w:r w:rsidR="00347B5C">
        <w:t xml:space="preserve">which excessively emphasise sugars </w:t>
      </w:r>
      <w:r w:rsidR="005015D2">
        <w:t>may require them to spend more time with their patients educating them on the need to also consider saturated fat and sodium content when assessing a food product.</w:t>
      </w:r>
    </w:p>
    <w:p w14:paraId="4EFA7740" w14:textId="1B8BFD27" w:rsidR="00E0601D" w:rsidRDefault="009C406F" w:rsidP="00BC587F">
      <w:r>
        <w:t xml:space="preserve">A unique benefit associated with Option 4 </w:t>
      </w:r>
      <w:r w:rsidR="00347B5C">
        <w:t>in relation to public health</w:t>
      </w:r>
      <w:r>
        <w:t xml:space="preserve"> is th</w:t>
      </w:r>
      <w:r w:rsidR="00347B5C">
        <w:t>at Option 4</w:t>
      </w:r>
      <w:r>
        <w:t xml:space="preserve"> would enable added sugars to be incorporated into the HSR algorithm. </w:t>
      </w:r>
      <w:r w:rsidR="00E0601D">
        <w:t>As the HSR algorithm is designed to draw upon food composition information available on the label, the lack of information about a food’s added sugars content in the NIP has pre</w:t>
      </w:r>
      <w:r w:rsidR="00995E41">
        <w:t>viously limited this potential.</w:t>
      </w:r>
    </w:p>
    <w:p w14:paraId="4E77FD99" w14:textId="7872EF24" w:rsidR="00E0601D" w:rsidRDefault="00E0601D" w:rsidP="00BC587F">
      <w:r>
        <w:t>Replacing total sugars with added sugars in the HSR algorithm would not penalise foods containing intrinsic sugars and there are some reports that this could improve the ability of the HSR to differentiate between discretionary and core foods</w:t>
      </w:r>
      <w:r>
        <w:rPr>
          <w:rStyle w:val="FootnoteReference"/>
        </w:rPr>
        <w:footnoteReference w:id="151"/>
      </w:r>
      <w:r w:rsidRPr="00C32755">
        <w:rPr>
          <w:vertAlign w:val="superscript"/>
        </w:rPr>
        <w:t>,</w:t>
      </w:r>
      <w:r>
        <w:rPr>
          <w:rStyle w:val="FootnoteReference"/>
        </w:rPr>
        <w:footnoteReference w:id="152"/>
      </w:r>
      <w:r w:rsidR="00995E41">
        <w:t>.</w:t>
      </w:r>
    </w:p>
    <w:p w14:paraId="5D686E0F" w14:textId="3CF5146D" w:rsidR="00E0601D" w:rsidRDefault="009C406F" w:rsidP="00BC587F">
      <w:r>
        <w:t xml:space="preserve">Including added sugars in the HSR algorithm </w:t>
      </w:r>
      <w:r w:rsidR="00E0601D">
        <w:t>was</w:t>
      </w:r>
      <w:r w:rsidR="009A79FA">
        <w:t xml:space="preserve"> considered as part of the HSR five</w:t>
      </w:r>
      <w:r>
        <w:t>-year review</w:t>
      </w:r>
      <w:r w:rsidR="00E0601D">
        <w:t>. The review report noted “i</w:t>
      </w:r>
      <w:r w:rsidR="00E0601D" w:rsidRPr="00CC1ADD">
        <w:t>f added sugars are mandated for inclusion on the NIP, their inclusion in the HSR Calculator could be further explored</w:t>
      </w:r>
      <w:r w:rsidR="00E0601D">
        <w:t>”</w:t>
      </w:r>
      <w:r w:rsidR="00E0601D">
        <w:rPr>
          <w:rStyle w:val="FootnoteReference"/>
          <w:rFonts w:cstheme="minorHAnsi"/>
        </w:rPr>
        <w:footnoteReference w:id="153"/>
      </w:r>
      <w:r w:rsidR="00E0601D" w:rsidRPr="00CC1ADD">
        <w:t>.</w:t>
      </w:r>
    </w:p>
    <w:p w14:paraId="728F7069" w14:textId="13905252" w:rsidR="00931772" w:rsidRDefault="00EA7D46" w:rsidP="00BC587F">
      <w:r>
        <w:t>Another benefit of Option 4 is that it could provide data to support work to monitor trends in food composition and consumption in relation to added sugars and evaluate the effectiveness of interventions to reduce the availability or intake of added sugars. Publications from this research may help to inform future public</w:t>
      </w:r>
      <w:r w:rsidR="00347B5C">
        <w:t xml:space="preserve"> health policies and programs. </w:t>
      </w:r>
      <w:r>
        <w:t>Data provided from Option 6 may also support this monitoring and research work, however, as it is less</w:t>
      </w:r>
      <w:r w:rsidR="00995E41">
        <w:t xml:space="preserve"> precise it may be less useful.</w:t>
      </w:r>
    </w:p>
    <w:p w14:paraId="0AB25939" w14:textId="1DF8F303" w:rsidR="00001792" w:rsidRPr="00B44104" w:rsidRDefault="00B57C34" w:rsidP="00314A5D">
      <w:pPr>
        <w:pStyle w:val="Heading3"/>
      </w:pPr>
      <w:r w:rsidRPr="00B44104">
        <w:t>Healthy f</w:t>
      </w:r>
      <w:r w:rsidR="00001792" w:rsidRPr="00B44104">
        <w:t>ood choices</w:t>
      </w:r>
    </w:p>
    <w:p w14:paraId="36C1CC7E" w14:textId="3FE0F79F" w:rsidR="005B1A6F" w:rsidRDefault="005B1A6F" w:rsidP="00BC587F">
      <w:r>
        <w:t>T</w:t>
      </w:r>
      <w:r w:rsidR="009A4FBB">
        <w:t>he feasible options provide</w:t>
      </w:r>
      <w:r w:rsidR="00F86328">
        <w:t xml:space="preserve"> information on food labels to support consumers to make food choices in line with the dietary guidelines</w:t>
      </w:r>
      <w:r w:rsidR="00593A73">
        <w:t>. A recently published meta-analysis</w:t>
      </w:r>
      <w:r>
        <w:rPr>
          <w:rStyle w:val="FootnoteReference"/>
        </w:rPr>
        <w:footnoteReference w:id="154"/>
      </w:r>
      <w:r w:rsidR="00593A73">
        <w:t xml:space="preserve"> of food labelling effects on consumer diet behaviours </w:t>
      </w:r>
      <w:r w:rsidR="002703F7">
        <w:t xml:space="preserve">from 11 countries </w:t>
      </w:r>
      <w:r w:rsidR="00593A73">
        <w:t>reported food labelling</w:t>
      </w:r>
      <w:r w:rsidR="002703F7">
        <w:t xml:space="preserve"> reduced</w:t>
      </w:r>
      <w:r w:rsidR="00593A73">
        <w:t xml:space="preserve"> consumer intake of nutrients such as energy and total fat</w:t>
      </w:r>
      <w:r>
        <w:t>, however, no significant changes were observed for other nutrients such as sodium and total carbohydrate (sugars were not assessed separately to carbohydrates)</w:t>
      </w:r>
      <w:r w:rsidR="00995E41">
        <w:t>.</w:t>
      </w:r>
    </w:p>
    <w:p w14:paraId="457FD45F" w14:textId="5FD9A3EF" w:rsidR="00FC5B8F" w:rsidRDefault="005B1A6F" w:rsidP="00BC587F">
      <w:r>
        <w:t xml:space="preserve">It is recognised that food labelling alone is insufficient to facilitate behaviour change. However, as part of a comprehensive approach supporting to healthy eating, </w:t>
      </w:r>
      <w:r w:rsidR="00593A73">
        <w:t xml:space="preserve">the </w:t>
      </w:r>
      <w:r>
        <w:t xml:space="preserve">contextual </w:t>
      </w:r>
      <w:r w:rsidR="00593A73">
        <w:t>information</w:t>
      </w:r>
      <w:r>
        <w:t xml:space="preserve"> about sugars</w:t>
      </w:r>
      <w:r w:rsidR="00593A73">
        <w:t xml:space="preserve"> </w:t>
      </w:r>
      <w:r>
        <w:t xml:space="preserve">provided by the feasible options </w:t>
      </w:r>
      <w:r w:rsidR="00593A73">
        <w:t xml:space="preserve">may support consumers to make healthier </w:t>
      </w:r>
      <w:r>
        <w:t>food choices and</w:t>
      </w:r>
      <w:r w:rsidR="00593A73">
        <w:t xml:space="preserve"> not exceed the WHO recommendations for the consumption of added sugars. </w:t>
      </w:r>
      <w:proofErr w:type="gramStart"/>
      <w:r w:rsidR="009A4FBB">
        <w:t>Consequently</w:t>
      </w:r>
      <w:proofErr w:type="gramEnd"/>
      <w:r w:rsidR="00593A73">
        <w:t xml:space="preserve"> this </w:t>
      </w:r>
      <w:r w:rsidR="009A4FBB">
        <w:t xml:space="preserve">could support prevention </w:t>
      </w:r>
      <w:r w:rsidR="00593A73">
        <w:t xml:space="preserve">of (or reductions in) </w:t>
      </w:r>
      <w:r w:rsidR="009A4FBB">
        <w:t>overweight and obesity and poor dental health</w:t>
      </w:r>
      <w:r w:rsidR="00774A05">
        <w:t xml:space="preserve"> and reduce</w:t>
      </w:r>
      <w:r w:rsidR="006D5138">
        <w:t xml:space="preserve"> </w:t>
      </w:r>
      <w:r w:rsidR="00347B5C">
        <w:t>associated health expenditure.</w:t>
      </w:r>
    </w:p>
    <w:p w14:paraId="6BCE9FB4" w14:textId="3B4A59B4" w:rsidR="006D5138" w:rsidRDefault="005B1A6F" w:rsidP="00BC587F">
      <w:r>
        <w:t>T</w:t>
      </w:r>
      <w:r w:rsidR="006D5138">
        <w:t>hese benefits may be dispro</w:t>
      </w:r>
      <w:r w:rsidR="004F3B1B">
        <w:t>portionately</w:t>
      </w:r>
      <w:r w:rsidR="006D5138">
        <w:t xml:space="preserve"> distributed across the community. </w:t>
      </w:r>
      <w:r w:rsidR="00347B5C">
        <w:t xml:space="preserve">As </w:t>
      </w:r>
      <w:r w:rsidR="006D5138">
        <w:t xml:space="preserve">Option 3 and 4 </w:t>
      </w:r>
      <w:r w:rsidR="00347B5C">
        <w:t xml:space="preserve">require consumers to have a degree of literacy and numeracy, they </w:t>
      </w:r>
      <w:r w:rsidR="006D5138">
        <w:t>may not be easily understood by all population groups</w:t>
      </w:r>
      <w:r w:rsidR="006D5138">
        <w:rPr>
          <w:rStyle w:val="FootnoteReference"/>
          <w:rFonts w:eastAsiaTheme="majorEastAsia"/>
        </w:rPr>
        <w:footnoteReference w:id="155"/>
      </w:r>
      <w:r w:rsidR="00347B5C">
        <w:t>. Poor literacy or numeracy</w:t>
      </w:r>
      <w:r w:rsidR="006D5138">
        <w:t xml:space="preserve"> may be common in the </w:t>
      </w:r>
      <w:r w:rsidR="00432739">
        <w:t xml:space="preserve">Australian and New Zealand </w:t>
      </w:r>
      <w:r w:rsidR="006D5138">
        <w:t>population</w:t>
      </w:r>
      <w:r w:rsidR="006D5138">
        <w:rPr>
          <w:rStyle w:val="FootnoteReference"/>
          <w:rFonts w:eastAsiaTheme="majorEastAsia"/>
        </w:rPr>
        <w:footnoteReference w:id="156"/>
      </w:r>
      <w:r w:rsidR="006D5138" w:rsidRPr="00D2071A">
        <w:rPr>
          <w:vertAlign w:val="superscript"/>
        </w:rPr>
        <w:t>,</w:t>
      </w:r>
      <w:r w:rsidR="006D5138">
        <w:rPr>
          <w:rStyle w:val="FootnoteReference"/>
          <w:rFonts w:eastAsiaTheme="majorEastAsia"/>
        </w:rPr>
        <w:footnoteReference w:id="157"/>
      </w:r>
      <w:r w:rsidR="006D5138">
        <w:t xml:space="preserve"> and particularly amongst those with lower education levels and Indigenous groups</w:t>
      </w:r>
      <w:r w:rsidR="006D5138">
        <w:rPr>
          <w:rStyle w:val="FootnoteReference"/>
          <w:rFonts w:eastAsiaTheme="majorEastAsia"/>
        </w:rPr>
        <w:footnoteReference w:id="158"/>
      </w:r>
      <w:r w:rsidR="006D5138" w:rsidRPr="00D2071A">
        <w:rPr>
          <w:vertAlign w:val="superscript"/>
        </w:rPr>
        <w:t>,</w:t>
      </w:r>
      <w:r w:rsidR="006D5138">
        <w:rPr>
          <w:rStyle w:val="FootnoteReference"/>
          <w:rFonts w:eastAsiaTheme="majorEastAsia"/>
        </w:rPr>
        <w:footnoteReference w:id="159"/>
      </w:r>
      <w:r w:rsidR="006D5138">
        <w:t xml:space="preserve"> who are also more likely to have poorer health outcomes</w:t>
      </w:r>
      <w:r w:rsidR="006D5138">
        <w:rPr>
          <w:rStyle w:val="FootnoteReference"/>
          <w:rFonts w:eastAsiaTheme="majorEastAsia"/>
        </w:rPr>
        <w:footnoteReference w:id="160"/>
      </w:r>
      <w:r w:rsidR="006D5138" w:rsidRPr="00D2071A">
        <w:rPr>
          <w:vertAlign w:val="superscript"/>
        </w:rPr>
        <w:t>,</w:t>
      </w:r>
      <w:r w:rsidR="006D5138">
        <w:rPr>
          <w:rStyle w:val="FootnoteReference"/>
          <w:rFonts w:eastAsiaTheme="majorEastAsia"/>
        </w:rPr>
        <w:footnoteReference w:id="161"/>
      </w:r>
      <w:r w:rsidR="00593A73">
        <w:t>. Each of the proposed options includes a level of education to support consume</w:t>
      </w:r>
      <w:r w:rsidR="00995E41">
        <w:t>rs to understand the labelling.</w:t>
      </w:r>
    </w:p>
    <w:p w14:paraId="5DEC449E" w14:textId="162F432E" w:rsidR="006D5138" w:rsidRDefault="006D5138" w:rsidP="00BC587F">
      <w:r>
        <w:t xml:space="preserve">Pictorial labels (Option 6) may be </w:t>
      </w:r>
      <w:r w:rsidR="00EA7D46">
        <w:t>more accessible to all consumers due to</w:t>
      </w:r>
      <w:r>
        <w:t xml:space="preserve"> the simplicity and visual nature of this option</w:t>
      </w:r>
      <w:r>
        <w:rPr>
          <w:rStyle w:val="FootnoteReference"/>
        </w:rPr>
        <w:footnoteReference w:id="162"/>
      </w:r>
      <w:r>
        <w:t xml:space="preserve">. </w:t>
      </w:r>
      <w:r w:rsidR="00EA7D46">
        <w:t>This labelling may be better understood by those from</w:t>
      </w:r>
      <w:r>
        <w:t xml:space="preserve"> disadvantaged backgrounds, those with lower levels of literacy and numeracy</w:t>
      </w:r>
      <w:r>
        <w:rPr>
          <w:rStyle w:val="FootnoteReference"/>
        </w:rPr>
        <w:footnoteReference w:id="163"/>
      </w:r>
      <w:r w:rsidRPr="003B4E05">
        <w:rPr>
          <w:vertAlign w:val="superscript"/>
        </w:rPr>
        <w:t>,</w:t>
      </w:r>
      <w:r>
        <w:rPr>
          <w:rStyle w:val="FootnoteReference"/>
        </w:rPr>
        <w:footnoteReference w:id="164"/>
      </w:r>
      <w:r>
        <w:t xml:space="preserve"> and those who spea</w:t>
      </w:r>
      <w:r w:rsidR="00CD54FA">
        <w:t>k English as a second language.</w:t>
      </w:r>
    </w:p>
    <w:p w14:paraId="2E953E16" w14:textId="1DEA8FA5" w:rsidR="00B57C34" w:rsidRDefault="009320D8" w:rsidP="00314A5D">
      <w:pPr>
        <w:pStyle w:val="Heading2"/>
      </w:pPr>
      <w:bookmarkStart w:id="220" w:name="_Toc6323624"/>
      <w:r>
        <w:t>Impacts</w:t>
      </w:r>
      <w:bookmarkEnd w:id="220"/>
    </w:p>
    <w:p w14:paraId="1E5B9DA9" w14:textId="2319CD14" w:rsidR="00B57C34" w:rsidRDefault="004F3B1B" w:rsidP="00BC587F">
      <w:r>
        <w:t>Each of the feasible options ha</w:t>
      </w:r>
      <w:r w:rsidR="00801A90">
        <w:t>s</w:t>
      </w:r>
      <w:r w:rsidR="00F46596">
        <w:t xml:space="preserve"> financial</w:t>
      </w:r>
      <w:r w:rsidR="00B57C34">
        <w:t xml:space="preserve"> costs to implement, and broader </w:t>
      </w:r>
      <w:r w:rsidR="00F46596">
        <w:t xml:space="preserve">non-financial </w:t>
      </w:r>
      <w:r w:rsidR="00B57C34">
        <w:t>costs</w:t>
      </w:r>
      <w:r w:rsidR="00AA37B6">
        <w:t xml:space="preserve">. </w:t>
      </w:r>
      <w:r w:rsidR="00F46596">
        <w:t>T</w:t>
      </w:r>
      <w:r w:rsidR="00CD54FA">
        <w:t>hese costs are discussed below.</w:t>
      </w:r>
    </w:p>
    <w:p w14:paraId="317389B4" w14:textId="491478E0" w:rsidR="00F46596" w:rsidRPr="00A16691" w:rsidRDefault="009320D8" w:rsidP="00314A5D">
      <w:pPr>
        <w:pStyle w:val="Heading3"/>
      </w:pPr>
      <w:r>
        <w:t>Impacts on</w:t>
      </w:r>
      <w:r w:rsidR="00F46596" w:rsidRPr="00A16691">
        <w:t xml:space="preserve"> the food </w:t>
      </w:r>
      <w:proofErr w:type="gramStart"/>
      <w:r w:rsidR="00F46596" w:rsidRPr="00A16691">
        <w:t>industry</w:t>
      </w:r>
      <w:proofErr w:type="gramEnd"/>
    </w:p>
    <w:p w14:paraId="3187BB53" w14:textId="43DE9440" w:rsidR="00E36CE4" w:rsidRDefault="00967587" w:rsidP="00BC587F">
      <w:r>
        <w:t>Submissions from the food i</w:t>
      </w:r>
      <w:r w:rsidR="00546430">
        <w:t xml:space="preserve">ndustry </w:t>
      </w:r>
      <w:r>
        <w:t xml:space="preserve">to the stakeholder consultation </w:t>
      </w:r>
      <w:r w:rsidR="00546430">
        <w:t xml:space="preserve">indicated that each of the feasible options would impact their business. </w:t>
      </w:r>
      <w:r w:rsidR="000B3384">
        <w:t xml:space="preserve">Industry identified costs </w:t>
      </w:r>
      <w:r>
        <w:t>associated with l</w:t>
      </w:r>
      <w:r w:rsidR="00F46596" w:rsidRPr="00CB626B">
        <w:t xml:space="preserve">abelling changes </w:t>
      </w:r>
      <w:r w:rsidR="000B3384">
        <w:t>including</w:t>
      </w:r>
      <w:r>
        <w:t xml:space="preserve"> label re-design,</w:t>
      </w:r>
      <w:r w:rsidR="000B3384">
        <w:t xml:space="preserve"> changing other elements of the label such as nutrition content claims,</w:t>
      </w:r>
      <w:r w:rsidR="000B3384" w:rsidRPr="00CB626B">
        <w:t xml:space="preserve"> </w:t>
      </w:r>
      <w:r w:rsidR="00F46596" w:rsidRPr="00CB626B">
        <w:t>printing costs</w:t>
      </w:r>
      <w:r>
        <w:t>,</w:t>
      </w:r>
      <w:r w:rsidRPr="00967587">
        <w:rPr>
          <w:lang w:val="en-GB" w:eastAsia="en-GB"/>
        </w:rPr>
        <w:t xml:space="preserve"> </w:t>
      </w:r>
      <w:r>
        <w:rPr>
          <w:lang w:val="en-GB" w:eastAsia="en-GB"/>
        </w:rPr>
        <w:t>training staff,</w:t>
      </w:r>
      <w:r w:rsidR="000B3384">
        <w:t xml:space="preserve"> </w:t>
      </w:r>
      <w:r w:rsidR="00635546">
        <w:t xml:space="preserve">changing record keeping systems and computer programs, obtaining information from ingredient </w:t>
      </w:r>
      <w:proofErr w:type="gramStart"/>
      <w:r w:rsidR="00635546">
        <w:t>suppliers</w:t>
      </w:r>
      <w:proofErr w:type="gramEnd"/>
      <w:r w:rsidR="00635546">
        <w:t xml:space="preserve"> and updating websites. Industry also indicated there would be costs associated with obtaining legal advice, educating co</w:t>
      </w:r>
      <w:r w:rsidR="00AE293C">
        <w:t>nsumers about changed labelling and</w:t>
      </w:r>
      <w:r w:rsidR="00635546">
        <w:t xml:space="preserve"> managing increased </w:t>
      </w:r>
      <w:r w:rsidR="00635546" w:rsidRPr="00DA1E57">
        <w:rPr>
          <w:lang w:val="en-GB" w:eastAsia="en-GB"/>
        </w:rPr>
        <w:t xml:space="preserve">calls </w:t>
      </w:r>
      <w:r w:rsidR="00635546">
        <w:rPr>
          <w:lang w:val="en-GB" w:eastAsia="en-GB"/>
        </w:rPr>
        <w:t>to consumer help lines</w:t>
      </w:r>
      <w:r w:rsidR="00635546">
        <w:t>.</w:t>
      </w:r>
    </w:p>
    <w:p w14:paraId="4CEA2414" w14:textId="28D0B812" w:rsidR="006625BA" w:rsidRDefault="006625BA" w:rsidP="00BC587F">
      <w:r w:rsidRPr="00166D40">
        <w:t>Costs to industry may be disproportionately borne by small businesses, which are likely to be less equipped to calculate the added sugars content of their foods and may change their food labels less frequently than large businesses.</w:t>
      </w:r>
    </w:p>
    <w:p w14:paraId="29468F63" w14:textId="5C19946D" w:rsidR="00635546" w:rsidRDefault="00E36CE4" w:rsidP="00BC587F">
      <w:r>
        <w:t>Label re-design and printing costs are likely to be greatest for Option 6 due to the space occ</w:t>
      </w:r>
      <w:r w:rsidR="000F3E87">
        <w:t>upied by the pictorial labels</w:t>
      </w:r>
      <w:r w:rsidR="00063937">
        <w:t>, and depending on the approach may require printing of additional colours not already on the food label</w:t>
      </w:r>
      <w:r w:rsidR="000F3E87">
        <w:t xml:space="preserve">. </w:t>
      </w:r>
      <w:r>
        <w:t>Options 3 and 4 are minor changes to existing elem</w:t>
      </w:r>
      <w:r w:rsidR="00AE293C">
        <w:t xml:space="preserve">ents of the food label and are less likely </w:t>
      </w:r>
      <w:r>
        <w:t>to r</w:t>
      </w:r>
      <w:r w:rsidR="00CD54FA">
        <w:t>equire a major label re-design.</w:t>
      </w:r>
    </w:p>
    <w:p w14:paraId="73AB9027" w14:textId="2E590B94" w:rsidR="000B3384" w:rsidRDefault="00635546" w:rsidP="00BC587F">
      <w:r>
        <w:t xml:space="preserve">For Options 4 and </w:t>
      </w:r>
      <w:r w:rsidR="006B14DC">
        <w:t xml:space="preserve">Option </w:t>
      </w:r>
      <w:r>
        <w:t>6</w:t>
      </w:r>
      <w:r w:rsidR="000F3E87">
        <w:rPr>
          <w:rStyle w:val="FootnoteReference"/>
        </w:rPr>
        <w:footnoteReference w:id="165"/>
      </w:r>
      <w:r>
        <w:t xml:space="preserve"> t</w:t>
      </w:r>
      <w:r w:rsidR="000B3384" w:rsidRPr="00CB626B">
        <w:t xml:space="preserve">here </w:t>
      </w:r>
      <w:r w:rsidR="000B3384">
        <w:t>would also be</w:t>
      </w:r>
      <w:r w:rsidR="000B3384" w:rsidRPr="00CB626B">
        <w:t xml:space="preserve"> cost</w:t>
      </w:r>
      <w:r w:rsidR="00432739">
        <w:t>s</w:t>
      </w:r>
      <w:r w:rsidR="000B3384" w:rsidRPr="00CB626B">
        <w:t xml:space="preserve"> associated </w:t>
      </w:r>
      <w:r w:rsidR="000B3384">
        <w:t xml:space="preserve">with </w:t>
      </w:r>
      <w:r w:rsidR="00C82DA8">
        <w:t>quantifying</w:t>
      </w:r>
      <w:r w:rsidR="000B3384" w:rsidRPr="00CB626B">
        <w:t xml:space="preserve"> added sugars </w:t>
      </w:r>
      <w:r w:rsidR="00C82DA8">
        <w:t>in</w:t>
      </w:r>
      <w:r w:rsidR="000B3384" w:rsidRPr="00CB626B">
        <w:t xml:space="preserve"> foods, </w:t>
      </w:r>
      <w:r w:rsidR="00C82DA8">
        <w:t xml:space="preserve">which may be complex </w:t>
      </w:r>
      <w:r w:rsidR="000B3384" w:rsidRPr="00CB626B">
        <w:t>for foods which contain both naturally occurring sugar</w:t>
      </w:r>
      <w:r w:rsidR="00853CB1">
        <w:t>s</w:t>
      </w:r>
      <w:r w:rsidR="000B3384" w:rsidRPr="00CB626B">
        <w:t xml:space="preserve"> and added sugars</w:t>
      </w:r>
      <w:r w:rsidR="00063937">
        <w:t>, or fermented foods,</w:t>
      </w:r>
      <w:r w:rsidR="00AE293C">
        <w:t xml:space="preserve"> as there are no analytical methods to quantify a food’s added sugars content</w:t>
      </w:r>
      <w:r w:rsidR="000B3384" w:rsidRPr="00CB626B">
        <w:t>.</w:t>
      </w:r>
      <w:r w:rsidR="000F3E87">
        <w:t xml:space="preserve"> </w:t>
      </w:r>
      <w:r w:rsidR="00AE293C">
        <w:t>Some i</w:t>
      </w:r>
      <w:r w:rsidR="00967587" w:rsidRPr="00852FF3">
        <w:t xml:space="preserve">ndustry submissions </w:t>
      </w:r>
      <w:r w:rsidR="00AE293C">
        <w:t xml:space="preserve">raised concerns about the lack of analytical </w:t>
      </w:r>
      <w:proofErr w:type="gramStart"/>
      <w:r w:rsidR="00AE293C">
        <w:t>methods</w:t>
      </w:r>
      <w:proofErr w:type="gramEnd"/>
      <w:r w:rsidR="00AE293C">
        <w:t xml:space="preserve"> and some </w:t>
      </w:r>
      <w:r w:rsidR="00967587" w:rsidRPr="00852FF3">
        <w:t xml:space="preserve">called for </w:t>
      </w:r>
      <w:r w:rsidR="00967587">
        <w:t>assistance</w:t>
      </w:r>
      <w:r w:rsidR="00967587" w:rsidRPr="00852FF3">
        <w:t xml:space="preserve"> in the form of tools and resources that may support implement</w:t>
      </w:r>
      <w:r w:rsidR="00967587">
        <w:t>ation of</w:t>
      </w:r>
      <w:r w:rsidR="00967587" w:rsidRPr="00852FF3">
        <w:t xml:space="preserve"> this labelling option, such as a NIP calculator or industry guidance</w:t>
      </w:r>
      <w:r w:rsidR="000B3384">
        <w:t>.</w:t>
      </w:r>
      <w:r w:rsidR="000F3E87" w:rsidRPr="000F3E87">
        <w:t xml:space="preserve"> </w:t>
      </w:r>
      <w:r w:rsidR="00AE293C">
        <w:t>It is relevant to note that f</w:t>
      </w:r>
      <w:r w:rsidR="000F3E87">
        <w:t xml:space="preserve">or foods which only contain added sugars, such as soft drinks and some </w:t>
      </w:r>
      <w:r w:rsidR="00AE293C">
        <w:t>confectionary, concerns about the lack of analytical methods are</w:t>
      </w:r>
      <w:r w:rsidR="000F3E87">
        <w:t xml:space="preserve"> not relevant as total sugars (which is already required to be labelled) is equivalent to </w:t>
      </w:r>
      <w:r w:rsidR="00AE293C">
        <w:t>added sugars and therefore added sugars cou</w:t>
      </w:r>
      <w:r w:rsidR="006B14DC">
        <w:t xml:space="preserve">ld easily be </w:t>
      </w:r>
      <w:r w:rsidR="00432739">
        <w:t>quantified</w:t>
      </w:r>
      <w:r w:rsidR="006B14DC">
        <w:t xml:space="preserve">. </w:t>
      </w:r>
      <w:r w:rsidR="00AE293C">
        <w:t>It is also relevant to note that methods to quantify a food</w:t>
      </w:r>
      <w:r w:rsidR="004F3B1B">
        <w:t>’</w:t>
      </w:r>
      <w:r w:rsidR="00AE293C">
        <w:t>s added sugars content through a recipe-based calculation approach are available</w:t>
      </w:r>
      <w:r w:rsidR="006B14DC">
        <w:rPr>
          <w:rStyle w:val="FootnoteReference"/>
        </w:rPr>
        <w:footnoteReference w:id="166"/>
      </w:r>
      <w:r w:rsidR="00995E41">
        <w:t>.</w:t>
      </w:r>
    </w:p>
    <w:p w14:paraId="2829F555" w14:textId="61C3E607" w:rsidR="00653AA7" w:rsidRDefault="000B3384" w:rsidP="00BC587F">
      <w:r>
        <w:t xml:space="preserve">Some industry submissions made estimates of the costs involved in changing food labels to include more information about </w:t>
      </w:r>
      <w:proofErr w:type="gramStart"/>
      <w:r>
        <w:t>sugars, or</w:t>
      </w:r>
      <w:proofErr w:type="gramEnd"/>
      <w:r>
        <w:t xml:space="preserve"> gave examples of the costs involved in other label cha</w:t>
      </w:r>
      <w:r w:rsidR="00774A05">
        <w:t>nges such as Country of Origin L</w:t>
      </w:r>
      <w:r>
        <w:t xml:space="preserve">abelling. </w:t>
      </w:r>
      <w:r w:rsidR="00F757E5">
        <w:t xml:space="preserve">However, industry submissions noted that it was difficult to accurately predict costs associated with label changes until more implementation details are known such as types of sugars that would be considered as ‘added </w:t>
      </w:r>
      <w:proofErr w:type="gramStart"/>
      <w:r w:rsidR="00F757E5">
        <w:t>sugars’</w:t>
      </w:r>
      <w:proofErr w:type="gramEnd"/>
      <w:r w:rsidR="00F757E5">
        <w:t xml:space="preserve"> and which food products would be affected by labelling changes. Transition </w:t>
      </w:r>
      <w:r w:rsidR="00AE293C">
        <w:t>periods</w:t>
      </w:r>
      <w:r w:rsidR="00F757E5">
        <w:t xml:space="preserve"> also impact industry costs as longer transition periods allow industry to make label changes as part of otherwise schedule</w:t>
      </w:r>
      <w:r w:rsidR="00774A05">
        <w:t>d</w:t>
      </w:r>
      <w:r w:rsidR="00F757E5">
        <w:t xml:space="preserve"> label updates. Because of these factors, t</w:t>
      </w:r>
      <w:r w:rsidR="00AE293C">
        <w:t>he</w:t>
      </w:r>
      <w:r>
        <w:t xml:space="preserve"> cost</w:t>
      </w:r>
      <w:r w:rsidR="00F757E5">
        <w:t xml:space="preserve"> estimates provided by industry</w:t>
      </w:r>
      <w:r>
        <w:t xml:space="preserve"> varied considerably</w:t>
      </w:r>
      <w:r w:rsidR="00277106">
        <w:t xml:space="preserve"> with </w:t>
      </w:r>
      <w:r w:rsidR="00C82DA8">
        <w:t xml:space="preserve">estimates </w:t>
      </w:r>
      <w:r w:rsidR="00AE293C">
        <w:t>ranging</w:t>
      </w:r>
      <w:r>
        <w:t xml:space="preserve"> from $150 AUD up to $10,000 AUD per product line/stock keeping unit (SKU)</w:t>
      </w:r>
      <w:r w:rsidR="00C82DA8">
        <w:t xml:space="preserve"> to incorporate added sugars</w:t>
      </w:r>
      <w:r w:rsidR="00C82DA8" w:rsidRPr="00C82DA8">
        <w:t xml:space="preserve"> </w:t>
      </w:r>
      <w:r w:rsidR="00C82DA8">
        <w:t>information on food labels.</w:t>
      </w:r>
      <w:r w:rsidR="00690736">
        <w:t xml:space="preserve"> Industry was asked whether costs associated with label changes would be passed onto consumers however no consistent response was received, with many noting that more implementation details would be require</w:t>
      </w:r>
      <w:r w:rsidR="00CD54FA">
        <w:t>d to fully consider that issue.</w:t>
      </w:r>
    </w:p>
    <w:p w14:paraId="54C5E8E2" w14:textId="7E55864D" w:rsidR="00AE2EDC" w:rsidRDefault="00653AA7" w:rsidP="00BC587F">
      <w:r>
        <w:t>Submissions from the public health and academic sectors cited a</w:t>
      </w:r>
      <w:r w:rsidR="00AE293C">
        <w:t>n</w:t>
      </w:r>
      <w:r>
        <w:t xml:space="preserve"> </w:t>
      </w:r>
      <w:r w:rsidR="00AE293C">
        <w:t>economic</w:t>
      </w:r>
      <w:r>
        <w:t xml:space="preserve"> analysis</w:t>
      </w:r>
      <w:r w:rsidR="00AE293C">
        <w:rPr>
          <w:rStyle w:val="FootnoteReference"/>
          <w:rFonts w:eastAsiaTheme="majorEastAsia"/>
        </w:rPr>
        <w:footnoteReference w:id="167"/>
      </w:r>
      <w:r w:rsidR="00AE293C">
        <w:t xml:space="preserve"> </w:t>
      </w:r>
      <w:r>
        <w:t>prepared in 2014</w:t>
      </w:r>
      <w:r w:rsidR="00AE293C">
        <w:t xml:space="preserve"> </w:t>
      </w:r>
      <w:r>
        <w:t>which made estimates of the cost of food label changes of varying complexities. Costs associated with a label change of minor complexity (</w:t>
      </w:r>
      <w:proofErr w:type="gramStart"/>
      <w:r>
        <w:t>e.g.</w:t>
      </w:r>
      <w:proofErr w:type="gramEnd"/>
      <w:r>
        <w:t xml:space="preserve"> change to the contents of a NIP but no change to the label layout) were estimated to be $2,390 AUD per SKU. Label changes of a medium complexity (</w:t>
      </w:r>
      <w:proofErr w:type="gramStart"/>
      <w:r>
        <w:t>e.g.</w:t>
      </w:r>
      <w:proofErr w:type="gramEnd"/>
      <w:r>
        <w:t xml:space="preserve"> change to the contents of a NIP involving changes to the label layout) were estimated to be $5,624 AUD per SKU.</w:t>
      </w:r>
    </w:p>
    <w:p w14:paraId="37650467" w14:textId="13665617" w:rsidR="00653AA7" w:rsidRDefault="00277106" w:rsidP="00BC587F">
      <w:r>
        <w:t xml:space="preserve">As this document does not intend to be a detailed economic analysis, comprehensive costs have not been assessed and a complete cost analysis would be undertaken </w:t>
      </w:r>
      <w:r w:rsidR="00853CB1">
        <w:t xml:space="preserve">before </w:t>
      </w:r>
      <w:r>
        <w:t xml:space="preserve">the implementation of the </w:t>
      </w:r>
      <w:r w:rsidR="00F25EF3">
        <w:t>any</w:t>
      </w:r>
      <w:r w:rsidR="00CD54FA">
        <w:t xml:space="preserve"> option.</w:t>
      </w:r>
    </w:p>
    <w:p w14:paraId="402127E0" w14:textId="44A552D5" w:rsidR="005B2056" w:rsidRPr="00CB626B" w:rsidRDefault="000B3384" w:rsidP="00BC587F">
      <w:r>
        <w:t>Industry also noted that c</w:t>
      </w:r>
      <w:r w:rsidR="00546430">
        <w:t xml:space="preserve">hanges to sugars labelling may impact on trade opportunities and require products </w:t>
      </w:r>
      <w:r w:rsidR="00F55738">
        <w:t xml:space="preserve">to be labelled </w:t>
      </w:r>
      <w:r w:rsidR="00546430">
        <w:t>for export markets differently to products for domestic markets</w:t>
      </w:r>
      <w:r w:rsidR="00063937">
        <w:t xml:space="preserve"> (which exporters currently </w:t>
      </w:r>
      <w:proofErr w:type="gramStart"/>
      <w:r w:rsidR="00063937">
        <w:t>have to</w:t>
      </w:r>
      <w:proofErr w:type="gramEnd"/>
      <w:r w:rsidR="00063937">
        <w:t xml:space="preserve"> do)</w:t>
      </w:r>
      <w:r w:rsidR="00546430">
        <w:t xml:space="preserve">. </w:t>
      </w:r>
      <w:r>
        <w:t>Some industry submissions noted that added sugar</w:t>
      </w:r>
      <w:r w:rsidR="00774A05">
        <w:t>s</w:t>
      </w:r>
      <w:r>
        <w:t xml:space="preserve"> labelling is not part of the CODEX food labelling standards</w:t>
      </w:r>
      <w:r>
        <w:rPr>
          <w:rStyle w:val="FootnoteReference"/>
          <w:rFonts w:eastAsiaTheme="majorEastAsia"/>
        </w:rPr>
        <w:footnoteReference w:id="168"/>
      </w:r>
      <w:r>
        <w:t xml:space="preserve"> which set a minimum nutrition labelling standard to help to facilitate trade</w:t>
      </w:r>
      <w:r w:rsidR="00653AA7">
        <w:t>.</w:t>
      </w:r>
      <w:r w:rsidR="00277106">
        <w:t xml:space="preserve"> Trade impacts and potential notifications to the World Trade Organization would be considered as part of </w:t>
      </w:r>
      <w:r w:rsidR="00F25EF3">
        <w:t xml:space="preserve">the implementation of any </w:t>
      </w:r>
      <w:r w:rsidR="00CD54FA">
        <w:t>option.</w:t>
      </w:r>
    </w:p>
    <w:p w14:paraId="36BCC333" w14:textId="2D1CF135" w:rsidR="00F46596" w:rsidRPr="00A16691" w:rsidRDefault="00F46596" w:rsidP="00314A5D">
      <w:pPr>
        <w:pStyle w:val="Heading3"/>
      </w:pPr>
      <w:r w:rsidRPr="00A16691">
        <w:t xml:space="preserve">Impacts on other elements of a food </w:t>
      </w:r>
      <w:proofErr w:type="gramStart"/>
      <w:r w:rsidRPr="00A16691">
        <w:t>label</w:t>
      </w:r>
      <w:proofErr w:type="gramEnd"/>
    </w:p>
    <w:p w14:paraId="25B11460" w14:textId="0160891E" w:rsidR="00AE2EDC" w:rsidRDefault="00F46596" w:rsidP="00BC587F">
      <w:r w:rsidRPr="00CB626B">
        <w:t xml:space="preserve">Given that a food label is a limited space, </w:t>
      </w:r>
      <w:r w:rsidR="00071483">
        <w:t>it is possible</w:t>
      </w:r>
      <w:r w:rsidR="00DA2B4D">
        <w:t xml:space="preserve"> that new sugars</w:t>
      </w:r>
      <w:r w:rsidRPr="00CB626B">
        <w:t xml:space="preserve"> information may push</w:t>
      </w:r>
      <w:r w:rsidR="00A84C47">
        <w:t xml:space="preserve"> </w:t>
      </w:r>
      <w:r w:rsidRPr="00CB626B">
        <w:t>off other voluntary elements of food label, such as the HSR.</w:t>
      </w:r>
      <w:r w:rsidR="00F55738">
        <w:t xml:space="preserve"> As the HSR </w:t>
      </w:r>
      <w:proofErr w:type="gramStart"/>
      <w:r w:rsidR="00F55738">
        <w:t>takes into account</w:t>
      </w:r>
      <w:proofErr w:type="gramEnd"/>
      <w:r w:rsidRPr="00CB626B">
        <w:t xml:space="preserve"> several nutrients and food components</w:t>
      </w:r>
      <w:r w:rsidR="00DA2B4D">
        <w:t xml:space="preserve"> (energy, saturated fat, sodium and fruit, vegetable</w:t>
      </w:r>
      <w:r w:rsidRPr="00CB626B">
        <w:t>,</w:t>
      </w:r>
      <w:r w:rsidR="00DA2B4D">
        <w:t xml:space="preserve"> nut and legume content)</w:t>
      </w:r>
      <w:r w:rsidRPr="00CB626B">
        <w:t xml:space="preserve"> if it were removed and replaced with added sugars labelling, there would be less information available on a food label to allow consumers to make informed choices in support of the dietary guidelines. </w:t>
      </w:r>
      <w:r w:rsidR="00071483">
        <w:t xml:space="preserve">New </w:t>
      </w:r>
      <w:r w:rsidRPr="00CB626B">
        <w:t xml:space="preserve">sugars </w:t>
      </w:r>
      <w:r w:rsidR="00071483">
        <w:t>labelling information</w:t>
      </w:r>
      <w:r w:rsidRPr="00CB626B">
        <w:t xml:space="preserve"> could also be adopted at the expense of non-health related informati</w:t>
      </w:r>
      <w:r w:rsidR="00CD54FA">
        <w:t>on such as recycling messages.</w:t>
      </w:r>
    </w:p>
    <w:p w14:paraId="411CEA15" w14:textId="07DB1042" w:rsidR="00DA2B4D" w:rsidRDefault="00AE2EDC" w:rsidP="00BC587F">
      <w:r>
        <w:t xml:space="preserve">Due to the label space occupied by pictorial labelling, </w:t>
      </w:r>
      <w:r w:rsidR="00F55738">
        <w:t>Option 6 is</w:t>
      </w:r>
      <w:r>
        <w:t xml:space="preserve"> most likely to result in other information being removed from the food label. Most submissions from the food industry indicated this option would require removal of another element of the food label due to label space limitations, with some industry submissions indicating Option 6 would require the removal of the HSR. Some submitters also indicated they believed two front-of-pack pictorial labels would be confusing for consumers. However, if Option 6 was restricted to only </w:t>
      </w:r>
      <w:r w:rsidR="00A14533">
        <w:t>sugary beverages</w:t>
      </w:r>
      <w:r w:rsidR="001E56A2">
        <w:t xml:space="preserve"> </w:t>
      </w:r>
      <w:r w:rsidR="00A14533">
        <w:t xml:space="preserve">/ </w:t>
      </w:r>
      <w:r>
        <w:t>sugar-sweetened beverages, it would limit this impact as the full HSR is not widely adopted in this product category</w:t>
      </w:r>
      <w:r>
        <w:rPr>
          <w:rStyle w:val="FootnoteReference"/>
        </w:rPr>
        <w:footnoteReference w:id="169"/>
      </w:r>
      <w:r w:rsidR="00CD54FA">
        <w:t>.</w:t>
      </w:r>
    </w:p>
    <w:p w14:paraId="6ED6431C" w14:textId="3DBD076F" w:rsidR="00071483" w:rsidRDefault="00F55738" w:rsidP="00BC587F">
      <w:r>
        <w:t>For Option 4, including added</w:t>
      </w:r>
      <w:r w:rsidR="00DA2B4D">
        <w:t xml:space="preserve"> sugars </w:t>
      </w:r>
      <w:r>
        <w:t>in</w:t>
      </w:r>
      <w:r w:rsidR="00DA2B4D">
        <w:t xml:space="preserve"> </w:t>
      </w:r>
      <w:r w:rsidR="00432739">
        <w:t xml:space="preserve">the </w:t>
      </w:r>
      <w:r w:rsidR="00DA2B4D">
        <w:t xml:space="preserve">NIP would only involve one additional line in the existing NIP, which is not a significant label change. </w:t>
      </w:r>
      <w:r w:rsidR="00F757E5">
        <w:t>However, some industry submissions commented that this option may require other label elements to be removed. For example, o</w:t>
      </w:r>
      <w:r w:rsidR="00DA2B4D">
        <w:t xml:space="preserve">ne </w:t>
      </w:r>
      <w:r w:rsidR="00F757E5">
        <w:t xml:space="preserve">industry </w:t>
      </w:r>
      <w:r w:rsidR="00DA2B4D">
        <w:t>submitter</w:t>
      </w:r>
      <w:r w:rsidR="00DA2B4D" w:rsidRPr="00E755C6">
        <w:t xml:space="preserve"> commented they ma</w:t>
      </w:r>
      <w:r w:rsidR="00DA2B4D">
        <w:t>y remove voluntary information from the NIP such as potassium or trans-fat</w:t>
      </w:r>
      <w:r w:rsidR="007575C9">
        <w:t xml:space="preserve"> content</w:t>
      </w:r>
      <w:r w:rsidR="00DA2B4D">
        <w:t>, and one submitter commented that products in small packaging may require</w:t>
      </w:r>
      <w:r w:rsidR="00CD54FA">
        <w:t xml:space="preserve"> a label re-design.</w:t>
      </w:r>
    </w:p>
    <w:p w14:paraId="3064CB58" w14:textId="2EB60FA1" w:rsidR="003835B5" w:rsidRDefault="00A8569A" w:rsidP="00BC587F">
      <w:r>
        <w:t>The option</w:t>
      </w:r>
      <w:r w:rsidR="00AE2EDC">
        <w:t xml:space="preserve"> least likely to necessitate removal of other informat</w:t>
      </w:r>
      <w:r>
        <w:t>ion on the food label is Option</w:t>
      </w:r>
      <w:r w:rsidR="00CD54FA">
        <w:t xml:space="preserve"> </w:t>
      </w:r>
      <w:r w:rsidR="00AE2EDC">
        <w:t xml:space="preserve">3 as it proposes </w:t>
      </w:r>
      <w:r w:rsidR="00432739">
        <w:t xml:space="preserve">revisions just </w:t>
      </w:r>
      <w:r w:rsidR="00AE2EDC">
        <w:t xml:space="preserve">to the existing statement of ingredients and therefore would not impact on </w:t>
      </w:r>
      <w:r w:rsidR="00CD54FA">
        <w:t>other elements of a food label.</w:t>
      </w:r>
    </w:p>
    <w:p w14:paraId="11786D7E" w14:textId="0F5F37CC" w:rsidR="00635546" w:rsidRPr="005C641F" w:rsidRDefault="00635546" w:rsidP="00314A5D">
      <w:pPr>
        <w:pStyle w:val="Heading3"/>
      </w:pPr>
      <w:r>
        <w:t>Impacts and c</w:t>
      </w:r>
      <w:r w:rsidRPr="005C641F">
        <w:t xml:space="preserve">osts to </w:t>
      </w:r>
      <w:r>
        <w:t xml:space="preserve">Government </w:t>
      </w:r>
      <w:proofErr w:type="gramStart"/>
      <w:r w:rsidRPr="005C641F">
        <w:t>regulators</w:t>
      </w:r>
      <w:proofErr w:type="gramEnd"/>
    </w:p>
    <w:p w14:paraId="6D00DC19" w14:textId="3903F730" w:rsidR="00AE2EDC" w:rsidRDefault="00AE2EDC" w:rsidP="00BC587F">
      <w:r>
        <w:t>The feasible options would impact Government regulators, the</w:t>
      </w:r>
      <w:r w:rsidR="00774A05">
        <w:t xml:space="preserve"> extent to which would depend</w:t>
      </w:r>
      <w:r>
        <w:t xml:space="preserve"> on the implementation mechanism (</w:t>
      </w:r>
      <w:proofErr w:type="gramStart"/>
      <w:r>
        <w:t>e.g.</w:t>
      </w:r>
      <w:proofErr w:type="gramEnd"/>
      <w:r>
        <w:t xml:space="preserve"> voluntary or mandatory).</w:t>
      </w:r>
      <w:r w:rsidR="0045235D">
        <w:t xml:space="preserve"> If label changes were mandated in the </w:t>
      </w:r>
      <w:r w:rsidR="00774A05">
        <w:t>Code</w:t>
      </w:r>
      <w:r w:rsidR="0045235D">
        <w:t xml:space="preserve">, food regulators would be responsible for enforcement whereas if label changes </w:t>
      </w:r>
      <w:r w:rsidR="00E0601D">
        <w:t xml:space="preserve">were introduced outside of the Code, </w:t>
      </w:r>
      <w:r w:rsidR="0045235D">
        <w:t>regulators of c</w:t>
      </w:r>
      <w:r w:rsidR="00CD54FA">
        <w:t>onsumer law may be responsible.</w:t>
      </w:r>
    </w:p>
    <w:p w14:paraId="18E5729B" w14:textId="3C9779F1" w:rsidR="00635546" w:rsidRDefault="00AE2EDC" w:rsidP="00BC587F">
      <w:r>
        <w:t xml:space="preserve">Submissions from Government </w:t>
      </w:r>
      <w:r w:rsidR="0045235D">
        <w:t xml:space="preserve">food </w:t>
      </w:r>
      <w:r w:rsidR="005B7659">
        <w:t xml:space="preserve">regulators considered </w:t>
      </w:r>
      <w:r>
        <w:t xml:space="preserve">the feasible options may </w:t>
      </w:r>
      <w:r w:rsidR="00F55738">
        <w:t>increase</w:t>
      </w:r>
      <w:r>
        <w:t xml:space="preserve"> </w:t>
      </w:r>
      <w:r w:rsidR="00C9044F">
        <w:t xml:space="preserve">enforcement and </w:t>
      </w:r>
      <w:r>
        <w:t>compliance activities</w:t>
      </w:r>
      <w:r w:rsidR="00C9044F">
        <w:t>, particularly in the initial period o</w:t>
      </w:r>
      <w:r w:rsidR="00432739">
        <w:t>f new labelling. To enforce these</w:t>
      </w:r>
      <w:r w:rsidR="00C9044F">
        <w:t xml:space="preserve"> option</w:t>
      </w:r>
      <w:r w:rsidR="00432739">
        <w:t>s</w:t>
      </w:r>
      <w:r w:rsidR="00C9044F">
        <w:t xml:space="preserve"> within existing resources</w:t>
      </w:r>
      <w:r w:rsidR="00F55738">
        <w:t>,</w:t>
      </w:r>
      <w:r w:rsidR="00C9044F">
        <w:t xml:space="preserve"> other food regulation and enforcement activities may need to be deprioritised. Food regulators may also need to provide </w:t>
      </w:r>
      <w:r>
        <w:t>more education to industry</w:t>
      </w:r>
      <w:r w:rsidR="00C9044F">
        <w:t xml:space="preserve"> to support the implementation of any of the feasible options</w:t>
      </w:r>
      <w:r>
        <w:t>.</w:t>
      </w:r>
    </w:p>
    <w:p w14:paraId="27D774D1" w14:textId="42D32281" w:rsidR="00187B53" w:rsidRDefault="00C9044F" w:rsidP="00BC587F">
      <w:r w:rsidRPr="004F7478">
        <w:t>O</w:t>
      </w:r>
      <w:r w:rsidR="001722C8" w:rsidRPr="004F7478">
        <w:t>ptions 4 and 6</w:t>
      </w:r>
      <w:r w:rsidR="00CE5647">
        <w:t xml:space="preserve"> (depending on the pictorial approach taken) </w:t>
      </w:r>
      <w:r w:rsidRPr="004F7478">
        <w:t>would have a greater impact on regulators as they would be required to verify the quantified added su</w:t>
      </w:r>
      <w:r w:rsidR="001722C8" w:rsidRPr="004F7478">
        <w:t xml:space="preserve">gars information on the label. </w:t>
      </w:r>
      <w:r w:rsidR="0045235D" w:rsidRPr="004F7478">
        <w:t>N</w:t>
      </w:r>
      <w:r w:rsidRPr="004F7478">
        <w:t xml:space="preserve">o food regulators that made submissions to the consultation expressed concerns that Options 4 and 6 could not be regulated or enforced, however, one other food regulator has since expressed concerns about </w:t>
      </w:r>
      <w:r w:rsidR="00985AC6" w:rsidRPr="00A16691">
        <w:t>enforcement due to the lack of analytical methods to quantify a food’s added sugar content</w:t>
      </w:r>
      <w:r w:rsidRPr="004F7478">
        <w:t xml:space="preserve">. One submission from a food regulator commented that enforcement challenges associated with </w:t>
      </w:r>
      <w:r w:rsidR="007575C9">
        <w:t xml:space="preserve">quantified added sugars labelling </w:t>
      </w:r>
      <w:r w:rsidRPr="004F7478">
        <w:t>would not be unique as similar challenges exist with current regulations. For example, currently products which contain a mixture of naturally occurring and added sugars may carry a ‘no added sugar’ claim, and the enforcement of such claims may be conducted using non-analytical methods, such as recipe verification.</w:t>
      </w:r>
      <w:r w:rsidR="00187B53">
        <w:t xml:space="preserve"> E</w:t>
      </w:r>
      <w:r w:rsidR="00187B53" w:rsidRPr="004F7478">
        <w:t xml:space="preserve">nforcement methods and responsibilities would further be considered as part of implementation of </w:t>
      </w:r>
      <w:r w:rsidR="00F25EF3">
        <w:t>any</w:t>
      </w:r>
      <w:r w:rsidR="00187B53" w:rsidRPr="004F7478">
        <w:t xml:space="preserve"> option.</w:t>
      </w:r>
    </w:p>
    <w:p w14:paraId="25F6BDBC" w14:textId="479B87E4" w:rsidR="00187B53" w:rsidRDefault="00187B53" w:rsidP="00BC587F">
      <w:r>
        <w:t>It is relevant to note in the United States</w:t>
      </w:r>
      <w:r w:rsidR="00A84C47">
        <w:t>,</w:t>
      </w:r>
      <w:r>
        <w:t xml:space="preserve"> food manufacturers will be required to maintain records to support declarations of nutrients including added sugars because there are no analytical methods to distinguish between added and intrinsic sugars. This approach is not unique to declarations of a food’s added sugars content and will also be used for various forms of dietary fibre, vitamin E and folate</w:t>
      </w:r>
      <w:r w:rsidR="000B7B2F">
        <w:t>.</w:t>
      </w:r>
      <w:r w:rsidR="000B7B2F" w:rsidRPr="000B7B2F">
        <w:t xml:space="preserve"> </w:t>
      </w:r>
      <w:r w:rsidR="000B7B2F">
        <w:t>The records will allow regulators to verify the declared amount of each nutrient and that such amount is truthful and not misleading</w:t>
      </w:r>
      <w:r>
        <w:rPr>
          <w:rStyle w:val="FootnoteReference"/>
        </w:rPr>
        <w:footnoteReference w:id="170"/>
      </w:r>
      <w:r w:rsidR="000B7B2F">
        <w:t>.</w:t>
      </w:r>
    </w:p>
    <w:p w14:paraId="6F346DF2" w14:textId="006F8DE5" w:rsidR="00F46596" w:rsidRPr="00A16691" w:rsidRDefault="00F46596" w:rsidP="00314A5D">
      <w:pPr>
        <w:pStyle w:val="Heading3"/>
      </w:pPr>
      <w:r w:rsidRPr="00911926">
        <w:t>I</w:t>
      </w:r>
      <w:r w:rsidR="00911926">
        <w:t>mpacts on consumer</w:t>
      </w:r>
      <w:r w:rsidR="00635546">
        <w:t xml:space="preserve"> </w:t>
      </w:r>
      <w:proofErr w:type="gramStart"/>
      <w:r w:rsidR="00635546">
        <w:t>understanding</w:t>
      </w:r>
      <w:proofErr w:type="gramEnd"/>
    </w:p>
    <w:p w14:paraId="0033A892" w14:textId="239004CC" w:rsidR="00635546" w:rsidRDefault="00F419A8" w:rsidP="00BC587F">
      <w:r w:rsidRPr="00A16691">
        <w:t>I</w:t>
      </w:r>
      <w:r w:rsidR="00B8529F" w:rsidRPr="00A16691">
        <w:t>nclusion of added sugar</w:t>
      </w:r>
      <w:r w:rsidR="00654EA5" w:rsidRPr="00A16691">
        <w:t>s</w:t>
      </w:r>
      <w:r w:rsidR="00B8529F" w:rsidRPr="00A16691">
        <w:t xml:space="preserve"> information on nutrition labelling may lead some consumers to place too much emphasis on</w:t>
      </w:r>
      <w:r w:rsidR="00635546">
        <w:t xml:space="preserve"> added</w:t>
      </w:r>
      <w:r w:rsidR="00B8529F" w:rsidRPr="00A16691">
        <w:t xml:space="preserve"> sugar</w:t>
      </w:r>
      <w:r w:rsidR="00654EA5" w:rsidRPr="00A16691">
        <w:t>s</w:t>
      </w:r>
      <w:r w:rsidRPr="00A16691">
        <w:t xml:space="preserve"> at the expense of other negative nutrients such as saturated fat and sodium,</w:t>
      </w:r>
      <w:r w:rsidR="00B8529F" w:rsidRPr="00A16691">
        <w:t xml:space="preserve"> resulting in less accurate evaluations of a food’s overall healthiness</w:t>
      </w:r>
      <w:r w:rsidR="00850DFD" w:rsidRPr="00A16691">
        <w:rPr>
          <w:rStyle w:val="FootnoteReference"/>
        </w:rPr>
        <w:footnoteReference w:id="171"/>
      </w:r>
      <w:r w:rsidR="00CD54FA">
        <w:t>.</w:t>
      </w:r>
    </w:p>
    <w:p w14:paraId="53AF323B" w14:textId="1B0A21B2" w:rsidR="00F419A8" w:rsidRPr="00A16691" w:rsidRDefault="00635546" w:rsidP="00BC587F">
      <w:r>
        <w:t xml:space="preserve">Identifying added sugars on a food label separately to total sugars </w:t>
      </w:r>
      <w:r w:rsidRPr="007E0D22">
        <w:t xml:space="preserve">may lead consumers to believe that added sugars were </w:t>
      </w:r>
      <w:r w:rsidR="00432739">
        <w:t>chemically</w:t>
      </w:r>
      <w:r w:rsidRPr="007E0D22">
        <w:t xml:space="preserve"> different to other </w:t>
      </w:r>
      <w:proofErr w:type="gramStart"/>
      <w:r w:rsidR="00254B05">
        <w:t>sugars</w:t>
      </w:r>
      <w:r w:rsidR="00432739">
        <w:t>, or</w:t>
      </w:r>
      <w:proofErr w:type="gramEnd"/>
      <w:r w:rsidR="00432739">
        <w:t xml:space="preserve"> have a different energy (kilojoule) content</w:t>
      </w:r>
      <w:r w:rsidR="00E4486B">
        <w:t xml:space="preserve"> than intrinsic sugars</w:t>
      </w:r>
      <w:r w:rsidRPr="00254B05">
        <w:t>,</w:t>
      </w:r>
      <w:r>
        <w:t xml:space="preserve"> however, education and label design </w:t>
      </w:r>
      <w:r w:rsidRPr="00B43E92">
        <w:t xml:space="preserve">can </w:t>
      </w:r>
      <w:r>
        <w:t>assist</w:t>
      </w:r>
      <w:r w:rsidRPr="00B43E92">
        <w:t>.</w:t>
      </w:r>
      <w:r>
        <w:t xml:space="preserve"> </w:t>
      </w:r>
      <w:r w:rsidR="00F419A8" w:rsidRPr="00A16691">
        <w:t>Consumers could also be confused if a product was low in added sugars</w:t>
      </w:r>
      <w:r w:rsidR="00F55738">
        <w:t xml:space="preserve"> (and therefore considered to be healthy</w:t>
      </w:r>
      <w:proofErr w:type="gramStart"/>
      <w:r w:rsidR="00F55738">
        <w:t>)</w:t>
      </w:r>
      <w:r w:rsidR="00F419A8" w:rsidRPr="00A16691">
        <w:t>, but</w:t>
      </w:r>
      <w:proofErr w:type="gramEnd"/>
      <w:r w:rsidR="00F419A8" w:rsidRPr="00A16691">
        <w:t xml:space="preserve"> carried a low to moderate HSR</w:t>
      </w:r>
      <w:r w:rsidR="00F55738">
        <w:t xml:space="preserve"> (the higher the HSR, the healthier the product)</w:t>
      </w:r>
      <w:r w:rsidR="00995E41">
        <w:t>.</w:t>
      </w:r>
    </w:p>
    <w:p w14:paraId="4C799BCF" w14:textId="7DA41A82" w:rsidR="00F46596" w:rsidRPr="00A16691" w:rsidRDefault="00F419A8" w:rsidP="00BC587F">
      <w:r w:rsidRPr="00A16691">
        <w:t>This</w:t>
      </w:r>
      <w:r w:rsidR="00911926">
        <w:t xml:space="preserve"> potential negative</w:t>
      </w:r>
      <w:r w:rsidRPr="00A16691">
        <w:t xml:space="preserve"> impact </w:t>
      </w:r>
      <w:r w:rsidR="00911926">
        <w:t xml:space="preserve">applies to each of the </w:t>
      </w:r>
      <w:r w:rsidRPr="00A16691">
        <w:t xml:space="preserve">feasible options, however, given the </w:t>
      </w:r>
      <w:r w:rsidR="00F55738">
        <w:t xml:space="preserve">size and </w:t>
      </w:r>
      <w:r w:rsidRPr="00A16691">
        <w:t xml:space="preserve">prominence of </w:t>
      </w:r>
      <w:r w:rsidR="00F55738">
        <w:t xml:space="preserve">pictorial </w:t>
      </w:r>
      <w:r w:rsidRPr="00A16691">
        <w:t>labell</w:t>
      </w:r>
      <w:r w:rsidR="00F55738">
        <w:t xml:space="preserve">ing, </w:t>
      </w:r>
      <w:r w:rsidRPr="00A16691">
        <w:t xml:space="preserve">Option 6 would draw most attention from consumers. Emphasising </w:t>
      </w:r>
      <w:r w:rsidR="00937BCB">
        <w:t xml:space="preserve">added </w:t>
      </w:r>
      <w:r w:rsidRPr="00A16691">
        <w:t>sugars on the label under Option 6 does not support a holistic approach to food labelling</w:t>
      </w:r>
      <w:r w:rsidR="00F55738">
        <w:t xml:space="preserve"> and does not </w:t>
      </w:r>
      <w:proofErr w:type="gramStart"/>
      <w:r w:rsidRPr="00A16691">
        <w:t>recognises</w:t>
      </w:r>
      <w:proofErr w:type="gramEnd"/>
      <w:r w:rsidRPr="00A16691">
        <w:t xml:space="preserve"> the</w:t>
      </w:r>
      <w:r w:rsidR="005015D2">
        <w:t xml:space="preserve"> advice in the dietary guidelines about the</w:t>
      </w:r>
      <w:r w:rsidRPr="00A16691">
        <w:t xml:space="preserve"> need to </w:t>
      </w:r>
      <w:r w:rsidR="00432739">
        <w:t xml:space="preserve">also </w:t>
      </w:r>
      <w:r w:rsidRPr="00A16691">
        <w:t>lim</w:t>
      </w:r>
      <w:r w:rsidR="00432739">
        <w:t>it consumption of saturated fat and</w:t>
      </w:r>
      <w:r w:rsidRPr="00A16691">
        <w:t xml:space="preserve"> sodium. </w:t>
      </w:r>
      <w:r w:rsidR="001722C8">
        <w:t>However, if Option 6 is limited</w:t>
      </w:r>
      <w:r w:rsidR="00F55738">
        <w:t xml:space="preserve"> only</w:t>
      </w:r>
      <w:r w:rsidR="001722C8">
        <w:t xml:space="preserve"> to </w:t>
      </w:r>
      <w:r w:rsidR="00F55738">
        <w:t>foods such as</w:t>
      </w:r>
      <w:r w:rsidR="00A14533">
        <w:t xml:space="preserve"> sugary beverages</w:t>
      </w:r>
      <w:r w:rsidR="001E56A2">
        <w:t xml:space="preserve"> </w:t>
      </w:r>
      <w:r w:rsidR="00A14533">
        <w:t>/</w:t>
      </w:r>
      <w:r w:rsidR="00F55738">
        <w:t xml:space="preserve"> </w:t>
      </w:r>
      <w:r w:rsidR="001722C8">
        <w:t>sugar-sweetened beverages, this concern may not apply as these beverages are typically l</w:t>
      </w:r>
      <w:r w:rsidR="00CD54FA">
        <w:t>ow in saturated fat and sodium.</w:t>
      </w:r>
    </w:p>
    <w:p w14:paraId="24795218" w14:textId="57A3F735" w:rsidR="002718AE" w:rsidRPr="00A16691" w:rsidRDefault="00F419A8" w:rsidP="00BC587F">
      <w:r w:rsidRPr="00A16691">
        <w:t xml:space="preserve">For Option 4, </w:t>
      </w:r>
      <w:r w:rsidR="005015D2">
        <w:t>t</w:t>
      </w:r>
      <w:r w:rsidR="00911926">
        <w:t xml:space="preserve">he NIP already requires saturated fat and sodium to be listed, so listing added sugars in the NIP in the same format as these nutrients would not over emphasise </w:t>
      </w:r>
      <w:r w:rsidR="005015D2">
        <w:t xml:space="preserve">added </w:t>
      </w:r>
      <w:r w:rsidR="00CD54FA">
        <w:t>sugars.</w:t>
      </w:r>
    </w:p>
    <w:p w14:paraId="1F5F4320" w14:textId="337505C6" w:rsidR="00E36CE4" w:rsidRPr="008A3D23" w:rsidRDefault="00F419A8" w:rsidP="00BC587F">
      <w:pPr>
        <w:rPr>
          <w:lang w:val="en-GB" w:eastAsia="en-GB"/>
        </w:rPr>
      </w:pPr>
      <w:r w:rsidRPr="00A16691">
        <w:t xml:space="preserve">For </w:t>
      </w:r>
      <w:r w:rsidR="002718AE" w:rsidRPr="00A16691">
        <w:t>Option 3</w:t>
      </w:r>
      <w:r w:rsidRPr="00A16691">
        <w:t>,</w:t>
      </w:r>
      <w:r w:rsidRPr="00A16691">
        <w:rPr>
          <w:lang w:val="en-GB" w:eastAsia="en-GB"/>
        </w:rPr>
        <w:t xml:space="preserve"> if added sugars were emboldened in the ingredients list,</w:t>
      </w:r>
      <w:r w:rsidR="009277E3" w:rsidRPr="00A16691">
        <w:rPr>
          <w:lang w:val="en-GB" w:eastAsia="en-GB"/>
        </w:rPr>
        <w:t xml:space="preserve"> </w:t>
      </w:r>
      <w:r w:rsidRPr="00A16691">
        <w:rPr>
          <w:lang w:val="en-GB" w:eastAsia="en-GB"/>
        </w:rPr>
        <w:t>there</w:t>
      </w:r>
      <w:r w:rsidR="00774A05">
        <w:rPr>
          <w:lang w:val="en-GB" w:eastAsia="en-GB"/>
        </w:rPr>
        <w:t xml:space="preserve"> may be</w:t>
      </w:r>
      <w:r w:rsidRPr="00A16691">
        <w:rPr>
          <w:lang w:val="en-GB" w:eastAsia="en-GB"/>
        </w:rPr>
        <w:t xml:space="preserve"> possible</w:t>
      </w:r>
      <w:r w:rsidR="002718AE" w:rsidRPr="00A16691">
        <w:rPr>
          <w:lang w:val="en-GB" w:eastAsia="en-GB"/>
        </w:rPr>
        <w:t xml:space="preserve"> confusion with allergen labelling</w:t>
      </w:r>
      <w:r w:rsidR="009277E3" w:rsidRPr="00A16691">
        <w:rPr>
          <w:lang w:val="en-GB" w:eastAsia="en-GB"/>
        </w:rPr>
        <w:t>. If asterisks were used</w:t>
      </w:r>
      <w:r w:rsidR="00432739">
        <w:rPr>
          <w:lang w:val="en-GB" w:eastAsia="en-GB"/>
        </w:rPr>
        <w:t xml:space="preserve"> to identify added sugars</w:t>
      </w:r>
      <w:r w:rsidR="009277E3" w:rsidRPr="00A16691">
        <w:rPr>
          <w:lang w:val="en-GB" w:eastAsia="en-GB"/>
        </w:rPr>
        <w:t xml:space="preserve">, consumers may be confused </w:t>
      </w:r>
      <w:r w:rsidR="002718AE" w:rsidRPr="00A16691">
        <w:rPr>
          <w:lang w:val="en-GB" w:eastAsia="en-GB"/>
        </w:rPr>
        <w:t>with claim information</w:t>
      </w:r>
      <w:r w:rsidR="00063937">
        <w:rPr>
          <w:lang w:val="en-GB" w:eastAsia="en-GB"/>
        </w:rPr>
        <w:t xml:space="preserve"> where a manufacturer may use an asterisk to direct consumers to more information elsewhere on the label</w:t>
      </w:r>
      <w:r w:rsidR="002718AE" w:rsidRPr="00A16691">
        <w:rPr>
          <w:lang w:val="en-GB" w:eastAsia="en-GB"/>
        </w:rPr>
        <w:t>.</w:t>
      </w:r>
    </w:p>
    <w:p w14:paraId="20C6E9E9" w14:textId="18A8AB30" w:rsidR="005F748C" w:rsidRPr="005F748C" w:rsidRDefault="00E23ED5" w:rsidP="00314A5D">
      <w:pPr>
        <w:pStyle w:val="Heading2"/>
        <w:rPr>
          <w:rFonts w:eastAsia="Calibri" w:cstheme="minorHAnsi"/>
          <w:lang w:eastAsia="en-GB"/>
        </w:rPr>
      </w:pPr>
      <w:bookmarkStart w:id="221" w:name="_Toc6323625"/>
      <w:r>
        <w:rPr>
          <w:rFonts w:eastAsia="Calibri"/>
          <w:lang w:eastAsia="en-GB"/>
        </w:rPr>
        <w:t>Food p</w:t>
      </w:r>
      <w:r w:rsidR="00F55738" w:rsidRPr="00527CAE">
        <w:rPr>
          <w:rFonts w:eastAsia="Calibri"/>
          <w:lang w:eastAsia="en-GB"/>
        </w:rPr>
        <w:t xml:space="preserve">roducts for which the </w:t>
      </w:r>
      <w:r w:rsidR="00ED18B4">
        <w:rPr>
          <w:rFonts w:eastAsia="Calibri"/>
          <w:lang w:eastAsia="en-GB"/>
        </w:rPr>
        <w:t>feasible</w:t>
      </w:r>
      <w:r w:rsidR="00F55738" w:rsidRPr="00527CAE">
        <w:rPr>
          <w:rFonts w:eastAsia="Calibri"/>
          <w:lang w:eastAsia="en-GB"/>
        </w:rPr>
        <w:t xml:space="preserve"> options would </w:t>
      </w:r>
      <w:proofErr w:type="gramStart"/>
      <w:r w:rsidR="00F55738" w:rsidRPr="00527CAE">
        <w:rPr>
          <w:rFonts w:eastAsia="Calibri"/>
          <w:lang w:eastAsia="en-GB"/>
        </w:rPr>
        <w:t>apply</w:t>
      </w:r>
      <w:bookmarkEnd w:id="221"/>
      <w:proofErr w:type="gramEnd"/>
    </w:p>
    <w:p w14:paraId="6617AFD4" w14:textId="23CBE2B1" w:rsidR="00995E41" w:rsidRDefault="00F55738" w:rsidP="00BC587F">
      <w:pPr>
        <w:rPr>
          <w:rFonts w:eastAsia="Calibri"/>
          <w:lang w:eastAsia="en-GB"/>
        </w:rPr>
      </w:pPr>
      <w:r w:rsidRPr="005F748C">
        <w:rPr>
          <w:rFonts w:eastAsia="Calibri"/>
          <w:lang w:eastAsia="en-GB"/>
        </w:rPr>
        <w:t xml:space="preserve">It is recognised that some foods make a greater contribution to intakes of added sugars in Australia and New Zealand, and consideration was given to whether the </w:t>
      </w:r>
      <w:r w:rsidR="005F748C">
        <w:rPr>
          <w:rFonts w:eastAsia="Calibri"/>
          <w:lang w:eastAsia="en-GB"/>
        </w:rPr>
        <w:t xml:space="preserve">feasible </w:t>
      </w:r>
      <w:r w:rsidRPr="005F748C">
        <w:rPr>
          <w:rFonts w:eastAsia="Calibri"/>
          <w:lang w:eastAsia="en-GB"/>
        </w:rPr>
        <w:t>labelling options should only be appl</w:t>
      </w:r>
      <w:r w:rsidR="00995E41">
        <w:rPr>
          <w:rFonts w:eastAsia="Calibri"/>
          <w:lang w:eastAsia="en-GB"/>
        </w:rPr>
        <w:t>ied to these main contributors.</w:t>
      </w:r>
    </w:p>
    <w:p w14:paraId="417F197E" w14:textId="42D2D324" w:rsidR="00995E41" w:rsidRDefault="00E23ED5" w:rsidP="00BC587F">
      <w:pPr>
        <w:rPr>
          <w:rFonts w:eastAsia="Calibri"/>
          <w:lang w:eastAsia="en-GB"/>
        </w:rPr>
      </w:pPr>
      <w:r>
        <w:t xml:space="preserve">Option 3 and Option 4 should apply to all foods as the statement of ingredients and NIP are already required on </w:t>
      </w:r>
      <w:r w:rsidR="006C4405">
        <w:t xml:space="preserve">most </w:t>
      </w:r>
      <w:r>
        <w:t>food labels in a consistent format to allow comparison. Changing these labelling elements for sugars on some foods, but not all, may be confusing to consumers and restrict the opportunity for compare products. Stakeholder support was s</w:t>
      </w:r>
      <w:r w:rsidR="00F55738">
        <w:t xml:space="preserve">trongest for applying </w:t>
      </w:r>
      <w:r>
        <w:t>Opti</w:t>
      </w:r>
      <w:r w:rsidR="00995E41">
        <w:t>on 3 and Option 4 to all foods.</w:t>
      </w:r>
    </w:p>
    <w:p w14:paraId="4023599D" w14:textId="502BF5BC" w:rsidR="00F55738" w:rsidRPr="00995E41" w:rsidRDefault="00432739" w:rsidP="00BC587F">
      <w:pPr>
        <w:rPr>
          <w:rFonts w:eastAsia="Calibri"/>
          <w:lang w:eastAsia="en-GB"/>
        </w:rPr>
      </w:pPr>
      <w:r>
        <w:t>Many non-industry submitter</w:t>
      </w:r>
      <w:r w:rsidR="00F55738">
        <w:t xml:space="preserve">s also supported applying Option 6 to only specific food categories, </w:t>
      </w:r>
      <w:r w:rsidR="005F748C">
        <w:t xml:space="preserve">with strong support for limiting </w:t>
      </w:r>
      <w:r w:rsidR="00497E5C">
        <w:t>Option 6</w:t>
      </w:r>
      <w:r w:rsidR="005F748C">
        <w:t xml:space="preserve"> to </w:t>
      </w:r>
      <w:r w:rsidR="001E56A2">
        <w:t xml:space="preserve">sugary beverages </w:t>
      </w:r>
      <w:r w:rsidR="00A14533">
        <w:t xml:space="preserve">/ </w:t>
      </w:r>
      <w:r w:rsidR="00F55738">
        <w:t>sugar-sweetened beverages</w:t>
      </w:r>
      <w:r w:rsidR="00F55738" w:rsidRPr="00205C79">
        <w:t xml:space="preserve"> </w:t>
      </w:r>
      <w:r w:rsidR="00F55738">
        <w:t>and</w:t>
      </w:r>
      <w:r>
        <w:t xml:space="preserve"> some submitters</w:t>
      </w:r>
      <w:r w:rsidR="005F748C">
        <w:t xml:space="preserve"> also suggesting labelling</w:t>
      </w:r>
      <w:r w:rsidR="00F55738">
        <w:t xml:space="preserve"> confectionary</w:t>
      </w:r>
      <w:r w:rsidR="00497E5C">
        <w:t>. Subm</w:t>
      </w:r>
      <w:r>
        <w:t>itters</w:t>
      </w:r>
      <w:r w:rsidR="00497E5C">
        <w:t xml:space="preserve"> considered this would assist </w:t>
      </w:r>
      <w:r w:rsidR="00F55738">
        <w:t>to inform consumers of the sugars content of these products in an easy-to-understand format and recognise the significant contribution these foods make to consumption of added and total sug</w:t>
      </w:r>
      <w:r w:rsidR="001F75DE">
        <w:t>ars in the diet. In relation to</w:t>
      </w:r>
      <w:r w:rsidR="00F55738">
        <w:t xml:space="preserve"> </w:t>
      </w:r>
      <w:r w:rsidR="00A14533">
        <w:t>sugary beverages</w:t>
      </w:r>
      <w:r w:rsidR="001E56A2">
        <w:t xml:space="preserve"> </w:t>
      </w:r>
      <w:r w:rsidR="00A14533">
        <w:t xml:space="preserve">/ </w:t>
      </w:r>
      <w:r w:rsidR="001F75DE">
        <w:t xml:space="preserve">sugar-sweetened </w:t>
      </w:r>
      <w:r w:rsidR="00F55738">
        <w:t>beverages, the rationale for this position was that</w:t>
      </w:r>
      <w:r w:rsidR="005F748C">
        <w:t>:</w:t>
      </w:r>
    </w:p>
    <w:p w14:paraId="2731B294" w14:textId="5C0AA8C5" w:rsidR="00F55738" w:rsidRDefault="00F55738" w:rsidP="00C84941">
      <w:pPr>
        <w:pStyle w:val="Bullets"/>
      </w:pPr>
      <w:r>
        <w:t xml:space="preserve">there is low uptake of the HSR </w:t>
      </w:r>
      <w:r w:rsidR="00B7316A">
        <w:t xml:space="preserve">star icon </w:t>
      </w:r>
      <w:r>
        <w:t xml:space="preserve">across </w:t>
      </w:r>
      <w:r w:rsidR="00B7316A">
        <w:t xml:space="preserve">non-alcoholic </w:t>
      </w:r>
      <w:r>
        <w:t>beverage</w:t>
      </w:r>
      <w:r w:rsidR="001F75DE">
        <w:t xml:space="preserve"> product</w:t>
      </w:r>
      <w:r>
        <w:t>s</w:t>
      </w:r>
      <w:r w:rsidR="00B7316A">
        <w:rPr>
          <w:rStyle w:val="FootnoteReference"/>
        </w:rPr>
        <w:footnoteReference w:id="172"/>
      </w:r>
      <w:r w:rsidR="00DC0A26" w:rsidRPr="004F13AA">
        <w:t>,</w:t>
      </w:r>
      <w:r w:rsidR="00B7316A">
        <w:rPr>
          <w:rStyle w:val="FootnoteReference"/>
        </w:rPr>
        <w:footnoteReference w:id="173"/>
      </w:r>
      <w:r w:rsidR="00DC0A26" w:rsidRPr="004F13AA">
        <w:t>,</w:t>
      </w:r>
      <w:r w:rsidR="00DC0A26">
        <w:rPr>
          <w:rStyle w:val="FootnoteReference"/>
        </w:rPr>
        <w:footnoteReference w:id="174"/>
      </w:r>
      <w:r w:rsidR="00B7316A">
        <w:t xml:space="preserve"> </w:t>
      </w:r>
      <w:r w:rsidR="00D2379C">
        <w:t>(</w:t>
      </w:r>
      <w:r w:rsidR="00DC0A26">
        <w:t>including</w:t>
      </w:r>
      <w:r w:rsidR="005138BB">
        <w:t xml:space="preserve"> sugar-</w:t>
      </w:r>
      <w:r w:rsidR="00D2379C">
        <w:t>sweetened beverages)</w:t>
      </w:r>
      <w:r w:rsidR="00B649A2">
        <w:t xml:space="preserve"> (this has also since been confirmed in the </w:t>
      </w:r>
      <w:r w:rsidR="009A79FA">
        <w:t>HSR five-</w:t>
      </w:r>
      <w:r w:rsidR="00B649A2">
        <w:t>year review report</w:t>
      </w:r>
      <w:r w:rsidR="00B649A2">
        <w:rPr>
          <w:rStyle w:val="FootnoteReference"/>
        </w:rPr>
        <w:footnoteReference w:id="175"/>
      </w:r>
      <w:r w:rsidR="00B649A2">
        <w:t>). The low coverage of the HSR</w:t>
      </w:r>
      <w:r w:rsidR="00DC0A26">
        <w:t xml:space="preserve"> star icon</w:t>
      </w:r>
      <w:r w:rsidR="00B649A2">
        <w:t xml:space="preserve"> in this category</w:t>
      </w:r>
      <w:r>
        <w:t xml:space="preserve"> </w:t>
      </w:r>
      <w:r w:rsidR="00B649A2">
        <w:t xml:space="preserve">would therefore minimise the risk of a conflict between the two labelling </w:t>
      </w:r>
      <w:proofErr w:type="gramStart"/>
      <w:r w:rsidR="00B649A2">
        <w:t>approaches</w:t>
      </w:r>
      <w:r w:rsidR="00980D23">
        <w:t>;</w:t>
      </w:r>
      <w:proofErr w:type="gramEnd"/>
    </w:p>
    <w:p w14:paraId="389CA9BD" w14:textId="4D3BA21A" w:rsidR="00F55738" w:rsidRDefault="00F55738" w:rsidP="00C84941">
      <w:pPr>
        <w:pStyle w:val="Bullets"/>
      </w:pPr>
      <w:r>
        <w:t xml:space="preserve">that </w:t>
      </w:r>
      <w:r w:rsidR="00A14533">
        <w:t>sugary beverages</w:t>
      </w:r>
      <w:r w:rsidR="001E56A2">
        <w:t xml:space="preserve"> </w:t>
      </w:r>
      <w:r w:rsidR="00A14533">
        <w:t xml:space="preserve">/ </w:t>
      </w:r>
      <w:r>
        <w:t xml:space="preserve">sugar-sweetened beverages have few other negative nutrients, and therefore the concerns about over-emphasising a single </w:t>
      </w:r>
      <w:r w:rsidR="00995E41">
        <w:t>nutrient are less relevant; and</w:t>
      </w:r>
    </w:p>
    <w:p w14:paraId="46BF000E" w14:textId="03BD820D" w:rsidR="00F55738" w:rsidRPr="00004ADA" w:rsidRDefault="00F55738" w:rsidP="00C84941">
      <w:pPr>
        <w:pStyle w:val="Bullets"/>
      </w:pPr>
      <w:r>
        <w:t xml:space="preserve">the fact </w:t>
      </w:r>
      <w:r w:rsidRPr="00E82BEA">
        <w:t xml:space="preserve">that </w:t>
      </w:r>
      <w:proofErr w:type="gramStart"/>
      <w:r w:rsidRPr="00E82BEA">
        <w:t>the majority of</w:t>
      </w:r>
      <w:proofErr w:type="gramEnd"/>
      <w:r w:rsidRPr="00E82BEA">
        <w:t xml:space="preserve"> evidence supporting this option is </w:t>
      </w:r>
      <w:r w:rsidR="00A14533">
        <w:t>focused on these</w:t>
      </w:r>
      <w:r w:rsidRPr="00E82BEA">
        <w:t xml:space="preserve"> beverages</w:t>
      </w:r>
      <w:r w:rsidRPr="00E82BEA">
        <w:rPr>
          <w:rStyle w:val="FootnoteReference"/>
        </w:rPr>
        <w:footnoteReference w:id="176"/>
      </w:r>
      <w:r w:rsidRPr="004F13AA">
        <w:t>,</w:t>
      </w:r>
      <w:r w:rsidRPr="00E82BEA">
        <w:rPr>
          <w:rStyle w:val="FootnoteReference"/>
        </w:rPr>
        <w:footnoteReference w:id="177"/>
      </w:r>
      <w:r w:rsidRPr="004F13AA">
        <w:t>,</w:t>
      </w:r>
      <w:r w:rsidRPr="00E82BEA">
        <w:rPr>
          <w:rStyle w:val="FootnoteReference"/>
        </w:rPr>
        <w:footnoteReference w:id="178"/>
      </w:r>
      <w:r w:rsidRPr="00E82BEA">
        <w:t>.</w:t>
      </w:r>
    </w:p>
    <w:p w14:paraId="46499E2C" w14:textId="59DCD8FC" w:rsidR="00CB6C04" w:rsidRDefault="00CB6C04" w:rsidP="00BC587F">
      <w:r w:rsidRPr="005B5249">
        <w:t xml:space="preserve">This suggestion warrants further consideration as many of negative impacts of Option 6 can be reduced if Option 6 is applied only to </w:t>
      </w:r>
      <w:r w:rsidR="00A14533">
        <w:t>sugary beverages</w:t>
      </w:r>
      <w:r w:rsidR="00224E44">
        <w:t xml:space="preserve"> </w:t>
      </w:r>
      <w:r w:rsidR="00A14533">
        <w:t xml:space="preserve">/ </w:t>
      </w:r>
      <w:r w:rsidRPr="005B5249">
        <w:t>sugar-sweetened beverages. The focus on</w:t>
      </w:r>
      <w:r w:rsidR="00A14533">
        <w:t xml:space="preserve"> sugary beverages</w:t>
      </w:r>
      <w:r w:rsidR="001E56A2">
        <w:t xml:space="preserve"> </w:t>
      </w:r>
      <w:r w:rsidR="00A14533">
        <w:t>/</w:t>
      </w:r>
      <w:r w:rsidRPr="005B5249">
        <w:t xml:space="preserve"> sugar</w:t>
      </w:r>
      <w:r w:rsidR="00B86260">
        <w:noBreakHyphen/>
      </w:r>
      <w:r w:rsidRPr="005B5249">
        <w:t xml:space="preserve">sweetened beverages is justified as these </w:t>
      </w:r>
      <w:r w:rsidR="00AD6840" w:rsidRPr="005B5249">
        <w:t xml:space="preserve">beverages </w:t>
      </w:r>
      <w:r w:rsidRPr="005B5249">
        <w:t>are the main source of added sugars in the diet</w:t>
      </w:r>
      <w:r w:rsidRPr="005B5249">
        <w:rPr>
          <w:rStyle w:val="FootnoteReference"/>
        </w:rPr>
        <w:footnoteReference w:id="179"/>
      </w:r>
      <w:r w:rsidRPr="005B5249">
        <w:t xml:space="preserve"> and </w:t>
      </w:r>
      <w:r w:rsidR="00AD6840" w:rsidRPr="005B5249">
        <w:t>there is strong evidence that</w:t>
      </w:r>
      <w:r w:rsidR="00A14533">
        <w:t xml:space="preserve"> these</w:t>
      </w:r>
      <w:r w:rsidRPr="005B5249">
        <w:t xml:space="preserve"> beverages are positively associated with body weight or obesity</w:t>
      </w:r>
      <w:r w:rsidRPr="00597D82">
        <w:rPr>
          <w:rStyle w:val="FootnoteReference"/>
        </w:rPr>
        <w:footnoteReference w:id="180"/>
      </w:r>
      <w:r w:rsidR="00597D82" w:rsidRPr="00597D82">
        <w:rPr>
          <w:vertAlign w:val="superscript"/>
        </w:rPr>
        <w:t>,</w:t>
      </w:r>
      <w:r w:rsidRPr="00597D82">
        <w:rPr>
          <w:rStyle w:val="FootnoteReference"/>
        </w:rPr>
        <w:footnoteReference w:id="181"/>
      </w:r>
      <w:r w:rsidR="00597D82" w:rsidRPr="00597D82">
        <w:rPr>
          <w:vertAlign w:val="superscript"/>
        </w:rPr>
        <w:t>,</w:t>
      </w:r>
      <w:r w:rsidRPr="00597D82">
        <w:rPr>
          <w:rStyle w:val="FootnoteReference"/>
        </w:rPr>
        <w:footnoteReference w:id="182"/>
      </w:r>
      <w:r w:rsidR="00597D82" w:rsidRPr="00597D82">
        <w:rPr>
          <w:vertAlign w:val="superscript"/>
        </w:rPr>
        <w:t>,</w:t>
      </w:r>
      <w:r w:rsidR="005B5249" w:rsidRPr="00597D82">
        <w:rPr>
          <w:rStyle w:val="FootnoteReference"/>
        </w:rPr>
        <w:footnoteReference w:id="183"/>
      </w:r>
      <w:r w:rsidRPr="005B5249">
        <w:t>.</w:t>
      </w:r>
    </w:p>
    <w:p w14:paraId="2871E657" w14:textId="2266228E" w:rsidR="00F55738" w:rsidRDefault="00F55738" w:rsidP="00BC587F">
      <w:r w:rsidRPr="00004ADA">
        <w:t>Submissions from industry</w:t>
      </w:r>
      <w:r>
        <w:t xml:space="preserve"> suggested</w:t>
      </w:r>
      <w:r w:rsidR="00DB3D8E">
        <w:t xml:space="preserve"> food </w:t>
      </w:r>
      <w:r w:rsidRPr="00004ADA">
        <w:t xml:space="preserve">product categories that should be excluded from sugars labelling. </w:t>
      </w:r>
      <w:r>
        <w:t>All submissions from the alcohol industry considered that alcoholic beverages should be excluded</w:t>
      </w:r>
      <w:r w:rsidR="008B2E92">
        <w:t xml:space="preserve"> from</w:t>
      </w:r>
      <w:r>
        <w:t xml:space="preserve"> any </w:t>
      </w:r>
      <w:r w:rsidR="008B2E92">
        <w:t>form</w:t>
      </w:r>
      <w:r>
        <w:t xml:space="preserve"> of added sugars labelling as labelling added sugars on alcoholic beverages may confuse or mislead consumers. The alcohol industry noted that some of the sugars which are added to produce an alcoholic beverage are fermented and therefore the </w:t>
      </w:r>
      <w:proofErr w:type="gramStart"/>
      <w:r>
        <w:t>amount</w:t>
      </w:r>
      <w:proofErr w:type="gramEnd"/>
      <w:r>
        <w:t xml:space="preserve"> of sugars that are added to an alcoholic beverage is greater than the total suga</w:t>
      </w:r>
      <w:r w:rsidR="005C2393">
        <w:t>rs in the product that is sold.</w:t>
      </w:r>
    </w:p>
    <w:p w14:paraId="3942C453" w14:textId="4D00F03B" w:rsidR="00F55738" w:rsidRDefault="00F55738" w:rsidP="00BC587F">
      <w:r>
        <w:t xml:space="preserve">Some industry submitters considered that </w:t>
      </w:r>
      <w:r w:rsidR="00DB3D8E">
        <w:t xml:space="preserve">‘special purpose foods’ </w:t>
      </w:r>
      <w:r>
        <w:t xml:space="preserve">such as infant formula which are regulated under Part 2.9 of the Code should be exempt as these products </w:t>
      </w:r>
      <w:r w:rsidR="00ED5B38">
        <w:t>have</w:t>
      </w:r>
      <w:r>
        <w:t xml:space="preserve"> compositional requirements and are designed for specific population groups that</w:t>
      </w:r>
      <w:r w:rsidR="005C2393">
        <w:t xml:space="preserve"> have unique nutritional needs.</w:t>
      </w:r>
    </w:p>
    <w:p w14:paraId="30ABA732" w14:textId="75CB2060" w:rsidR="00F55738" w:rsidRDefault="00F55738" w:rsidP="00BC587F">
      <w:r>
        <w:t>One submission representing the confectionary industry considered confectionary should not require added sugars to be labelled because consumers understood confectionary to be ‘trea</w:t>
      </w:r>
      <w:r w:rsidR="005C2393">
        <w:t>t’ foods.</w:t>
      </w:r>
    </w:p>
    <w:p w14:paraId="5017C3D5" w14:textId="18942ACB" w:rsidR="00497E5C" w:rsidRDefault="00F55738" w:rsidP="00BC587F">
      <w:r>
        <w:rPr>
          <w:lang w:val="en"/>
        </w:rPr>
        <w:t>Other recommended exemptions included</w:t>
      </w:r>
      <w:r w:rsidR="00ED5B38">
        <w:rPr>
          <w:lang w:val="en"/>
        </w:rPr>
        <w:t xml:space="preserve"> foods in single small packages</w:t>
      </w:r>
      <w:r>
        <w:rPr>
          <w:lang w:val="en"/>
        </w:rPr>
        <w:t>.</w:t>
      </w:r>
    </w:p>
    <w:p w14:paraId="6F2EAF3C" w14:textId="77E69F7F" w:rsidR="00497E5C" w:rsidRDefault="00497E5C" w:rsidP="00BC587F">
      <w:pPr>
        <w:rPr>
          <w:lang w:val="en"/>
        </w:rPr>
      </w:pPr>
      <w:r>
        <w:t xml:space="preserve">The issue of exemptions for </w:t>
      </w:r>
      <w:proofErr w:type="gramStart"/>
      <w:r>
        <w:t>particular foods</w:t>
      </w:r>
      <w:proofErr w:type="gramEnd"/>
      <w:r>
        <w:t xml:space="preserve"> or food categories will be considered further as part of the implementation of </w:t>
      </w:r>
      <w:r w:rsidR="00F25EF3">
        <w:t>any</w:t>
      </w:r>
      <w:r>
        <w:t xml:space="preserve"> option</w:t>
      </w:r>
      <w:r w:rsidR="008A3D23">
        <w:t>(s)</w:t>
      </w:r>
      <w:r>
        <w:t>.</w:t>
      </w:r>
    </w:p>
    <w:p w14:paraId="07D9AB4B" w14:textId="4D4815BE" w:rsidR="00497E5C" w:rsidRDefault="00AA4BD9" w:rsidP="00314A5D">
      <w:pPr>
        <w:pStyle w:val="Heading2"/>
        <w:rPr>
          <w:rFonts w:eastAsia="Calibri"/>
          <w:lang w:eastAsia="en-GB"/>
        </w:rPr>
      </w:pPr>
      <w:bookmarkStart w:id="222" w:name="_Toc6323626"/>
      <w:r>
        <w:rPr>
          <w:rFonts w:eastAsia="Calibri"/>
          <w:lang w:eastAsia="en-GB"/>
        </w:rPr>
        <w:t>C</w:t>
      </w:r>
      <w:r w:rsidR="00497E5C" w:rsidRPr="00A16691">
        <w:rPr>
          <w:rFonts w:eastAsia="Calibri"/>
          <w:lang w:eastAsia="en-GB"/>
        </w:rPr>
        <w:t>ombinations of the feasible options</w:t>
      </w:r>
      <w:bookmarkEnd w:id="222"/>
    </w:p>
    <w:p w14:paraId="448D0BE7" w14:textId="083E02D8" w:rsidR="00497E5C" w:rsidRPr="00993032" w:rsidRDefault="00497E5C" w:rsidP="00BC587F">
      <w:pPr>
        <w:rPr>
          <w:rFonts w:eastAsia="Calibri"/>
          <w:lang w:eastAsia="en-GB"/>
        </w:rPr>
      </w:pPr>
      <w:r w:rsidRPr="00993032">
        <w:rPr>
          <w:rFonts w:eastAsia="Calibri"/>
          <w:lang w:eastAsia="en-GB"/>
        </w:rPr>
        <w:t xml:space="preserve">Consideration was given to whether </w:t>
      </w:r>
      <w:r w:rsidR="00ED5B38">
        <w:rPr>
          <w:rFonts w:eastAsia="Calibri"/>
          <w:lang w:eastAsia="en-GB"/>
        </w:rPr>
        <w:t xml:space="preserve">combining </w:t>
      </w:r>
      <w:r w:rsidR="00B86260">
        <w:rPr>
          <w:rFonts w:eastAsia="Calibri"/>
          <w:lang w:eastAsia="en-GB"/>
        </w:rPr>
        <w:t xml:space="preserve">Option </w:t>
      </w:r>
      <w:r w:rsidR="00ED5B38">
        <w:rPr>
          <w:rFonts w:eastAsia="Calibri"/>
          <w:lang w:eastAsia="en-GB"/>
        </w:rPr>
        <w:t xml:space="preserve">4 with any of the other </w:t>
      </w:r>
      <w:r>
        <w:rPr>
          <w:rFonts w:eastAsia="Calibri"/>
          <w:lang w:eastAsia="en-GB"/>
        </w:rPr>
        <w:t xml:space="preserve">feasible </w:t>
      </w:r>
      <w:r w:rsidRPr="00993032">
        <w:rPr>
          <w:rFonts w:eastAsia="Calibri"/>
          <w:lang w:eastAsia="en-GB"/>
        </w:rPr>
        <w:t xml:space="preserve">options </w:t>
      </w:r>
      <w:r>
        <w:rPr>
          <w:rFonts w:eastAsia="Calibri"/>
          <w:lang w:eastAsia="en-GB"/>
        </w:rPr>
        <w:t xml:space="preserve">could further enhance Option 4 in achieving the desired outcome. </w:t>
      </w:r>
      <w:r w:rsidRPr="00993032">
        <w:rPr>
          <w:rFonts w:eastAsia="Calibri"/>
          <w:lang w:eastAsia="en-GB"/>
        </w:rPr>
        <w:t xml:space="preserve">It is important to note that education </w:t>
      </w:r>
      <w:r w:rsidR="00ED5B38">
        <w:rPr>
          <w:rFonts w:eastAsia="Calibri"/>
          <w:lang w:eastAsia="en-GB"/>
        </w:rPr>
        <w:t xml:space="preserve">is part of </w:t>
      </w:r>
      <w:proofErr w:type="gramStart"/>
      <w:r w:rsidR="00ED5B38">
        <w:rPr>
          <w:rFonts w:eastAsia="Calibri"/>
          <w:lang w:eastAsia="en-GB"/>
        </w:rPr>
        <w:t>all of</w:t>
      </w:r>
      <w:proofErr w:type="gramEnd"/>
      <w:r w:rsidR="00ED5B38">
        <w:rPr>
          <w:rFonts w:eastAsia="Calibri"/>
          <w:lang w:eastAsia="en-GB"/>
        </w:rPr>
        <w:t xml:space="preserve"> the proposed o</w:t>
      </w:r>
      <w:r w:rsidRPr="00993032">
        <w:rPr>
          <w:rFonts w:eastAsia="Calibri"/>
          <w:lang w:eastAsia="en-GB"/>
        </w:rPr>
        <w:t>ptions, and therefore it was not n</w:t>
      </w:r>
      <w:r>
        <w:rPr>
          <w:rFonts w:eastAsia="Calibri"/>
          <w:lang w:eastAsia="en-GB"/>
        </w:rPr>
        <w:t>ecessary to consider combining Option 4</w:t>
      </w:r>
      <w:r w:rsidR="00774A05">
        <w:rPr>
          <w:rFonts w:eastAsia="Calibri"/>
          <w:lang w:eastAsia="en-GB"/>
        </w:rPr>
        <w:t xml:space="preserve"> with Option 2</w:t>
      </w:r>
      <w:r w:rsidR="005C2393">
        <w:rPr>
          <w:rFonts w:eastAsia="Calibri"/>
          <w:lang w:eastAsia="en-GB"/>
        </w:rPr>
        <w:t>.</w:t>
      </w:r>
    </w:p>
    <w:p w14:paraId="4D417C3D" w14:textId="10CE955E" w:rsidR="0050630A" w:rsidRPr="00800AE4" w:rsidRDefault="0050630A" w:rsidP="00BC587F">
      <w:pPr>
        <w:rPr>
          <w:rFonts w:eastAsia="Calibri"/>
          <w:lang w:eastAsia="en-GB"/>
        </w:rPr>
      </w:pPr>
      <w:r w:rsidRPr="00993032">
        <w:rPr>
          <w:rFonts w:eastAsia="Calibri"/>
          <w:lang w:eastAsia="en-GB"/>
        </w:rPr>
        <w:t>Co</w:t>
      </w:r>
      <w:r w:rsidR="00802E62">
        <w:rPr>
          <w:rFonts w:eastAsia="Calibri"/>
          <w:lang w:eastAsia="en-GB"/>
        </w:rPr>
        <w:t>mbining Option 4 with Option 3</w:t>
      </w:r>
      <w:r w:rsidR="00063937">
        <w:rPr>
          <w:rFonts w:eastAsia="Calibri"/>
          <w:lang w:eastAsia="en-GB"/>
        </w:rPr>
        <w:t xml:space="preserve"> </w:t>
      </w:r>
      <w:r w:rsidRPr="00993032">
        <w:rPr>
          <w:rFonts w:eastAsia="Calibri"/>
          <w:lang w:eastAsia="en-GB"/>
        </w:rPr>
        <w:t xml:space="preserve">was not seen to enhance the effectiveness of Option 4. If added sugars are quantified in the </w:t>
      </w:r>
      <w:proofErr w:type="gramStart"/>
      <w:r w:rsidRPr="00993032">
        <w:rPr>
          <w:rFonts w:eastAsia="Calibri"/>
          <w:lang w:eastAsia="en-GB"/>
        </w:rPr>
        <w:t>NIP</w:t>
      </w:r>
      <w:proofErr w:type="gramEnd"/>
      <w:r w:rsidRPr="00993032">
        <w:rPr>
          <w:rFonts w:eastAsia="Calibri"/>
          <w:lang w:eastAsia="en-GB"/>
        </w:rPr>
        <w:t xml:space="preserve"> there would be no need to more clearly identify added sugars in the</w:t>
      </w:r>
      <w:r w:rsidR="00063937">
        <w:rPr>
          <w:rFonts w:eastAsia="Calibri"/>
          <w:lang w:eastAsia="en-GB"/>
        </w:rPr>
        <w:t xml:space="preserve"> statement of</w:t>
      </w:r>
      <w:r w:rsidRPr="00993032">
        <w:rPr>
          <w:rFonts w:eastAsia="Calibri"/>
          <w:lang w:eastAsia="en-GB"/>
        </w:rPr>
        <w:t xml:space="preserve"> ingredients </w:t>
      </w:r>
      <w:r w:rsidR="00063937">
        <w:rPr>
          <w:rFonts w:eastAsia="Calibri"/>
          <w:lang w:eastAsia="en-GB"/>
        </w:rPr>
        <w:t>to achieve the desired outcome of this work</w:t>
      </w:r>
      <w:r w:rsidR="005C2393">
        <w:rPr>
          <w:rFonts w:eastAsia="Calibri"/>
          <w:lang w:eastAsia="en-GB"/>
        </w:rPr>
        <w:t>.</w:t>
      </w:r>
    </w:p>
    <w:p w14:paraId="146FD8F4" w14:textId="156E0A81" w:rsidR="00ED5B38" w:rsidRDefault="00CD54FA" w:rsidP="00BC587F">
      <w:pPr>
        <w:rPr>
          <w:rFonts w:eastAsia="Calibri"/>
          <w:lang w:eastAsia="en-GB"/>
        </w:rPr>
      </w:pPr>
      <w:r>
        <w:rPr>
          <w:rFonts w:eastAsia="Calibri"/>
          <w:lang w:eastAsia="en-GB"/>
        </w:rPr>
        <w:t xml:space="preserve">Combining Option 4 with Option </w:t>
      </w:r>
      <w:r w:rsidR="00497E5C" w:rsidRPr="00993032">
        <w:rPr>
          <w:rFonts w:eastAsia="Calibri"/>
          <w:lang w:eastAsia="en-GB"/>
        </w:rPr>
        <w:t>6</w:t>
      </w:r>
      <w:r w:rsidR="00802E62">
        <w:rPr>
          <w:rFonts w:eastAsia="Calibri"/>
          <w:lang w:eastAsia="en-GB"/>
        </w:rPr>
        <w:t xml:space="preserve"> </w:t>
      </w:r>
      <w:r w:rsidR="00497E5C" w:rsidRPr="00993032">
        <w:rPr>
          <w:rFonts w:eastAsia="Calibri"/>
          <w:lang w:eastAsia="en-GB"/>
        </w:rPr>
        <w:t xml:space="preserve">offers the potential to improve consumer understanding and increase access to sugars information to consumers with poor numeracy skills. However, the </w:t>
      </w:r>
      <w:r w:rsidR="00ED5B38">
        <w:rPr>
          <w:rFonts w:eastAsia="Calibri"/>
          <w:lang w:eastAsia="en-GB"/>
        </w:rPr>
        <w:t xml:space="preserve">risks associated with the </w:t>
      </w:r>
      <w:r w:rsidR="00497E5C" w:rsidRPr="00993032">
        <w:rPr>
          <w:rFonts w:eastAsia="Calibri"/>
          <w:lang w:eastAsia="en-GB"/>
        </w:rPr>
        <w:t>prominence and focus o</w:t>
      </w:r>
      <w:r w:rsidR="00800AE4">
        <w:rPr>
          <w:rFonts w:eastAsia="Calibri"/>
          <w:lang w:eastAsia="en-GB"/>
        </w:rPr>
        <w:t>n</w:t>
      </w:r>
      <w:r w:rsidR="00497E5C" w:rsidRPr="00993032">
        <w:rPr>
          <w:rFonts w:eastAsia="Calibri"/>
          <w:lang w:eastAsia="en-GB"/>
        </w:rPr>
        <w:t xml:space="preserve"> sugars with </w:t>
      </w:r>
      <w:r w:rsidR="00800AE4">
        <w:rPr>
          <w:rFonts w:eastAsia="Calibri"/>
          <w:lang w:eastAsia="en-GB"/>
        </w:rPr>
        <w:t>Option 6</w:t>
      </w:r>
      <w:r w:rsidR="00232F8D">
        <w:rPr>
          <w:rFonts w:eastAsia="Calibri"/>
          <w:lang w:eastAsia="en-GB"/>
        </w:rPr>
        <w:t xml:space="preserve"> remain. If Option 6 applies only to </w:t>
      </w:r>
      <w:r w:rsidR="00A14533">
        <w:rPr>
          <w:rFonts w:eastAsia="Calibri"/>
          <w:lang w:eastAsia="en-GB"/>
        </w:rPr>
        <w:t>sugary beverages</w:t>
      </w:r>
      <w:r w:rsidR="00224E44">
        <w:rPr>
          <w:rFonts w:eastAsia="Calibri"/>
          <w:lang w:eastAsia="en-GB"/>
        </w:rPr>
        <w:t xml:space="preserve"> </w:t>
      </w:r>
      <w:r w:rsidR="00A14533">
        <w:rPr>
          <w:rFonts w:eastAsia="Calibri"/>
          <w:lang w:eastAsia="en-GB"/>
        </w:rPr>
        <w:t xml:space="preserve">/ </w:t>
      </w:r>
      <w:r w:rsidR="00232F8D">
        <w:rPr>
          <w:rFonts w:eastAsia="Calibri"/>
          <w:lang w:eastAsia="en-GB"/>
        </w:rPr>
        <w:t>sugar-sweetened beverages, then thi</w:t>
      </w:r>
      <w:r w:rsidR="005C2393">
        <w:rPr>
          <w:rFonts w:eastAsia="Calibri"/>
          <w:lang w:eastAsia="en-GB"/>
        </w:rPr>
        <w:t>s combination offers potential.</w:t>
      </w:r>
    </w:p>
    <w:p w14:paraId="7BCCC43C" w14:textId="571CEF77" w:rsidR="007D4A16" w:rsidRPr="00A56F43" w:rsidRDefault="008A24D7" w:rsidP="00A8387E">
      <w:pPr>
        <w:pStyle w:val="Heading1"/>
      </w:pPr>
      <w:bookmarkStart w:id="223" w:name="_Toc6323627"/>
      <w:bookmarkStart w:id="224" w:name="_Toc505871612"/>
      <w:r w:rsidRPr="00A56F43">
        <w:t>Evaluation and c</w:t>
      </w:r>
      <w:r w:rsidR="00E039E2" w:rsidRPr="00A56F43">
        <w:t>onclusion</w:t>
      </w:r>
      <w:bookmarkEnd w:id="223"/>
    </w:p>
    <w:p w14:paraId="117F783F" w14:textId="4186AACC" w:rsidR="008A24D7" w:rsidRPr="00F55738" w:rsidRDefault="008A24D7" w:rsidP="00314A5D">
      <w:pPr>
        <w:pStyle w:val="Heading2"/>
      </w:pPr>
      <w:bookmarkStart w:id="225" w:name="_Toc6323628"/>
      <w:r w:rsidRPr="00F55738">
        <w:t>Net benefit</w:t>
      </w:r>
      <w:bookmarkEnd w:id="225"/>
    </w:p>
    <w:p w14:paraId="6234B757" w14:textId="33C2B874" w:rsidR="008A24D7" w:rsidRDefault="008A24D7" w:rsidP="00BC587F">
      <w:r>
        <w:t xml:space="preserve">A high-level </w:t>
      </w:r>
      <w:r w:rsidR="009320D8">
        <w:t>preliminary assessment</w:t>
      </w:r>
      <w:r>
        <w:t xml:space="preserve"> of </w:t>
      </w:r>
      <w:r w:rsidR="009320D8">
        <w:t>the impacts of the feasible options</w:t>
      </w:r>
      <w:r>
        <w:t xml:space="preserve"> was undertaken to determine which of the feasible options is likely to have the greatest net benefit. A quantitative economic analysis of the costs and benefits was not </w:t>
      </w:r>
      <w:proofErr w:type="gramStart"/>
      <w:r>
        <w:t>undertaken,</w:t>
      </w:r>
      <w:proofErr w:type="gramEnd"/>
      <w:r>
        <w:t xml:space="preserve"> </w:t>
      </w:r>
      <w:r w:rsidRPr="00BD7A79">
        <w:t>however this would be performed before the implementation</w:t>
      </w:r>
      <w:r w:rsidR="00236617">
        <w:t xml:space="preserve"> of any</w:t>
      </w:r>
      <w:r w:rsidRPr="00BD7A79">
        <w:t xml:space="preserve"> </w:t>
      </w:r>
      <w:r w:rsidR="00236617">
        <w:t>changes to food labelling in relation to sugars</w:t>
      </w:r>
      <w:r w:rsidRPr="00BD7A79">
        <w:t>.</w:t>
      </w:r>
    </w:p>
    <w:p w14:paraId="1B6A7620" w14:textId="1B56AC59" w:rsidR="008A24D7" w:rsidRDefault="008A24D7" w:rsidP="00BC587F">
      <w:r>
        <w:t xml:space="preserve">A score between 1 and 3 was assigned to each of the costs and benefits for the feasible options; a score of 3 represented a strong cost or benefit. </w:t>
      </w:r>
      <w:r w:rsidR="00CD54FA">
        <w:t>Table 7</w:t>
      </w:r>
      <w:r w:rsidR="001E1790">
        <w:t>.1.1</w:t>
      </w:r>
      <w:r w:rsidR="005C2393">
        <w:t xml:space="preserve"> presents the assigned scores.</w:t>
      </w:r>
    </w:p>
    <w:p w14:paraId="5E426438" w14:textId="75DDB97B" w:rsidR="008A24D7" w:rsidRDefault="008A24D7" w:rsidP="00BC587F">
      <w:r>
        <w:t xml:space="preserve">While the initial consultation proposed to apply Option 6 to all packaged foods and drinks, feedback from the consultation </w:t>
      </w:r>
      <w:r w:rsidR="009320D8">
        <w:t xml:space="preserve">identified </w:t>
      </w:r>
      <w:r>
        <w:t xml:space="preserve">there is merit in considering Option 6 if it is applied only to </w:t>
      </w:r>
      <w:r w:rsidR="00A14533">
        <w:t>sugary beverages</w:t>
      </w:r>
      <w:r w:rsidR="00224E44">
        <w:t xml:space="preserve"> </w:t>
      </w:r>
      <w:r w:rsidR="00A14533">
        <w:t xml:space="preserve">/ </w:t>
      </w:r>
      <w:r>
        <w:t>sugar-sweetened beverages, and</w:t>
      </w:r>
      <w:r w:rsidR="009320D8">
        <w:t xml:space="preserve"> therefore</w:t>
      </w:r>
      <w:r w:rsidR="005C2393">
        <w:t xml:space="preserve"> this option was also assessed.</w:t>
      </w:r>
    </w:p>
    <w:p w14:paraId="340B93D5" w14:textId="352CCFF1" w:rsidR="008A24D7" w:rsidRDefault="008A24D7" w:rsidP="00BC587F">
      <w:r>
        <w:t xml:space="preserve">It is relevant to note that no weighting was given to the </w:t>
      </w:r>
      <w:r w:rsidR="009320D8">
        <w:t>impacts of the feasible options in this</w:t>
      </w:r>
      <w:r>
        <w:t xml:space="preserve"> analysis i</w:t>
      </w:r>
      <w:r w:rsidR="005C2393">
        <w:t>s only a high-level assessment.</w:t>
      </w:r>
    </w:p>
    <w:p w14:paraId="0B2E5D8A" w14:textId="19A03A54" w:rsidR="00CA4B41" w:rsidRDefault="008A24D7" w:rsidP="00BC587F">
      <w:r>
        <w:t xml:space="preserve">This </w:t>
      </w:r>
      <w:r w:rsidR="00236617">
        <w:t xml:space="preserve">qualitative </w:t>
      </w:r>
      <w:r w:rsidR="009320D8">
        <w:t>preliminary ass</w:t>
      </w:r>
      <w:r w:rsidR="00224E44">
        <w:t>essment of the feasible options</w:t>
      </w:r>
      <w:r>
        <w:t xml:space="preserve"> indicated that Option 4 and Option 6 (applied only to </w:t>
      </w:r>
      <w:r w:rsidR="00A14533">
        <w:t>sugary beverages</w:t>
      </w:r>
      <w:r w:rsidR="00224E44">
        <w:t xml:space="preserve"> </w:t>
      </w:r>
      <w:r w:rsidR="00A14533">
        <w:t xml:space="preserve">/ </w:t>
      </w:r>
      <w:r>
        <w:t xml:space="preserve">sugar-sweetened beverages) </w:t>
      </w:r>
      <w:r w:rsidR="005C2393">
        <w:t>offer the greatest net benefit.</w:t>
      </w:r>
    </w:p>
    <w:p w14:paraId="33F5205F" w14:textId="3C03B469" w:rsidR="008A24D7" w:rsidRPr="00800AE4" w:rsidRDefault="00BE6A72" w:rsidP="00BE6A72">
      <w:pPr>
        <w:pStyle w:val="Caption"/>
      </w:pPr>
      <w:r>
        <w:t>7.1.</w:t>
      </w:r>
      <w:fldSimple w:instr=" SEQ 7.1. \* ARABIC ">
        <w:r>
          <w:rPr>
            <w:noProof/>
          </w:rPr>
          <w:t>1</w:t>
        </w:r>
      </w:fldSimple>
      <w:r w:rsidR="008A24D7" w:rsidRPr="00F55738">
        <w:rPr>
          <w:noProof/>
        </w:rPr>
        <w:t xml:space="preserve">- Assessment of </w:t>
      </w:r>
      <w:r w:rsidR="009320D8">
        <w:rPr>
          <w:noProof/>
        </w:rPr>
        <w:t>potential impacts of</w:t>
      </w:r>
      <w:r w:rsidR="008A24D7" w:rsidRPr="00F55738">
        <w:rPr>
          <w:noProof/>
        </w:rPr>
        <w:t xml:space="preserve"> the feasible options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7.1.1 is a numerical assessment of the benefits and impacts of the feasible options. Each option is given a net benefit score."/>
      </w:tblPr>
      <w:tblGrid>
        <w:gridCol w:w="2097"/>
        <w:gridCol w:w="1527"/>
        <w:gridCol w:w="1509"/>
        <w:gridCol w:w="1531"/>
        <w:gridCol w:w="1524"/>
      </w:tblGrid>
      <w:tr w:rsidR="008A24D7" w14:paraId="7877283C" w14:textId="77777777" w:rsidTr="00183D44">
        <w:trPr>
          <w:cantSplit/>
          <w:tblHeader/>
        </w:trPr>
        <w:tc>
          <w:tcPr>
            <w:tcW w:w="2174" w:type="dxa"/>
          </w:tcPr>
          <w:p w14:paraId="5DE7B2FA" w14:textId="77777777" w:rsidR="008A24D7" w:rsidRPr="00006031" w:rsidRDefault="008A24D7" w:rsidP="00183D44">
            <w:pPr>
              <w:pStyle w:val="Tableheader"/>
            </w:pPr>
          </w:p>
        </w:tc>
        <w:tc>
          <w:tcPr>
            <w:tcW w:w="1560" w:type="dxa"/>
            <w:vAlign w:val="center"/>
          </w:tcPr>
          <w:p w14:paraId="0F288E76" w14:textId="448B1400" w:rsidR="008A24D7" w:rsidRPr="004F13AA" w:rsidRDefault="008A24D7" w:rsidP="00183D44">
            <w:pPr>
              <w:pStyle w:val="Tableheader"/>
            </w:pPr>
            <w:r w:rsidRPr="004F13AA">
              <w:t>Option 3</w:t>
            </w:r>
            <w:r w:rsidR="00FA3FBF" w:rsidRPr="004F13AA">
              <w:t xml:space="preserve"> </w:t>
            </w:r>
            <w:r w:rsidRPr="004F13AA">
              <w:t>(</w:t>
            </w:r>
            <w:r w:rsidR="005345F5" w:rsidRPr="004F13AA">
              <w:t>S</w:t>
            </w:r>
            <w:r w:rsidRPr="004F13AA">
              <w:t>tatement of ingredients)</w:t>
            </w:r>
          </w:p>
        </w:tc>
        <w:tc>
          <w:tcPr>
            <w:tcW w:w="1560" w:type="dxa"/>
            <w:vAlign w:val="center"/>
          </w:tcPr>
          <w:p w14:paraId="42D88892" w14:textId="2AD3894A" w:rsidR="008A24D7" w:rsidRPr="004F13AA" w:rsidRDefault="008A24D7" w:rsidP="00183D44">
            <w:pPr>
              <w:pStyle w:val="Tableheader"/>
            </w:pPr>
            <w:r w:rsidRPr="004F13AA">
              <w:t>Option 4</w:t>
            </w:r>
            <w:r w:rsidR="00FA3FBF" w:rsidRPr="004F13AA">
              <w:t xml:space="preserve"> </w:t>
            </w:r>
            <w:r w:rsidRPr="004F13AA">
              <w:t>(Added sugars quantified in the NIP)</w:t>
            </w:r>
          </w:p>
        </w:tc>
        <w:tc>
          <w:tcPr>
            <w:tcW w:w="1560" w:type="dxa"/>
            <w:vAlign w:val="center"/>
          </w:tcPr>
          <w:p w14:paraId="7476833F" w14:textId="140DBFC9" w:rsidR="008A24D7" w:rsidRPr="004F13AA" w:rsidRDefault="008A24D7" w:rsidP="00183D44">
            <w:pPr>
              <w:pStyle w:val="Tableheader"/>
            </w:pPr>
            <w:r w:rsidRPr="004F13AA">
              <w:t>Option 6</w:t>
            </w:r>
            <w:r w:rsidR="00FA3FBF" w:rsidRPr="004F13AA">
              <w:t xml:space="preserve"> </w:t>
            </w:r>
            <w:r w:rsidRPr="004F13AA">
              <w:t>(Pictorial approaches-</w:t>
            </w:r>
            <w:r w:rsidR="005C2393" w:rsidRPr="004F13AA">
              <w:t xml:space="preserve"> </w:t>
            </w:r>
            <w:r w:rsidRPr="004F13AA">
              <w:t>if applied to all foods)</w:t>
            </w:r>
          </w:p>
        </w:tc>
        <w:tc>
          <w:tcPr>
            <w:tcW w:w="1560" w:type="dxa"/>
            <w:vAlign w:val="center"/>
          </w:tcPr>
          <w:p w14:paraId="7245BD2C" w14:textId="75FF29C9" w:rsidR="008A24D7" w:rsidRPr="004F13AA" w:rsidRDefault="008A24D7" w:rsidP="00183D44">
            <w:pPr>
              <w:pStyle w:val="Tableheader"/>
            </w:pPr>
            <w:r w:rsidRPr="004F13AA">
              <w:t>Option 6</w:t>
            </w:r>
            <w:r w:rsidR="00FA3FBF" w:rsidRPr="004F13AA">
              <w:t xml:space="preserve"> </w:t>
            </w:r>
            <w:r w:rsidR="00AA37B6">
              <w:t xml:space="preserve">(Pictorial approaches - </w:t>
            </w:r>
            <w:r w:rsidRPr="004F13AA">
              <w:t xml:space="preserve">if applied only to </w:t>
            </w:r>
            <w:r w:rsidR="00A14533" w:rsidRPr="004F13AA">
              <w:t xml:space="preserve">sugary/ </w:t>
            </w:r>
            <w:r w:rsidRPr="004F13AA">
              <w:t>sugar-sweetened beverages)</w:t>
            </w:r>
          </w:p>
        </w:tc>
      </w:tr>
      <w:tr w:rsidR="008A24D7" w14:paraId="6C868975" w14:textId="77777777" w:rsidTr="00E170DA">
        <w:trPr>
          <w:trHeight w:val="340"/>
        </w:trPr>
        <w:tc>
          <w:tcPr>
            <w:tcW w:w="2174" w:type="dxa"/>
            <w:shd w:val="clear" w:color="auto" w:fill="D9D9D9" w:themeFill="background1" w:themeFillShade="D9"/>
          </w:tcPr>
          <w:p w14:paraId="0E4F76B8" w14:textId="77777777" w:rsidR="008A24D7" w:rsidRPr="00006031" w:rsidRDefault="008A24D7" w:rsidP="00183D44">
            <w:pPr>
              <w:pStyle w:val="Tabletext"/>
            </w:pPr>
            <w:r w:rsidRPr="00006031">
              <w:t>Benefits</w:t>
            </w:r>
          </w:p>
        </w:tc>
        <w:tc>
          <w:tcPr>
            <w:tcW w:w="1560" w:type="dxa"/>
            <w:shd w:val="clear" w:color="auto" w:fill="D9D9D9" w:themeFill="background1" w:themeFillShade="D9"/>
          </w:tcPr>
          <w:p w14:paraId="198A1A22" w14:textId="77777777" w:rsidR="008A24D7" w:rsidRPr="00006031" w:rsidRDefault="008A24D7" w:rsidP="00183D44">
            <w:pPr>
              <w:pStyle w:val="Tabletext"/>
              <w:rPr>
                <w:rFonts w:cstheme="minorHAnsi"/>
              </w:rPr>
            </w:pPr>
          </w:p>
        </w:tc>
        <w:tc>
          <w:tcPr>
            <w:tcW w:w="1560" w:type="dxa"/>
            <w:shd w:val="clear" w:color="auto" w:fill="D9D9D9" w:themeFill="background1" w:themeFillShade="D9"/>
          </w:tcPr>
          <w:p w14:paraId="6219410C" w14:textId="77777777" w:rsidR="008A24D7" w:rsidRPr="00006031" w:rsidRDefault="008A24D7" w:rsidP="00183D44">
            <w:pPr>
              <w:pStyle w:val="Tabletext"/>
              <w:rPr>
                <w:rFonts w:cstheme="minorHAnsi"/>
              </w:rPr>
            </w:pPr>
          </w:p>
        </w:tc>
        <w:tc>
          <w:tcPr>
            <w:tcW w:w="1560" w:type="dxa"/>
            <w:shd w:val="clear" w:color="auto" w:fill="D9D9D9" w:themeFill="background1" w:themeFillShade="D9"/>
          </w:tcPr>
          <w:p w14:paraId="7DE15A1F" w14:textId="77777777" w:rsidR="008A24D7" w:rsidRPr="00006031" w:rsidRDefault="008A24D7" w:rsidP="00183D44">
            <w:pPr>
              <w:pStyle w:val="Tabletext"/>
              <w:rPr>
                <w:rFonts w:cstheme="minorHAnsi"/>
              </w:rPr>
            </w:pPr>
          </w:p>
        </w:tc>
        <w:tc>
          <w:tcPr>
            <w:tcW w:w="1560" w:type="dxa"/>
            <w:shd w:val="clear" w:color="auto" w:fill="D9D9D9" w:themeFill="background1" w:themeFillShade="D9"/>
          </w:tcPr>
          <w:p w14:paraId="494B65A0" w14:textId="77777777" w:rsidR="008A24D7" w:rsidRPr="00006031" w:rsidRDefault="008A24D7" w:rsidP="00183D44">
            <w:pPr>
              <w:pStyle w:val="Tabletext"/>
              <w:rPr>
                <w:rFonts w:cstheme="minorHAnsi"/>
              </w:rPr>
            </w:pPr>
          </w:p>
        </w:tc>
      </w:tr>
      <w:tr w:rsidR="008A24D7" w14:paraId="1442B741" w14:textId="77777777" w:rsidTr="00E170DA">
        <w:trPr>
          <w:trHeight w:val="340"/>
        </w:trPr>
        <w:tc>
          <w:tcPr>
            <w:tcW w:w="2174" w:type="dxa"/>
          </w:tcPr>
          <w:p w14:paraId="005441A6" w14:textId="77777777" w:rsidR="008A24D7" w:rsidRPr="00006031" w:rsidRDefault="008A24D7" w:rsidP="00183D44">
            <w:pPr>
              <w:pStyle w:val="Tabletext"/>
            </w:pPr>
            <w:r w:rsidRPr="00006031">
              <w:t>Information for consumers</w:t>
            </w:r>
          </w:p>
        </w:tc>
        <w:tc>
          <w:tcPr>
            <w:tcW w:w="1560" w:type="dxa"/>
          </w:tcPr>
          <w:p w14:paraId="3B671F66" w14:textId="77777777" w:rsidR="008A24D7" w:rsidRPr="00006031" w:rsidRDefault="008A24D7" w:rsidP="00183D44">
            <w:pPr>
              <w:pStyle w:val="Tabletext"/>
            </w:pPr>
            <w:r w:rsidRPr="00006031">
              <w:t>1</w:t>
            </w:r>
          </w:p>
        </w:tc>
        <w:tc>
          <w:tcPr>
            <w:tcW w:w="1560" w:type="dxa"/>
          </w:tcPr>
          <w:p w14:paraId="7E2C5854" w14:textId="77777777" w:rsidR="008A24D7" w:rsidRPr="00006031" w:rsidRDefault="008A24D7" w:rsidP="00183D44">
            <w:pPr>
              <w:pStyle w:val="Tabletext"/>
            </w:pPr>
            <w:r w:rsidRPr="00006031">
              <w:t>2</w:t>
            </w:r>
          </w:p>
        </w:tc>
        <w:tc>
          <w:tcPr>
            <w:tcW w:w="1560" w:type="dxa"/>
          </w:tcPr>
          <w:p w14:paraId="064599A9" w14:textId="77777777" w:rsidR="008A24D7" w:rsidRPr="00006031" w:rsidRDefault="008A24D7" w:rsidP="00183D44">
            <w:pPr>
              <w:pStyle w:val="Tabletext"/>
            </w:pPr>
            <w:r w:rsidRPr="00006031">
              <w:t>3</w:t>
            </w:r>
          </w:p>
        </w:tc>
        <w:tc>
          <w:tcPr>
            <w:tcW w:w="1560" w:type="dxa"/>
          </w:tcPr>
          <w:p w14:paraId="3724A7B6" w14:textId="77777777" w:rsidR="008A24D7" w:rsidRPr="00006031" w:rsidRDefault="008A24D7" w:rsidP="00183D44">
            <w:pPr>
              <w:pStyle w:val="Tabletext"/>
            </w:pPr>
            <w:r w:rsidRPr="00006031">
              <w:t>3</w:t>
            </w:r>
          </w:p>
        </w:tc>
      </w:tr>
      <w:tr w:rsidR="008A24D7" w14:paraId="147DEB71" w14:textId="77777777" w:rsidTr="00E170DA">
        <w:trPr>
          <w:trHeight w:val="340"/>
        </w:trPr>
        <w:tc>
          <w:tcPr>
            <w:tcW w:w="2174" w:type="dxa"/>
          </w:tcPr>
          <w:p w14:paraId="5E7CECB0" w14:textId="77777777" w:rsidR="008A24D7" w:rsidRPr="00006031" w:rsidRDefault="008A24D7" w:rsidP="00183D44">
            <w:pPr>
              <w:pStyle w:val="Tabletext"/>
            </w:pPr>
            <w:r w:rsidRPr="00006031">
              <w:t>Food reformulation</w:t>
            </w:r>
          </w:p>
        </w:tc>
        <w:tc>
          <w:tcPr>
            <w:tcW w:w="1560" w:type="dxa"/>
          </w:tcPr>
          <w:p w14:paraId="7990FEFD" w14:textId="77777777" w:rsidR="008A24D7" w:rsidRPr="00006031" w:rsidRDefault="008A24D7" w:rsidP="00183D44">
            <w:pPr>
              <w:pStyle w:val="Tabletext"/>
            </w:pPr>
            <w:r w:rsidRPr="00006031">
              <w:t>1</w:t>
            </w:r>
          </w:p>
        </w:tc>
        <w:tc>
          <w:tcPr>
            <w:tcW w:w="1560" w:type="dxa"/>
          </w:tcPr>
          <w:p w14:paraId="4A93350F" w14:textId="77777777" w:rsidR="008A24D7" w:rsidRPr="00006031" w:rsidRDefault="008A24D7" w:rsidP="00183D44">
            <w:pPr>
              <w:pStyle w:val="Tabletext"/>
            </w:pPr>
            <w:r w:rsidRPr="00006031">
              <w:t>3</w:t>
            </w:r>
          </w:p>
        </w:tc>
        <w:tc>
          <w:tcPr>
            <w:tcW w:w="1560" w:type="dxa"/>
          </w:tcPr>
          <w:p w14:paraId="0C6751C0" w14:textId="77777777" w:rsidR="008A24D7" w:rsidRPr="00006031" w:rsidRDefault="008A24D7" w:rsidP="00183D44">
            <w:pPr>
              <w:pStyle w:val="Tabletext"/>
            </w:pPr>
            <w:r w:rsidRPr="00006031">
              <w:t>3</w:t>
            </w:r>
          </w:p>
        </w:tc>
        <w:tc>
          <w:tcPr>
            <w:tcW w:w="1560" w:type="dxa"/>
          </w:tcPr>
          <w:p w14:paraId="72B7E94C" w14:textId="77777777" w:rsidR="008A24D7" w:rsidRPr="00006031" w:rsidRDefault="008A24D7" w:rsidP="00183D44">
            <w:pPr>
              <w:pStyle w:val="Tabletext"/>
            </w:pPr>
            <w:r w:rsidRPr="00006031">
              <w:t>2</w:t>
            </w:r>
          </w:p>
        </w:tc>
      </w:tr>
      <w:tr w:rsidR="008A24D7" w14:paraId="37FAEAFE" w14:textId="77777777" w:rsidTr="00E170DA">
        <w:trPr>
          <w:trHeight w:val="340"/>
        </w:trPr>
        <w:tc>
          <w:tcPr>
            <w:tcW w:w="2174" w:type="dxa"/>
          </w:tcPr>
          <w:p w14:paraId="3DBE1801" w14:textId="77777777" w:rsidR="008A24D7" w:rsidRPr="00006031" w:rsidRDefault="008A24D7" w:rsidP="00183D44">
            <w:pPr>
              <w:pStyle w:val="Tabletext"/>
            </w:pPr>
            <w:r w:rsidRPr="00006031">
              <w:t>Public health sector</w:t>
            </w:r>
          </w:p>
        </w:tc>
        <w:tc>
          <w:tcPr>
            <w:tcW w:w="1560" w:type="dxa"/>
          </w:tcPr>
          <w:p w14:paraId="40ABC2EB" w14:textId="77777777" w:rsidR="008A24D7" w:rsidRPr="00006031" w:rsidRDefault="008A24D7" w:rsidP="00183D44">
            <w:pPr>
              <w:pStyle w:val="Tabletext"/>
            </w:pPr>
            <w:r w:rsidRPr="00006031">
              <w:t>1</w:t>
            </w:r>
          </w:p>
        </w:tc>
        <w:tc>
          <w:tcPr>
            <w:tcW w:w="1560" w:type="dxa"/>
          </w:tcPr>
          <w:p w14:paraId="18618212" w14:textId="77777777" w:rsidR="008A24D7" w:rsidRPr="00006031" w:rsidRDefault="008A24D7" w:rsidP="00183D44">
            <w:pPr>
              <w:pStyle w:val="Tabletext"/>
            </w:pPr>
            <w:r w:rsidRPr="00006031">
              <w:t>3</w:t>
            </w:r>
          </w:p>
        </w:tc>
        <w:tc>
          <w:tcPr>
            <w:tcW w:w="1560" w:type="dxa"/>
          </w:tcPr>
          <w:p w14:paraId="6FC7B810" w14:textId="77777777" w:rsidR="008A24D7" w:rsidRPr="00006031" w:rsidRDefault="008A24D7" w:rsidP="00183D44">
            <w:pPr>
              <w:pStyle w:val="Tabletext"/>
            </w:pPr>
            <w:r w:rsidRPr="00006031">
              <w:t>2</w:t>
            </w:r>
          </w:p>
        </w:tc>
        <w:tc>
          <w:tcPr>
            <w:tcW w:w="1560" w:type="dxa"/>
          </w:tcPr>
          <w:p w14:paraId="5BED419C" w14:textId="77777777" w:rsidR="008A24D7" w:rsidRPr="00006031" w:rsidRDefault="008A24D7" w:rsidP="00183D44">
            <w:pPr>
              <w:pStyle w:val="Tabletext"/>
            </w:pPr>
            <w:r w:rsidRPr="00006031">
              <w:t>2</w:t>
            </w:r>
          </w:p>
        </w:tc>
      </w:tr>
      <w:tr w:rsidR="008A24D7" w14:paraId="4E8EAC59" w14:textId="77777777" w:rsidTr="00E170DA">
        <w:trPr>
          <w:trHeight w:val="340"/>
        </w:trPr>
        <w:tc>
          <w:tcPr>
            <w:tcW w:w="2174" w:type="dxa"/>
          </w:tcPr>
          <w:p w14:paraId="3015ECA3" w14:textId="77777777" w:rsidR="008A24D7" w:rsidRPr="00006031" w:rsidRDefault="008A24D7" w:rsidP="00183D44">
            <w:pPr>
              <w:pStyle w:val="Tabletext"/>
            </w:pPr>
            <w:r w:rsidRPr="00006031">
              <w:t>Healthy food choices</w:t>
            </w:r>
          </w:p>
        </w:tc>
        <w:tc>
          <w:tcPr>
            <w:tcW w:w="1560" w:type="dxa"/>
          </w:tcPr>
          <w:p w14:paraId="5424054D" w14:textId="77777777" w:rsidR="008A24D7" w:rsidRPr="00006031" w:rsidRDefault="008A24D7" w:rsidP="00183D44">
            <w:pPr>
              <w:pStyle w:val="Tabletext"/>
            </w:pPr>
            <w:r w:rsidRPr="00006031">
              <w:t>2</w:t>
            </w:r>
          </w:p>
        </w:tc>
        <w:tc>
          <w:tcPr>
            <w:tcW w:w="1560" w:type="dxa"/>
          </w:tcPr>
          <w:p w14:paraId="04EC3DE2" w14:textId="77777777" w:rsidR="008A24D7" w:rsidRPr="00006031" w:rsidRDefault="008A24D7" w:rsidP="00183D44">
            <w:pPr>
              <w:pStyle w:val="Tabletext"/>
            </w:pPr>
            <w:r w:rsidRPr="00006031">
              <w:t>2</w:t>
            </w:r>
          </w:p>
        </w:tc>
        <w:tc>
          <w:tcPr>
            <w:tcW w:w="1560" w:type="dxa"/>
          </w:tcPr>
          <w:p w14:paraId="760EB195" w14:textId="77777777" w:rsidR="008A24D7" w:rsidRPr="00006031" w:rsidRDefault="008A24D7" w:rsidP="00183D44">
            <w:pPr>
              <w:pStyle w:val="Tabletext"/>
            </w:pPr>
            <w:r w:rsidRPr="00006031">
              <w:t>3</w:t>
            </w:r>
          </w:p>
        </w:tc>
        <w:tc>
          <w:tcPr>
            <w:tcW w:w="1560" w:type="dxa"/>
          </w:tcPr>
          <w:p w14:paraId="2CBFA0F5" w14:textId="77777777" w:rsidR="008A24D7" w:rsidRPr="00006031" w:rsidRDefault="008A24D7" w:rsidP="00183D44">
            <w:pPr>
              <w:pStyle w:val="Tabletext"/>
            </w:pPr>
            <w:r w:rsidRPr="00006031">
              <w:t>3</w:t>
            </w:r>
          </w:p>
        </w:tc>
      </w:tr>
      <w:tr w:rsidR="008A24D7" w14:paraId="6ECFA3F1" w14:textId="77777777" w:rsidTr="00E170DA">
        <w:trPr>
          <w:trHeight w:val="340"/>
        </w:trPr>
        <w:tc>
          <w:tcPr>
            <w:tcW w:w="2174" w:type="dxa"/>
          </w:tcPr>
          <w:p w14:paraId="5276A7E6" w14:textId="77777777" w:rsidR="008A24D7" w:rsidRPr="005C2393" w:rsidRDefault="008A24D7" w:rsidP="00183D44">
            <w:pPr>
              <w:pStyle w:val="Tabletext"/>
              <w:rPr>
                <w:rStyle w:val="Emphasis"/>
              </w:rPr>
            </w:pPr>
            <w:r w:rsidRPr="005C2393">
              <w:rPr>
                <w:rStyle w:val="Emphasis"/>
              </w:rPr>
              <w:t>Sum of benefits</w:t>
            </w:r>
          </w:p>
        </w:tc>
        <w:tc>
          <w:tcPr>
            <w:tcW w:w="1560" w:type="dxa"/>
          </w:tcPr>
          <w:p w14:paraId="2D140D07" w14:textId="77777777" w:rsidR="008A24D7" w:rsidRPr="005C2393" w:rsidRDefault="008A24D7" w:rsidP="00183D44">
            <w:pPr>
              <w:pStyle w:val="Tabletext"/>
              <w:rPr>
                <w:rStyle w:val="Emphasis"/>
              </w:rPr>
            </w:pPr>
            <w:r w:rsidRPr="005C2393">
              <w:rPr>
                <w:rStyle w:val="Emphasis"/>
              </w:rPr>
              <w:t>5</w:t>
            </w:r>
          </w:p>
        </w:tc>
        <w:tc>
          <w:tcPr>
            <w:tcW w:w="1560" w:type="dxa"/>
          </w:tcPr>
          <w:p w14:paraId="7544A3A6" w14:textId="77777777" w:rsidR="008A24D7" w:rsidRPr="005C2393" w:rsidRDefault="008A24D7" w:rsidP="00183D44">
            <w:pPr>
              <w:pStyle w:val="Tabletext"/>
              <w:rPr>
                <w:rStyle w:val="Emphasis"/>
              </w:rPr>
            </w:pPr>
            <w:r w:rsidRPr="005C2393">
              <w:rPr>
                <w:rStyle w:val="Emphasis"/>
              </w:rPr>
              <w:t>10</w:t>
            </w:r>
          </w:p>
        </w:tc>
        <w:tc>
          <w:tcPr>
            <w:tcW w:w="1560" w:type="dxa"/>
          </w:tcPr>
          <w:p w14:paraId="65471CE6" w14:textId="77777777" w:rsidR="008A24D7" w:rsidRPr="005C2393" w:rsidRDefault="008A24D7" w:rsidP="00183D44">
            <w:pPr>
              <w:pStyle w:val="Tabletext"/>
              <w:rPr>
                <w:rStyle w:val="Emphasis"/>
              </w:rPr>
            </w:pPr>
            <w:r w:rsidRPr="005C2393">
              <w:rPr>
                <w:rStyle w:val="Emphasis"/>
              </w:rPr>
              <w:t>11</w:t>
            </w:r>
          </w:p>
        </w:tc>
        <w:tc>
          <w:tcPr>
            <w:tcW w:w="1560" w:type="dxa"/>
          </w:tcPr>
          <w:p w14:paraId="742C9EA9" w14:textId="77777777" w:rsidR="008A24D7" w:rsidRPr="005C2393" w:rsidRDefault="008A24D7" w:rsidP="00183D44">
            <w:pPr>
              <w:pStyle w:val="Tabletext"/>
              <w:rPr>
                <w:rStyle w:val="Emphasis"/>
              </w:rPr>
            </w:pPr>
            <w:r w:rsidRPr="005C2393">
              <w:rPr>
                <w:rStyle w:val="Emphasis"/>
              </w:rPr>
              <w:t>10</w:t>
            </w:r>
          </w:p>
        </w:tc>
      </w:tr>
      <w:tr w:rsidR="008A24D7" w14:paraId="4265E8BB" w14:textId="77777777" w:rsidTr="00E170DA">
        <w:trPr>
          <w:trHeight w:val="340"/>
        </w:trPr>
        <w:tc>
          <w:tcPr>
            <w:tcW w:w="2174" w:type="dxa"/>
            <w:shd w:val="clear" w:color="auto" w:fill="D9D9D9" w:themeFill="background1" w:themeFillShade="D9"/>
          </w:tcPr>
          <w:p w14:paraId="2ED139C8" w14:textId="58E3FFBF" w:rsidR="008A24D7" w:rsidRPr="00006031" w:rsidRDefault="009320D8" w:rsidP="00183D44">
            <w:pPr>
              <w:pStyle w:val="Tabletext"/>
            </w:pPr>
            <w:r>
              <w:t>Impacts</w:t>
            </w:r>
          </w:p>
        </w:tc>
        <w:tc>
          <w:tcPr>
            <w:tcW w:w="1560" w:type="dxa"/>
            <w:shd w:val="clear" w:color="auto" w:fill="D9D9D9" w:themeFill="background1" w:themeFillShade="D9"/>
          </w:tcPr>
          <w:p w14:paraId="2BA2706B" w14:textId="77777777" w:rsidR="008A24D7" w:rsidRPr="00006031" w:rsidRDefault="008A24D7" w:rsidP="00183D44">
            <w:pPr>
              <w:pStyle w:val="Tabletext"/>
              <w:rPr>
                <w:rFonts w:cstheme="minorHAnsi"/>
              </w:rPr>
            </w:pPr>
          </w:p>
        </w:tc>
        <w:tc>
          <w:tcPr>
            <w:tcW w:w="1560" w:type="dxa"/>
            <w:shd w:val="clear" w:color="auto" w:fill="D9D9D9" w:themeFill="background1" w:themeFillShade="D9"/>
          </w:tcPr>
          <w:p w14:paraId="11BF8CA5" w14:textId="77777777" w:rsidR="008A24D7" w:rsidRPr="00006031" w:rsidRDefault="008A24D7" w:rsidP="00183D44">
            <w:pPr>
              <w:pStyle w:val="Tabletext"/>
              <w:rPr>
                <w:rFonts w:cstheme="minorHAnsi"/>
              </w:rPr>
            </w:pPr>
          </w:p>
        </w:tc>
        <w:tc>
          <w:tcPr>
            <w:tcW w:w="1560" w:type="dxa"/>
            <w:shd w:val="clear" w:color="auto" w:fill="D9D9D9" w:themeFill="background1" w:themeFillShade="D9"/>
          </w:tcPr>
          <w:p w14:paraId="7C834C43" w14:textId="77777777" w:rsidR="008A24D7" w:rsidRPr="00006031" w:rsidRDefault="008A24D7" w:rsidP="00183D44">
            <w:pPr>
              <w:pStyle w:val="Tabletext"/>
              <w:rPr>
                <w:rFonts w:cstheme="minorHAnsi"/>
              </w:rPr>
            </w:pPr>
          </w:p>
        </w:tc>
        <w:tc>
          <w:tcPr>
            <w:tcW w:w="1560" w:type="dxa"/>
            <w:shd w:val="clear" w:color="auto" w:fill="D9D9D9" w:themeFill="background1" w:themeFillShade="D9"/>
          </w:tcPr>
          <w:p w14:paraId="54119AA1" w14:textId="77777777" w:rsidR="008A24D7" w:rsidRPr="00006031" w:rsidRDefault="008A24D7" w:rsidP="00183D44">
            <w:pPr>
              <w:pStyle w:val="Tabletext"/>
              <w:rPr>
                <w:rFonts w:cstheme="minorHAnsi"/>
              </w:rPr>
            </w:pPr>
          </w:p>
        </w:tc>
      </w:tr>
      <w:tr w:rsidR="008A24D7" w14:paraId="1D432140" w14:textId="77777777" w:rsidTr="00E170DA">
        <w:trPr>
          <w:trHeight w:val="340"/>
        </w:trPr>
        <w:tc>
          <w:tcPr>
            <w:tcW w:w="2174" w:type="dxa"/>
          </w:tcPr>
          <w:p w14:paraId="5A9E2A65" w14:textId="0A0680CE" w:rsidR="008A24D7" w:rsidRPr="00006031" w:rsidRDefault="009320D8" w:rsidP="00183D44">
            <w:pPr>
              <w:pStyle w:val="Tabletext"/>
            </w:pPr>
            <w:r>
              <w:t>Impacts on the</w:t>
            </w:r>
            <w:r w:rsidR="008A24D7" w:rsidRPr="00006031">
              <w:t xml:space="preserve"> food industry</w:t>
            </w:r>
          </w:p>
        </w:tc>
        <w:tc>
          <w:tcPr>
            <w:tcW w:w="1560" w:type="dxa"/>
          </w:tcPr>
          <w:p w14:paraId="00CD4414" w14:textId="77777777" w:rsidR="008A24D7" w:rsidRPr="00006031" w:rsidRDefault="008A24D7" w:rsidP="00183D44">
            <w:pPr>
              <w:pStyle w:val="Tabletext"/>
            </w:pPr>
            <w:r w:rsidRPr="00006031">
              <w:t>1</w:t>
            </w:r>
          </w:p>
        </w:tc>
        <w:tc>
          <w:tcPr>
            <w:tcW w:w="1560" w:type="dxa"/>
          </w:tcPr>
          <w:p w14:paraId="5DB96F82" w14:textId="77777777" w:rsidR="008A24D7" w:rsidRPr="00006031" w:rsidRDefault="008A24D7" w:rsidP="00183D44">
            <w:pPr>
              <w:pStyle w:val="Tabletext"/>
            </w:pPr>
            <w:r w:rsidRPr="00006031">
              <w:t>2</w:t>
            </w:r>
          </w:p>
        </w:tc>
        <w:tc>
          <w:tcPr>
            <w:tcW w:w="1560" w:type="dxa"/>
          </w:tcPr>
          <w:p w14:paraId="2DF7A991" w14:textId="77777777" w:rsidR="008A24D7" w:rsidRPr="00006031" w:rsidRDefault="008A24D7" w:rsidP="00183D44">
            <w:pPr>
              <w:pStyle w:val="Tabletext"/>
            </w:pPr>
            <w:r w:rsidRPr="00006031">
              <w:t>3</w:t>
            </w:r>
          </w:p>
        </w:tc>
        <w:tc>
          <w:tcPr>
            <w:tcW w:w="1560" w:type="dxa"/>
          </w:tcPr>
          <w:p w14:paraId="1130EEBA" w14:textId="77777777" w:rsidR="008A24D7" w:rsidRPr="00006031" w:rsidRDefault="008A24D7" w:rsidP="00183D44">
            <w:pPr>
              <w:pStyle w:val="Tabletext"/>
            </w:pPr>
            <w:r w:rsidRPr="00006031">
              <w:t>1</w:t>
            </w:r>
          </w:p>
        </w:tc>
      </w:tr>
      <w:tr w:rsidR="008A24D7" w14:paraId="7B6C6611" w14:textId="77777777" w:rsidTr="00E170DA">
        <w:trPr>
          <w:trHeight w:val="340"/>
        </w:trPr>
        <w:tc>
          <w:tcPr>
            <w:tcW w:w="2174" w:type="dxa"/>
          </w:tcPr>
          <w:p w14:paraId="335F5943" w14:textId="77777777" w:rsidR="008A24D7" w:rsidRPr="00006031" w:rsidRDefault="008A24D7" w:rsidP="00183D44">
            <w:pPr>
              <w:pStyle w:val="Tabletext"/>
            </w:pPr>
            <w:r w:rsidRPr="00006031">
              <w:t>Impacts on food label</w:t>
            </w:r>
          </w:p>
        </w:tc>
        <w:tc>
          <w:tcPr>
            <w:tcW w:w="1560" w:type="dxa"/>
          </w:tcPr>
          <w:p w14:paraId="6BF01DFA" w14:textId="77777777" w:rsidR="008A24D7" w:rsidRPr="00006031" w:rsidRDefault="008A24D7" w:rsidP="00183D44">
            <w:pPr>
              <w:pStyle w:val="Tabletext"/>
            </w:pPr>
            <w:r w:rsidRPr="00006031">
              <w:t>1</w:t>
            </w:r>
          </w:p>
        </w:tc>
        <w:tc>
          <w:tcPr>
            <w:tcW w:w="1560" w:type="dxa"/>
          </w:tcPr>
          <w:p w14:paraId="75BAFA53" w14:textId="77777777" w:rsidR="008A24D7" w:rsidRPr="00006031" w:rsidRDefault="008A24D7" w:rsidP="00183D44">
            <w:pPr>
              <w:pStyle w:val="Tabletext"/>
            </w:pPr>
            <w:r w:rsidRPr="00006031">
              <w:t>1</w:t>
            </w:r>
          </w:p>
        </w:tc>
        <w:tc>
          <w:tcPr>
            <w:tcW w:w="1560" w:type="dxa"/>
          </w:tcPr>
          <w:p w14:paraId="212241C2" w14:textId="77777777" w:rsidR="008A24D7" w:rsidRPr="00006031" w:rsidRDefault="008A24D7" w:rsidP="00183D44">
            <w:pPr>
              <w:pStyle w:val="Tabletext"/>
            </w:pPr>
            <w:r w:rsidRPr="00006031">
              <w:t>3</w:t>
            </w:r>
          </w:p>
        </w:tc>
        <w:tc>
          <w:tcPr>
            <w:tcW w:w="1560" w:type="dxa"/>
          </w:tcPr>
          <w:p w14:paraId="3A416FD7" w14:textId="77777777" w:rsidR="008A24D7" w:rsidRPr="00006031" w:rsidRDefault="008A24D7" w:rsidP="00183D44">
            <w:pPr>
              <w:pStyle w:val="Tabletext"/>
            </w:pPr>
            <w:r w:rsidRPr="00006031">
              <w:t>2</w:t>
            </w:r>
          </w:p>
        </w:tc>
      </w:tr>
      <w:tr w:rsidR="008A24D7" w14:paraId="51FF9D90" w14:textId="77777777" w:rsidTr="00E170DA">
        <w:trPr>
          <w:trHeight w:val="340"/>
        </w:trPr>
        <w:tc>
          <w:tcPr>
            <w:tcW w:w="2174" w:type="dxa"/>
          </w:tcPr>
          <w:p w14:paraId="089487A6" w14:textId="77777777" w:rsidR="008A24D7" w:rsidRPr="00006031" w:rsidRDefault="008A24D7" w:rsidP="00183D44">
            <w:pPr>
              <w:pStyle w:val="Tabletext"/>
            </w:pPr>
            <w:r w:rsidRPr="00006031">
              <w:t>Impacts on food regulators</w:t>
            </w:r>
          </w:p>
        </w:tc>
        <w:tc>
          <w:tcPr>
            <w:tcW w:w="1560" w:type="dxa"/>
          </w:tcPr>
          <w:p w14:paraId="4524AD51" w14:textId="77777777" w:rsidR="008A24D7" w:rsidRPr="00006031" w:rsidRDefault="008A24D7" w:rsidP="00183D44">
            <w:pPr>
              <w:pStyle w:val="Tabletext"/>
            </w:pPr>
            <w:r w:rsidRPr="00006031">
              <w:t>1</w:t>
            </w:r>
          </w:p>
        </w:tc>
        <w:tc>
          <w:tcPr>
            <w:tcW w:w="1560" w:type="dxa"/>
          </w:tcPr>
          <w:p w14:paraId="2B19D73E" w14:textId="77777777" w:rsidR="008A24D7" w:rsidRPr="00006031" w:rsidRDefault="008A24D7" w:rsidP="00183D44">
            <w:pPr>
              <w:pStyle w:val="Tabletext"/>
            </w:pPr>
            <w:r w:rsidRPr="00006031">
              <w:t>2</w:t>
            </w:r>
          </w:p>
        </w:tc>
        <w:tc>
          <w:tcPr>
            <w:tcW w:w="1560" w:type="dxa"/>
          </w:tcPr>
          <w:p w14:paraId="19631EB2" w14:textId="77777777" w:rsidR="008A24D7" w:rsidRPr="00006031" w:rsidRDefault="008A24D7" w:rsidP="00183D44">
            <w:pPr>
              <w:pStyle w:val="Tabletext"/>
            </w:pPr>
            <w:r w:rsidRPr="00006031">
              <w:t>2</w:t>
            </w:r>
          </w:p>
        </w:tc>
        <w:tc>
          <w:tcPr>
            <w:tcW w:w="1560" w:type="dxa"/>
          </w:tcPr>
          <w:p w14:paraId="0A9D5CD9" w14:textId="77777777" w:rsidR="008A24D7" w:rsidRPr="00006031" w:rsidRDefault="008A24D7" w:rsidP="00183D44">
            <w:pPr>
              <w:pStyle w:val="Tabletext"/>
            </w:pPr>
            <w:r w:rsidRPr="00006031">
              <w:t>2</w:t>
            </w:r>
          </w:p>
        </w:tc>
      </w:tr>
      <w:tr w:rsidR="008A24D7" w14:paraId="6F09B60F" w14:textId="77777777" w:rsidTr="00E170DA">
        <w:trPr>
          <w:trHeight w:val="340"/>
        </w:trPr>
        <w:tc>
          <w:tcPr>
            <w:tcW w:w="2174" w:type="dxa"/>
          </w:tcPr>
          <w:p w14:paraId="564C8802" w14:textId="77777777" w:rsidR="008A24D7" w:rsidRPr="00006031" w:rsidRDefault="008A24D7" w:rsidP="00183D44">
            <w:pPr>
              <w:pStyle w:val="Tabletext"/>
            </w:pPr>
            <w:r w:rsidRPr="00006031">
              <w:t>Impacts on consumer understanding</w:t>
            </w:r>
          </w:p>
        </w:tc>
        <w:tc>
          <w:tcPr>
            <w:tcW w:w="1560" w:type="dxa"/>
          </w:tcPr>
          <w:p w14:paraId="510AA7BE" w14:textId="77777777" w:rsidR="008A24D7" w:rsidRPr="00006031" w:rsidRDefault="008A24D7" w:rsidP="00183D44">
            <w:pPr>
              <w:pStyle w:val="Tabletext"/>
            </w:pPr>
            <w:r w:rsidRPr="00006031">
              <w:t>3</w:t>
            </w:r>
          </w:p>
        </w:tc>
        <w:tc>
          <w:tcPr>
            <w:tcW w:w="1560" w:type="dxa"/>
          </w:tcPr>
          <w:p w14:paraId="20D1F6E5" w14:textId="77777777" w:rsidR="008A24D7" w:rsidRPr="00006031" w:rsidRDefault="008A24D7" w:rsidP="00183D44">
            <w:pPr>
              <w:pStyle w:val="Tabletext"/>
            </w:pPr>
            <w:r w:rsidRPr="00006031">
              <w:t>1</w:t>
            </w:r>
          </w:p>
        </w:tc>
        <w:tc>
          <w:tcPr>
            <w:tcW w:w="1560" w:type="dxa"/>
          </w:tcPr>
          <w:p w14:paraId="31F984FC" w14:textId="77777777" w:rsidR="008A24D7" w:rsidRPr="00006031" w:rsidRDefault="008A24D7" w:rsidP="00183D44">
            <w:pPr>
              <w:pStyle w:val="Tabletext"/>
            </w:pPr>
            <w:r w:rsidRPr="00006031">
              <w:t>3</w:t>
            </w:r>
          </w:p>
        </w:tc>
        <w:tc>
          <w:tcPr>
            <w:tcW w:w="1560" w:type="dxa"/>
          </w:tcPr>
          <w:p w14:paraId="4C6F9090" w14:textId="77777777" w:rsidR="008A24D7" w:rsidRPr="00BC587F" w:rsidRDefault="008A24D7" w:rsidP="00183D44">
            <w:pPr>
              <w:pStyle w:val="Tabletext"/>
            </w:pPr>
            <w:r w:rsidRPr="00BC587F">
              <w:t>2</w:t>
            </w:r>
          </w:p>
        </w:tc>
      </w:tr>
      <w:tr w:rsidR="008A24D7" w14:paraId="6D09E81C" w14:textId="77777777" w:rsidTr="00E170DA">
        <w:trPr>
          <w:trHeight w:val="340"/>
        </w:trPr>
        <w:tc>
          <w:tcPr>
            <w:tcW w:w="2174" w:type="dxa"/>
          </w:tcPr>
          <w:p w14:paraId="629A3DCE" w14:textId="77777777" w:rsidR="008A24D7" w:rsidRPr="005C2393" w:rsidRDefault="008A24D7" w:rsidP="00183D44">
            <w:pPr>
              <w:pStyle w:val="Tabletext"/>
              <w:rPr>
                <w:rStyle w:val="Emphasis"/>
              </w:rPr>
            </w:pPr>
            <w:r w:rsidRPr="005C2393">
              <w:rPr>
                <w:rStyle w:val="Emphasis"/>
              </w:rPr>
              <w:t>Sum of costs</w:t>
            </w:r>
          </w:p>
        </w:tc>
        <w:tc>
          <w:tcPr>
            <w:tcW w:w="1560" w:type="dxa"/>
          </w:tcPr>
          <w:p w14:paraId="5241F874" w14:textId="77777777" w:rsidR="008A24D7" w:rsidRPr="005C2393" w:rsidRDefault="008A24D7" w:rsidP="00183D44">
            <w:pPr>
              <w:pStyle w:val="Tabletext"/>
              <w:rPr>
                <w:rStyle w:val="Emphasis"/>
              </w:rPr>
            </w:pPr>
            <w:r w:rsidRPr="005C2393">
              <w:rPr>
                <w:rStyle w:val="Emphasis"/>
              </w:rPr>
              <w:t>6</w:t>
            </w:r>
          </w:p>
        </w:tc>
        <w:tc>
          <w:tcPr>
            <w:tcW w:w="1560" w:type="dxa"/>
          </w:tcPr>
          <w:p w14:paraId="47E55434" w14:textId="77777777" w:rsidR="008A24D7" w:rsidRPr="005C2393" w:rsidRDefault="008A24D7" w:rsidP="00183D44">
            <w:pPr>
              <w:pStyle w:val="Tabletext"/>
              <w:rPr>
                <w:rStyle w:val="Emphasis"/>
              </w:rPr>
            </w:pPr>
            <w:r w:rsidRPr="005C2393">
              <w:rPr>
                <w:rStyle w:val="Emphasis"/>
              </w:rPr>
              <w:t>6</w:t>
            </w:r>
          </w:p>
        </w:tc>
        <w:tc>
          <w:tcPr>
            <w:tcW w:w="1560" w:type="dxa"/>
          </w:tcPr>
          <w:p w14:paraId="43DC3578" w14:textId="77777777" w:rsidR="008A24D7" w:rsidRPr="005C2393" w:rsidRDefault="008A24D7" w:rsidP="00183D44">
            <w:pPr>
              <w:pStyle w:val="Tabletext"/>
              <w:rPr>
                <w:rStyle w:val="Emphasis"/>
              </w:rPr>
            </w:pPr>
            <w:r w:rsidRPr="005C2393">
              <w:rPr>
                <w:rStyle w:val="Emphasis"/>
              </w:rPr>
              <w:t>11</w:t>
            </w:r>
          </w:p>
        </w:tc>
        <w:tc>
          <w:tcPr>
            <w:tcW w:w="1560" w:type="dxa"/>
          </w:tcPr>
          <w:p w14:paraId="71FC099E" w14:textId="77777777" w:rsidR="008A24D7" w:rsidRPr="005C2393" w:rsidRDefault="008A24D7" w:rsidP="00183D44">
            <w:pPr>
              <w:pStyle w:val="Tabletext"/>
              <w:rPr>
                <w:rStyle w:val="Emphasis"/>
              </w:rPr>
            </w:pPr>
            <w:r w:rsidRPr="005C2393">
              <w:rPr>
                <w:rStyle w:val="Emphasis"/>
              </w:rPr>
              <w:t>7</w:t>
            </w:r>
          </w:p>
        </w:tc>
      </w:tr>
      <w:tr w:rsidR="008A24D7" w14:paraId="0525B1B9" w14:textId="77777777" w:rsidTr="00E170DA">
        <w:trPr>
          <w:trHeight w:val="340"/>
        </w:trPr>
        <w:tc>
          <w:tcPr>
            <w:tcW w:w="2174" w:type="dxa"/>
            <w:shd w:val="clear" w:color="auto" w:fill="D9D9D9" w:themeFill="background1" w:themeFillShade="D9"/>
          </w:tcPr>
          <w:p w14:paraId="301A61CD" w14:textId="77777777" w:rsidR="008A24D7" w:rsidRPr="005C2393" w:rsidRDefault="008A24D7" w:rsidP="00183D44">
            <w:pPr>
              <w:pStyle w:val="Tabletext"/>
              <w:rPr>
                <w:rStyle w:val="Emphasis"/>
              </w:rPr>
            </w:pPr>
            <w:r w:rsidRPr="005C2393">
              <w:rPr>
                <w:rStyle w:val="Emphasis"/>
              </w:rPr>
              <w:t>Net benefit</w:t>
            </w:r>
          </w:p>
        </w:tc>
        <w:tc>
          <w:tcPr>
            <w:tcW w:w="1560" w:type="dxa"/>
            <w:shd w:val="clear" w:color="auto" w:fill="D9D9D9" w:themeFill="background1" w:themeFillShade="D9"/>
          </w:tcPr>
          <w:p w14:paraId="7F26B10A" w14:textId="77777777" w:rsidR="008A24D7" w:rsidRPr="005C2393" w:rsidRDefault="008A24D7" w:rsidP="00183D44">
            <w:pPr>
              <w:pStyle w:val="Tabletext"/>
              <w:rPr>
                <w:rStyle w:val="Emphasis"/>
              </w:rPr>
            </w:pPr>
            <w:r w:rsidRPr="005C2393">
              <w:rPr>
                <w:rStyle w:val="Emphasis"/>
              </w:rPr>
              <w:t>-1</w:t>
            </w:r>
          </w:p>
        </w:tc>
        <w:tc>
          <w:tcPr>
            <w:tcW w:w="1560" w:type="dxa"/>
            <w:shd w:val="clear" w:color="auto" w:fill="D9D9D9" w:themeFill="background1" w:themeFillShade="D9"/>
          </w:tcPr>
          <w:p w14:paraId="0A62B5FC" w14:textId="77777777" w:rsidR="008A24D7" w:rsidRPr="005C2393" w:rsidRDefault="008A24D7" w:rsidP="00183D44">
            <w:pPr>
              <w:pStyle w:val="Tabletext"/>
              <w:rPr>
                <w:rStyle w:val="Emphasis"/>
              </w:rPr>
            </w:pPr>
            <w:r w:rsidRPr="005C2393">
              <w:rPr>
                <w:rStyle w:val="Emphasis"/>
              </w:rPr>
              <w:t>+4</w:t>
            </w:r>
          </w:p>
        </w:tc>
        <w:tc>
          <w:tcPr>
            <w:tcW w:w="1560" w:type="dxa"/>
            <w:shd w:val="clear" w:color="auto" w:fill="D9D9D9" w:themeFill="background1" w:themeFillShade="D9"/>
          </w:tcPr>
          <w:p w14:paraId="07EC4703" w14:textId="77777777" w:rsidR="008A24D7" w:rsidRPr="005C2393" w:rsidRDefault="008A24D7" w:rsidP="00183D44">
            <w:pPr>
              <w:pStyle w:val="Tabletext"/>
              <w:rPr>
                <w:rStyle w:val="Emphasis"/>
              </w:rPr>
            </w:pPr>
            <w:r w:rsidRPr="005C2393">
              <w:rPr>
                <w:rStyle w:val="Emphasis"/>
              </w:rPr>
              <w:t>0</w:t>
            </w:r>
          </w:p>
        </w:tc>
        <w:tc>
          <w:tcPr>
            <w:tcW w:w="1560" w:type="dxa"/>
            <w:shd w:val="clear" w:color="auto" w:fill="D9D9D9" w:themeFill="background1" w:themeFillShade="D9"/>
          </w:tcPr>
          <w:p w14:paraId="0E6CF5FD" w14:textId="77777777" w:rsidR="008A24D7" w:rsidRPr="005C2393" w:rsidRDefault="008A24D7" w:rsidP="00183D44">
            <w:pPr>
              <w:pStyle w:val="Tabletext"/>
              <w:rPr>
                <w:rStyle w:val="Emphasis"/>
              </w:rPr>
            </w:pPr>
            <w:r w:rsidRPr="005C2393">
              <w:rPr>
                <w:rStyle w:val="Emphasis"/>
              </w:rPr>
              <w:t>+3</w:t>
            </w:r>
          </w:p>
        </w:tc>
      </w:tr>
    </w:tbl>
    <w:p w14:paraId="561157D7" w14:textId="18886127" w:rsidR="00E039E2" w:rsidRDefault="003E42EE" w:rsidP="00314A5D">
      <w:pPr>
        <w:pStyle w:val="Heading2"/>
      </w:pPr>
      <w:bookmarkStart w:id="226" w:name="_Toc6323629"/>
      <w:r>
        <w:t>Option with greatest potential</w:t>
      </w:r>
      <w:bookmarkEnd w:id="226"/>
    </w:p>
    <w:p w14:paraId="7613CD30" w14:textId="494B5268" w:rsidR="00C54CA5" w:rsidRDefault="00C54CA5" w:rsidP="00BC587F">
      <w:r>
        <w:t xml:space="preserve">This </w:t>
      </w:r>
      <w:r w:rsidR="005345F5">
        <w:t xml:space="preserve">preliminary </w:t>
      </w:r>
      <w:r>
        <w:t xml:space="preserve">analysis of the policy options has identified that Option 4 </w:t>
      </w:r>
      <w:r w:rsidR="005345F5">
        <w:t>has the greatest potential</w:t>
      </w:r>
      <w:r>
        <w:t xml:space="preserve"> as </w:t>
      </w:r>
      <w:r w:rsidR="00BF45DE">
        <w:t xml:space="preserve">it </w:t>
      </w:r>
      <w:r>
        <w:t xml:space="preserve">best meets the desired outcome and provides </w:t>
      </w:r>
      <w:r w:rsidR="00EC5DD1">
        <w:t>a</w:t>
      </w:r>
      <w:r>
        <w:t xml:space="preserve"> </w:t>
      </w:r>
      <w:r w:rsidR="00EC5DD1">
        <w:t xml:space="preserve">positive </w:t>
      </w:r>
      <w:r>
        <w:t>net benefit.</w:t>
      </w:r>
    </w:p>
    <w:p w14:paraId="0A7BF747" w14:textId="692FB7A6" w:rsidR="00C54CA5" w:rsidRDefault="00EC5DD1" w:rsidP="00BC587F">
      <w:r>
        <w:t>Costs associated with O</w:t>
      </w:r>
      <w:r w:rsidR="00C54CA5">
        <w:t xml:space="preserve">ption </w:t>
      </w:r>
      <w:r>
        <w:t xml:space="preserve">4 </w:t>
      </w:r>
      <w:r w:rsidR="00C54CA5">
        <w:t>are minimised as it draws on an existing element of the food label, the NIP, so therefore</w:t>
      </w:r>
      <w:r w:rsidR="006B33B9">
        <w:t xml:space="preserve"> it</w:t>
      </w:r>
      <w:r w:rsidR="00C54CA5">
        <w:t xml:space="preserve"> is unlikely to necessitate major label redesign costs for industry or confu</w:t>
      </w:r>
      <w:r w:rsidR="00BF45DE">
        <w:t>se consumers by overly emphasising</w:t>
      </w:r>
      <w:r w:rsidR="00C54CA5">
        <w:t xml:space="preserve"> added sugars at the expense</w:t>
      </w:r>
      <w:r w:rsidR="005C2393">
        <w:t xml:space="preserve"> of other nutrients of concern.</w:t>
      </w:r>
    </w:p>
    <w:p w14:paraId="2D283861" w14:textId="73510611" w:rsidR="00471794" w:rsidRDefault="00471794" w:rsidP="00BC587F">
      <w:r w:rsidRPr="00BD7A79">
        <w:t xml:space="preserve">Applying Option 6 to only </w:t>
      </w:r>
      <w:r w:rsidR="00A14533">
        <w:t>sugary beverages</w:t>
      </w:r>
      <w:r w:rsidR="001E56A2">
        <w:t xml:space="preserve"> </w:t>
      </w:r>
      <w:r w:rsidR="00A14533">
        <w:t xml:space="preserve">/ </w:t>
      </w:r>
      <w:r w:rsidRPr="00BD7A79">
        <w:t>sugar-sweetened beverages also warrants further consideration</w:t>
      </w:r>
      <w:r>
        <w:t xml:space="preserve">. As one of the justifications for applying option 6 only to </w:t>
      </w:r>
      <w:r w:rsidR="00A14533">
        <w:t>sugary beverages</w:t>
      </w:r>
      <w:r w:rsidR="001E56A2">
        <w:t xml:space="preserve"> </w:t>
      </w:r>
      <w:r w:rsidR="00A14533">
        <w:t xml:space="preserve">/ </w:t>
      </w:r>
      <w:r>
        <w:t>sugar-sweetened beverages was the low coverage of the HSR star icon on beverages, it is recommended that this option be considered further following</w:t>
      </w:r>
      <w:r w:rsidRPr="00BD7A79">
        <w:t xml:space="preserve"> the </w:t>
      </w:r>
      <w:r>
        <w:t xml:space="preserve">recommendations from the </w:t>
      </w:r>
      <w:r w:rsidRPr="00BD7A79">
        <w:t xml:space="preserve">HSR </w:t>
      </w:r>
      <w:r>
        <w:t xml:space="preserve">five-year </w:t>
      </w:r>
      <w:r w:rsidRPr="00BD7A79">
        <w:t>review</w:t>
      </w:r>
      <w:r>
        <w:t xml:space="preserve"> and the Forum’s response to these recommendations</w:t>
      </w:r>
      <w:r w:rsidRPr="00BD7A79">
        <w:t>.</w:t>
      </w:r>
      <w:r>
        <w:t xml:space="preserve"> One of the re</w:t>
      </w:r>
      <w:r w:rsidR="00AE542F">
        <w:t>commendations from the HSR five-</w:t>
      </w:r>
      <w:r>
        <w:t>year review is that a target be set that by 2023, the HSR should be displayed on 70% of eligible products</w:t>
      </w:r>
      <w:r>
        <w:rPr>
          <w:rStyle w:val="FootnoteReference"/>
        </w:rPr>
        <w:footnoteReference w:id="184"/>
      </w:r>
      <w:r>
        <w:t>.</w:t>
      </w:r>
    </w:p>
    <w:p w14:paraId="3AB8FE70" w14:textId="00798EB5" w:rsidR="001E1790" w:rsidRDefault="001E1790" w:rsidP="00A8387E">
      <w:pPr>
        <w:pStyle w:val="Heading1"/>
      </w:pPr>
      <w:bookmarkStart w:id="227" w:name="_Toc6323630"/>
      <w:bookmarkStart w:id="228" w:name="_Toc505871613"/>
      <w:bookmarkEnd w:id="224"/>
      <w:r>
        <w:t>Implementation</w:t>
      </w:r>
      <w:r w:rsidR="005345F5">
        <w:t xml:space="preserve"> and next steps</w:t>
      </w:r>
      <w:bookmarkEnd w:id="227"/>
    </w:p>
    <w:p w14:paraId="2ED9106D" w14:textId="51A210D6" w:rsidR="00957A12" w:rsidRPr="00CB626B" w:rsidRDefault="00957A12" w:rsidP="00314A5D">
      <w:pPr>
        <w:pStyle w:val="Heading2"/>
      </w:pPr>
      <w:bookmarkStart w:id="229" w:name="_Toc6323631"/>
      <w:r w:rsidRPr="00CB626B">
        <w:t>Implementation</w:t>
      </w:r>
      <w:bookmarkEnd w:id="228"/>
      <w:bookmarkEnd w:id="229"/>
    </w:p>
    <w:p w14:paraId="33753A55" w14:textId="38D9DE08" w:rsidR="001E1790" w:rsidRDefault="005345F5" w:rsidP="00BC587F">
      <w:r>
        <w:t xml:space="preserve">This policy paper represents a preliminary analysis of potential options for labelling of sugars on packaged foods and drinks. </w:t>
      </w:r>
      <w:r w:rsidR="001E1790">
        <w:t>It is acknowledged that a further consultation and analysis is required to consider the full costs and impacts of Option 4 and implementation details. As food labelling is regulated by FSANZ, these issues are best considered by the technical experts at FSANZ rather than FRSC which</w:t>
      </w:r>
      <w:r w:rsidR="005C2393">
        <w:t xml:space="preserve"> focuses more on policy issues.</w:t>
      </w:r>
    </w:p>
    <w:p w14:paraId="43A1C3E8" w14:textId="6ECCD148" w:rsidR="00911926" w:rsidRDefault="00911926" w:rsidP="00BC587F">
      <w:r>
        <w:t xml:space="preserve">It is recommended that the Forum request FSANZ </w:t>
      </w:r>
      <w:r w:rsidR="00006031">
        <w:t xml:space="preserve">to review nutrition labelling for added sugars </w:t>
      </w:r>
      <w:proofErr w:type="gramStart"/>
      <w:r w:rsidR="00F25EF3">
        <w:t>in light of</w:t>
      </w:r>
      <w:proofErr w:type="gramEnd"/>
      <w:r w:rsidR="00F25EF3">
        <w:t xml:space="preserve"> the analysis and conclusions in this report</w:t>
      </w:r>
      <w:r w:rsidR="00006031">
        <w:t>.</w:t>
      </w:r>
    </w:p>
    <w:p w14:paraId="14661CEA" w14:textId="50E384FF" w:rsidR="00BD7A79" w:rsidRDefault="00E372B9" w:rsidP="00BC587F">
      <w:r w:rsidRPr="00E372B9">
        <w:t xml:space="preserve">Under the legislated requirements in the </w:t>
      </w:r>
      <w:r w:rsidRPr="005C2393">
        <w:rPr>
          <w:rStyle w:val="Emphasis"/>
        </w:rPr>
        <w:t>FSANZ Act 1991</w:t>
      </w:r>
      <w:r w:rsidR="005C2393" w:rsidRPr="00C71F51">
        <w:t>,</w:t>
      </w:r>
      <w:r w:rsidRPr="00E372B9">
        <w:t xml:space="preserve"> FSANZ is required to consider whether the costs to the community, government and/or industry outweigh the benefits; and that there are no other more cost-effective measures. </w:t>
      </w:r>
      <w:r w:rsidR="00ED5B38">
        <w:t xml:space="preserve">It is noted that FSANZ undertakes an independent assessment and may subsequently determine that Option 4 is not the best option to deliver greatest net community benefit. Any </w:t>
      </w:r>
      <w:r w:rsidR="004F3B1B">
        <w:t>Council of Australian Governments (</w:t>
      </w:r>
      <w:r w:rsidR="00ED5B38">
        <w:t>COAG</w:t>
      </w:r>
      <w:r w:rsidR="004F3B1B">
        <w:t>)</w:t>
      </w:r>
      <w:r w:rsidR="00ED5B38">
        <w:t xml:space="preserve"> requirements for regulation impact assessment would be discussed with the </w:t>
      </w:r>
      <w:r w:rsidR="00BD7A79" w:rsidRPr="00BD7A79">
        <w:t>Office of Best Practice Regulation</w:t>
      </w:r>
      <w:r w:rsidR="00F90FAD">
        <w:t xml:space="preserve"> (OBPR)</w:t>
      </w:r>
      <w:r w:rsidR="00ED5B38" w:rsidRPr="00BD7A79">
        <w:t>.</w:t>
      </w:r>
    </w:p>
    <w:p w14:paraId="69EE318F" w14:textId="43E88D8F" w:rsidR="00911926" w:rsidRDefault="00E372B9" w:rsidP="00BC587F">
      <w:r>
        <w:t xml:space="preserve">In </w:t>
      </w:r>
      <w:r w:rsidR="005345F5">
        <w:t xml:space="preserve">reviewing nutrition labelling for added sugars </w:t>
      </w:r>
      <w:r>
        <w:t>it is recommended that</w:t>
      </w:r>
      <w:r w:rsidR="00911926">
        <w:t xml:space="preserve"> FSANZ consider:</w:t>
      </w:r>
    </w:p>
    <w:p w14:paraId="126E7E56" w14:textId="0CDF82AC" w:rsidR="005345F5" w:rsidRDefault="005345F5" w:rsidP="00C84941">
      <w:pPr>
        <w:pStyle w:val="Bullets"/>
      </w:pPr>
      <w:r>
        <w:t>consumer understanding of added sugars,</w:t>
      </w:r>
    </w:p>
    <w:p w14:paraId="33F153BA" w14:textId="77777777" w:rsidR="005345F5" w:rsidRPr="0008107E" w:rsidRDefault="005345F5" w:rsidP="00C84941">
      <w:pPr>
        <w:pStyle w:val="Bullets"/>
      </w:pPr>
      <w:r>
        <w:t>NIP layout and formatting that could support consumer understanding and interpretation of added sugars information,</w:t>
      </w:r>
    </w:p>
    <w:p w14:paraId="4C25E009" w14:textId="1093A706" w:rsidR="005345F5" w:rsidRPr="00F4064D" w:rsidRDefault="005345F5" w:rsidP="00C84941">
      <w:pPr>
        <w:pStyle w:val="Bullets"/>
      </w:pPr>
      <w:r>
        <w:t>i</w:t>
      </w:r>
      <w:r w:rsidRPr="00CB626B">
        <w:t>mplementation and technical issues</w:t>
      </w:r>
      <w:r>
        <w:t xml:space="preserve"> such as which sugars </w:t>
      </w:r>
      <w:proofErr w:type="gramStart"/>
      <w:r>
        <w:t>are</w:t>
      </w:r>
      <w:r w:rsidR="005C2393">
        <w:t xml:space="preserve"> considered to be</w:t>
      </w:r>
      <w:proofErr w:type="gramEnd"/>
      <w:r w:rsidR="005C2393">
        <w:t xml:space="preserve"> added sugars,</w:t>
      </w:r>
    </w:p>
    <w:p w14:paraId="64108E76" w14:textId="77777777" w:rsidR="005345F5" w:rsidRPr="00F4064D" w:rsidRDefault="005345F5" w:rsidP="00C84941">
      <w:pPr>
        <w:pStyle w:val="Bullets"/>
      </w:pPr>
      <w:r>
        <w:t xml:space="preserve">ensuring that the sugars which </w:t>
      </w:r>
      <w:proofErr w:type="gramStart"/>
      <w:r>
        <w:t>are considered to be</w:t>
      </w:r>
      <w:proofErr w:type="gramEnd"/>
      <w:r>
        <w:t xml:space="preserve"> added sugars is unambiguous, comprehensive and based on evidence,</w:t>
      </w:r>
    </w:p>
    <w:p w14:paraId="6A3632DC" w14:textId="031E7F3F" w:rsidR="005345F5" w:rsidRPr="00A16691" w:rsidRDefault="005345F5" w:rsidP="00C84941">
      <w:pPr>
        <w:pStyle w:val="Bullets"/>
      </w:pPr>
      <w:r>
        <w:t xml:space="preserve">methods for calculating and quantifying added sugars, and tools and support for industry and regulators to quantify added sugars </w:t>
      </w:r>
      <w:r w:rsidR="00ED73C7">
        <w:t>in foods</w:t>
      </w:r>
      <w:r>
        <w:t>,</w:t>
      </w:r>
    </w:p>
    <w:p w14:paraId="3C4A14A3" w14:textId="77777777" w:rsidR="005345F5" w:rsidRDefault="005345F5" w:rsidP="00C84941">
      <w:pPr>
        <w:pStyle w:val="Bullets"/>
      </w:pPr>
      <w:r>
        <w:t>potential changes to claims such as ‘no added sugar’ in the Code to ensure there are no inconsistencies in the Code or consumer confusion in relation to sugars labelling,</w:t>
      </w:r>
    </w:p>
    <w:p w14:paraId="01068E94" w14:textId="77777777" w:rsidR="005345F5" w:rsidRPr="00FE0345" w:rsidRDefault="005345F5" w:rsidP="00C84941">
      <w:pPr>
        <w:pStyle w:val="Bullets"/>
      </w:pPr>
      <w:r w:rsidRPr="00FE0345">
        <w:t>the most appropriate regulatory approach (</w:t>
      </w:r>
      <w:proofErr w:type="gramStart"/>
      <w:r w:rsidRPr="00FE0345">
        <w:t>e.g.</w:t>
      </w:r>
      <w:proofErr w:type="gramEnd"/>
      <w:r w:rsidRPr="00FE0345">
        <w:t xml:space="preserve"> mandatory or voluntary labelling),</w:t>
      </w:r>
    </w:p>
    <w:p w14:paraId="739883AD" w14:textId="77777777" w:rsidR="005345F5" w:rsidRDefault="005345F5" w:rsidP="00C84941">
      <w:pPr>
        <w:pStyle w:val="Bullets"/>
      </w:pPr>
      <w:r>
        <w:t xml:space="preserve">potential impacts on trade, including whether a </w:t>
      </w:r>
      <w:proofErr w:type="gramStart"/>
      <w:r>
        <w:t>technical barriers</w:t>
      </w:r>
      <w:proofErr w:type="gramEnd"/>
      <w:r>
        <w:t xml:space="preserve"> to trade notification is required,</w:t>
      </w:r>
    </w:p>
    <w:p w14:paraId="577DA7F1" w14:textId="06992942" w:rsidR="005345F5" w:rsidRPr="00ED73C7" w:rsidRDefault="005345F5" w:rsidP="00C84941">
      <w:pPr>
        <w:pStyle w:val="Bullets"/>
      </w:pPr>
      <w:r>
        <w:t>relevant transition periods and alignment of transition periods</w:t>
      </w:r>
      <w:r w:rsidR="00ED73C7">
        <w:t xml:space="preserve"> for changes to</w:t>
      </w:r>
      <w:r>
        <w:t xml:space="preserve"> other labelling standards (where relevant),</w:t>
      </w:r>
      <w:r w:rsidR="00CD54FA">
        <w:t xml:space="preserve"> </w:t>
      </w:r>
      <w:r w:rsidRPr="00ED73C7">
        <w:t>and</w:t>
      </w:r>
    </w:p>
    <w:p w14:paraId="0AA0AD8F" w14:textId="6BC91A8A" w:rsidR="005345F5" w:rsidRDefault="005345F5" w:rsidP="00C84941">
      <w:pPr>
        <w:pStyle w:val="Bullets"/>
      </w:pPr>
      <w:r>
        <w:t xml:space="preserve">exemptions for particular product categories </w:t>
      </w:r>
      <w:proofErr w:type="gramStart"/>
      <w:r>
        <w:t>where</w:t>
      </w:r>
      <w:proofErr w:type="gramEnd"/>
      <w:r w:rsidR="00ED73C7">
        <w:t>, for example,</w:t>
      </w:r>
      <w:r>
        <w:t xml:space="preserve"> declarations of added sugars may be inappropriate, confusing or mislead</w:t>
      </w:r>
      <w:r w:rsidR="005C2393">
        <w:t>ing to consumers.</w:t>
      </w:r>
    </w:p>
    <w:p w14:paraId="0C2EBFF4" w14:textId="4154C424" w:rsidR="001E1790" w:rsidRDefault="001E1790" w:rsidP="00BC587F">
      <w:r>
        <w:t>If Option 6 is to be considered further, key issues to consider are:</w:t>
      </w:r>
    </w:p>
    <w:p w14:paraId="56077B2A" w14:textId="4DE7EE94" w:rsidR="006625BA" w:rsidRPr="00006031" w:rsidRDefault="006625BA" w:rsidP="00C84941">
      <w:pPr>
        <w:pStyle w:val="Bullets"/>
      </w:pPr>
      <w:r>
        <w:t>outcomes of the HSR review in relation to beverages,</w:t>
      </w:r>
    </w:p>
    <w:p w14:paraId="1691C3F9" w14:textId="3A1C15FB" w:rsidR="00A14533" w:rsidRDefault="00A14533" w:rsidP="00C84941">
      <w:pPr>
        <w:pStyle w:val="Bullets"/>
      </w:pPr>
      <w:r>
        <w:t xml:space="preserve">which beverages </w:t>
      </w:r>
      <w:proofErr w:type="gramStart"/>
      <w:r>
        <w:t>are considered to be</w:t>
      </w:r>
      <w:proofErr w:type="gramEnd"/>
      <w:r>
        <w:t xml:space="preserve"> sugary beverages</w:t>
      </w:r>
      <w:r w:rsidR="005C2393">
        <w:t xml:space="preserve"> and sugar-sweetened beverages,</w:t>
      </w:r>
    </w:p>
    <w:p w14:paraId="7119A35B" w14:textId="7202B4B1" w:rsidR="001E1790" w:rsidRDefault="001E1790" w:rsidP="00C84941">
      <w:pPr>
        <w:pStyle w:val="Bullets"/>
      </w:pPr>
      <w:r>
        <w:t xml:space="preserve">whether the </w:t>
      </w:r>
      <w:r w:rsidR="00A14533">
        <w:t xml:space="preserve">pictorial labels should be applied to sugary beverages, sugar-sweetened </w:t>
      </w:r>
      <w:proofErr w:type="gramStart"/>
      <w:r w:rsidR="00A14533">
        <w:t>beverages</w:t>
      </w:r>
      <w:proofErr w:type="gramEnd"/>
      <w:r w:rsidR="00A14533">
        <w:t xml:space="preserve"> or the </w:t>
      </w:r>
      <w:r>
        <w:t xml:space="preserve">broader category of beverages </w:t>
      </w:r>
      <w:r w:rsidR="006C4405">
        <w:t>(to enable comparison)</w:t>
      </w:r>
      <w:r w:rsidR="00D03349">
        <w:t>,</w:t>
      </w:r>
      <w:r w:rsidR="006C4405">
        <w:t xml:space="preserve"> </w:t>
      </w:r>
      <w:r>
        <w:t>whether the pictorial labels would present total or added sugars</w:t>
      </w:r>
      <w:r w:rsidR="00D03349">
        <w:t>, and</w:t>
      </w:r>
    </w:p>
    <w:p w14:paraId="15A1B06E" w14:textId="681EEC24" w:rsidR="001E1790" w:rsidRPr="00FE0345" w:rsidRDefault="00D03349" w:rsidP="00C84941">
      <w:pPr>
        <w:pStyle w:val="Bullets"/>
      </w:pPr>
      <w:r>
        <w:t>consumer und</w:t>
      </w:r>
      <w:r w:rsidR="00CD54FA">
        <w:t>erstanding of pictorial labels.</w:t>
      </w:r>
    </w:p>
    <w:p w14:paraId="1424A443" w14:textId="144EA408" w:rsidR="00F90FAD" w:rsidRPr="00166D40" w:rsidRDefault="00911926" w:rsidP="00BC587F">
      <w:r w:rsidRPr="00166D40">
        <w:t xml:space="preserve">Feedback provided by stakeholders </w:t>
      </w:r>
      <w:r w:rsidR="005E4255" w:rsidRPr="00166D40">
        <w:t xml:space="preserve">on these issues through the FRSC stakeholder consultation will be </w:t>
      </w:r>
      <w:r w:rsidR="008D0CD5" w:rsidRPr="00166D40">
        <w:t>provided</w:t>
      </w:r>
      <w:r w:rsidR="00CD54FA" w:rsidRPr="00166D40">
        <w:t xml:space="preserve"> to FSANZ for consideration.</w:t>
      </w:r>
    </w:p>
    <w:p w14:paraId="60820D09" w14:textId="5FAF480F" w:rsidR="00125D76" w:rsidRPr="00092D13" w:rsidRDefault="00125D76" w:rsidP="00314A5D">
      <w:pPr>
        <w:pStyle w:val="Heading1nonumbers"/>
      </w:pPr>
      <w:bookmarkStart w:id="230" w:name="_Attachment_A_–"/>
      <w:bookmarkStart w:id="231" w:name="_Toc1480966"/>
      <w:bookmarkStart w:id="232" w:name="_Toc6323632"/>
      <w:bookmarkEnd w:id="230"/>
      <w:r w:rsidRPr="00CB626B">
        <w:t>Attachment A</w:t>
      </w:r>
      <w:bookmarkStart w:id="233" w:name="_Toc512605054"/>
      <w:bookmarkStart w:id="234" w:name="_Toc512860887"/>
      <w:bookmarkStart w:id="235" w:name="_Toc513468735"/>
      <w:bookmarkStart w:id="236" w:name="_Toc513546908"/>
      <w:bookmarkStart w:id="237" w:name="_Toc1480967"/>
      <w:bookmarkStart w:id="238" w:name="_Toc1483645"/>
      <w:bookmarkStart w:id="239" w:name="_Toc1634525"/>
      <w:bookmarkStart w:id="240" w:name="_Toc2252930"/>
      <w:bookmarkStart w:id="241" w:name="_Toc3905603"/>
      <w:bookmarkEnd w:id="231"/>
      <w:r w:rsidR="00607A42">
        <w:t xml:space="preserve"> </w:t>
      </w:r>
      <w:r w:rsidR="00607A42" w:rsidRPr="00607A42">
        <w:t>–</w:t>
      </w:r>
      <w:r w:rsidR="00607A42">
        <w:t xml:space="preserve"> </w:t>
      </w:r>
      <w:r w:rsidR="008E170F" w:rsidRPr="00092D13">
        <w:t>Added sugar</w:t>
      </w:r>
      <w:r w:rsidR="00746382" w:rsidRPr="00092D13">
        <w:t>s</w:t>
      </w:r>
      <w:r w:rsidR="008E170F" w:rsidRPr="00092D13">
        <w:t xml:space="preserve"> intakes in Australia and New Zealand</w:t>
      </w:r>
      <w:bookmarkEnd w:id="232"/>
      <w:bookmarkEnd w:id="233"/>
      <w:bookmarkEnd w:id="234"/>
      <w:bookmarkEnd w:id="235"/>
      <w:bookmarkEnd w:id="236"/>
      <w:bookmarkEnd w:id="237"/>
      <w:bookmarkEnd w:id="238"/>
      <w:bookmarkEnd w:id="239"/>
      <w:bookmarkEnd w:id="240"/>
      <w:bookmarkEnd w:id="241"/>
    </w:p>
    <w:p w14:paraId="1AF30352" w14:textId="03F25EA6" w:rsidR="006F2932" w:rsidRPr="00CB626B" w:rsidRDefault="00C7199E" w:rsidP="00BC587F">
      <w:r w:rsidRPr="00CB626B">
        <w:t>The body of the paper uses the term ‘added sugar</w:t>
      </w:r>
      <w:r w:rsidR="00746382" w:rsidRPr="00CB626B">
        <w:t>s</w:t>
      </w:r>
      <w:r w:rsidRPr="00CB626B">
        <w:t>’ in a broad sense to describe any sugar</w:t>
      </w:r>
      <w:r w:rsidR="00746382" w:rsidRPr="00CB626B">
        <w:t>s</w:t>
      </w:r>
      <w:r w:rsidRPr="00CB626B">
        <w:t>-based ingredients added to foods by manufacturers during processing or manufacturing, or by consumers and cooks during food preparation or at the time of consumption (and may include what are referred to as ‘free sugars’ such as honey)</w:t>
      </w:r>
      <w:r w:rsidR="005C2393">
        <w:t>.</w:t>
      </w:r>
    </w:p>
    <w:p w14:paraId="0A499FC6" w14:textId="1D84E6FA" w:rsidR="00125D76" w:rsidRPr="00CB626B" w:rsidRDefault="006F2932" w:rsidP="00BC587F">
      <w:r w:rsidRPr="00CB626B">
        <w:t>I</w:t>
      </w:r>
      <w:r w:rsidR="00125D76" w:rsidRPr="00CB626B">
        <w:t>t is not possible to distinguish between added and naturally occurring sugars using analytical methods</w:t>
      </w:r>
      <w:r w:rsidR="001E603C">
        <w:t xml:space="preserve">. </w:t>
      </w:r>
      <w:r w:rsidRPr="00CB626B">
        <w:t>Therefore,</w:t>
      </w:r>
      <w:r w:rsidR="00C7199E" w:rsidRPr="00CB626B">
        <w:t xml:space="preserve"> </w:t>
      </w:r>
      <w:r w:rsidR="00125D76" w:rsidRPr="00CB626B">
        <w:t xml:space="preserve">determinations of </w:t>
      </w:r>
      <w:r w:rsidR="00746382" w:rsidRPr="00CB626B">
        <w:t xml:space="preserve">the level of </w:t>
      </w:r>
      <w:r w:rsidR="00125D76" w:rsidRPr="00CB626B">
        <w:t>added sugar</w:t>
      </w:r>
      <w:r w:rsidR="00746382" w:rsidRPr="00CB626B">
        <w:t>s</w:t>
      </w:r>
      <w:r w:rsidR="00125D76" w:rsidRPr="00CB626B">
        <w:t xml:space="preserve"> in foods </w:t>
      </w:r>
      <w:r w:rsidRPr="00CB626B">
        <w:t xml:space="preserve">which contain a mix of added and naturally occurring </w:t>
      </w:r>
      <w:r w:rsidR="00746382" w:rsidRPr="00CB626B">
        <w:t xml:space="preserve">sugars </w:t>
      </w:r>
      <w:r w:rsidR="00125D76" w:rsidRPr="00CB626B">
        <w:t xml:space="preserve">are an estimate and may </w:t>
      </w:r>
      <w:r w:rsidRPr="00CB626B">
        <w:t xml:space="preserve">vary </w:t>
      </w:r>
      <w:r w:rsidR="00125D76" w:rsidRPr="00CB626B">
        <w:t xml:space="preserve">depending on </w:t>
      </w:r>
      <w:r w:rsidR="00E25E09" w:rsidRPr="00CB626B">
        <w:t xml:space="preserve">which </w:t>
      </w:r>
      <w:proofErr w:type="gramStart"/>
      <w:r w:rsidR="00E25E09" w:rsidRPr="00CB626B">
        <w:t>particular types</w:t>
      </w:r>
      <w:proofErr w:type="gramEnd"/>
      <w:r w:rsidR="00E25E09" w:rsidRPr="00CB626B">
        <w:t xml:space="preserve"> of sugars are considered to be added sugars </w:t>
      </w:r>
      <w:r w:rsidR="00125D76" w:rsidRPr="00CB626B">
        <w:t xml:space="preserve">and/or the methodology used for </w:t>
      </w:r>
      <w:r w:rsidRPr="00CB626B">
        <w:t>calculating</w:t>
      </w:r>
      <w:r w:rsidR="00125D76" w:rsidRPr="00CB626B">
        <w:t xml:space="preserve"> the level of </w:t>
      </w:r>
      <w:r w:rsidR="00943CF8" w:rsidRPr="00CB626B">
        <w:t>added</w:t>
      </w:r>
      <w:r w:rsidR="00C7199E" w:rsidRPr="00CB626B">
        <w:t xml:space="preserve"> </w:t>
      </w:r>
      <w:r w:rsidR="00125D76" w:rsidRPr="00CB626B">
        <w:t>sugars in the food.</w:t>
      </w:r>
    </w:p>
    <w:p w14:paraId="45832FE4" w14:textId="091F2789" w:rsidR="00C7199E" w:rsidRPr="005C2393" w:rsidRDefault="00C7199E" w:rsidP="00BC587F">
      <w:r w:rsidRPr="00CB626B">
        <w:t xml:space="preserve">Therefore, due to the technical nature of this attachment, </w:t>
      </w:r>
      <w:r w:rsidR="00943CF8" w:rsidRPr="00CB626B">
        <w:t xml:space="preserve">and the potential variations in estimates related to how added sugars are defined, the terms </w:t>
      </w:r>
      <w:r w:rsidRPr="00CB626B">
        <w:t>‘added</w:t>
      </w:r>
      <w:r w:rsidR="00746382" w:rsidRPr="00CB626B">
        <w:t xml:space="preserve"> sugars</w:t>
      </w:r>
      <w:r w:rsidRPr="00CB626B">
        <w:t>’ and ‘free sugars’ have specific definition</w:t>
      </w:r>
      <w:r w:rsidR="00943CF8" w:rsidRPr="00CB626B">
        <w:t>s</w:t>
      </w:r>
      <w:r w:rsidRPr="00CB626B">
        <w:t xml:space="preserve"> in the discussion below</w:t>
      </w:r>
      <w:r w:rsidR="005C2393">
        <w:t>.</w:t>
      </w:r>
    </w:p>
    <w:p w14:paraId="54D12A2C" w14:textId="77777777" w:rsidR="00125D76" w:rsidRPr="00092D13" w:rsidRDefault="00125D76" w:rsidP="00314A5D">
      <w:pPr>
        <w:pStyle w:val="Heading2"/>
      </w:pPr>
      <w:bookmarkStart w:id="242" w:name="_Toc512605055"/>
      <w:bookmarkStart w:id="243" w:name="_Toc512860888"/>
      <w:bookmarkStart w:id="244" w:name="_Toc513468736"/>
      <w:bookmarkStart w:id="245" w:name="_Toc513546909"/>
      <w:bookmarkStart w:id="246" w:name="_Toc1480968"/>
      <w:bookmarkStart w:id="247" w:name="_Toc1483646"/>
      <w:bookmarkStart w:id="248" w:name="_Toc1634526"/>
      <w:bookmarkStart w:id="249" w:name="_Toc2252931"/>
      <w:bookmarkStart w:id="250" w:name="_Toc3905604"/>
      <w:bookmarkStart w:id="251" w:name="_Toc6323633"/>
      <w:r w:rsidRPr="00092D13">
        <w:t>Australia</w:t>
      </w:r>
      <w:bookmarkEnd w:id="242"/>
      <w:bookmarkEnd w:id="243"/>
      <w:bookmarkEnd w:id="244"/>
      <w:bookmarkEnd w:id="245"/>
      <w:bookmarkEnd w:id="246"/>
      <w:bookmarkEnd w:id="247"/>
      <w:bookmarkEnd w:id="248"/>
      <w:bookmarkEnd w:id="249"/>
      <w:bookmarkEnd w:id="250"/>
      <w:bookmarkEnd w:id="251"/>
    </w:p>
    <w:p w14:paraId="31FE8C21" w14:textId="0EA567FE" w:rsidR="00125D76" w:rsidRPr="00CB626B" w:rsidRDefault="00125D76" w:rsidP="00BC587F">
      <w:r w:rsidRPr="00CB626B">
        <w:t>In April 2016 the Australian Bureau of Statistics (ABS) released the results of an analysis on consumption of added</w:t>
      </w:r>
      <w:r w:rsidR="00C7199E" w:rsidRPr="00CB626B">
        <w:t xml:space="preserve"> and free</w:t>
      </w:r>
      <w:r w:rsidRPr="00CB626B">
        <w:t xml:space="preserve"> sugars in the Australian population in 2011-12</w:t>
      </w:r>
      <w:r w:rsidRPr="00CB626B">
        <w:rPr>
          <w:rStyle w:val="FootnoteReference"/>
        </w:rPr>
        <w:footnoteReference w:id="185"/>
      </w:r>
      <w:r w:rsidRPr="00CB626B">
        <w:t>. This work was commissioned by the Australian Government Department of Health.</w:t>
      </w:r>
    </w:p>
    <w:p w14:paraId="379E3A72" w14:textId="140695A4" w:rsidR="00125D76" w:rsidRPr="00CB626B" w:rsidRDefault="00125D76" w:rsidP="00BC587F">
      <w:r w:rsidRPr="00CB626B">
        <w:t>The analysis combined food consumption data from the 2011</w:t>
      </w:r>
      <w:r w:rsidRPr="00CB626B">
        <w:noBreakHyphen/>
        <w:t>12 National Nutrition and Physical Activity Survey with food composition data prepared by FSANZ on the added sugar</w:t>
      </w:r>
      <w:r w:rsidR="00746382" w:rsidRPr="00CB626B">
        <w:t>s</w:t>
      </w:r>
      <w:r w:rsidRPr="00CB626B">
        <w:t xml:space="preserve"> content of foods consumed by survey participa</w:t>
      </w:r>
      <w:r w:rsidR="00B9632D">
        <w:t xml:space="preserve">nts (2011-13 AUSNUT database). </w:t>
      </w:r>
      <w:r w:rsidR="00C7199E" w:rsidRPr="00CB626B">
        <w:t>In this analysis, ‘added sugars</w:t>
      </w:r>
      <w:r w:rsidR="00E25E09" w:rsidRPr="00CB626B">
        <w:t>’</w:t>
      </w:r>
      <w:r w:rsidR="00C7199E" w:rsidRPr="00CB626B">
        <w:t xml:space="preserve"> included all ingredients defined as sugars in the Code</w:t>
      </w:r>
      <w:r w:rsidR="00C7199E" w:rsidRPr="00CB626B">
        <w:rPr>
          <w:rStyle w:val="FootnoteReference"/>
        </w:rPr>
        <w:footnoteReference w:id="186"/>
      </w:r>
      <w:r w:rsidR="00C7199E" w:rsidRPr="00CB626B">
        <w:rPr>
          <w:vertAlign w:val="superscript"/>
        </w:rPr>
        <w:t>,</w:t>
      </w:r>
      <w:r w:rsidR="00C7199E" w:rsidRPr="00CB626B">
        <w:rPr>
          <w:rStyle w:val="FootnoteReference"/>
        </w:rPr>
        <w:footnoteReference w:id="187"/>
      </w:r>
      <w:r w:rsidR="00C7199E" w:rsidRPr="00CB626B">
        <w:t>, while ‘free sugars</w:t>
      </w:r>
      <w:r w:rsidR="00E25E09" w:rsidRPr="00CB626B">
        <w:t>’</w:t>
      </w:r>
      <w:r w:rsidR="00C7199E" w:rsidRPr="00CB626B">
        <w:t xml:space="preserve"> referred to the WHO definition of free sugars</w:t>
      </w:r>
      <w:r w:rsidR="00C7199E" w:rsidRPr="00CB626B">
        <w:rPr>
          <w:rStyle w:val="FootnoteReference"/>
        </w:rPr>
        <w:footnoteReference w:id="188"/>
      </w:r>
      <w:r w:rsidR="00B9632D">
        <w:t xml:space="preserve">. </w:t>
      </w:r>
      <w:r w:rsidR="00C7199E" w:rsidRPr="00CB626B">
        <w:t>Because there is no recommended intake for added sugar</w:t>
      </w:r>
      <w:r w:rsidR="00E25E09" w:rsidRPr="00CB626B">
        <w:t>s</w:t>
      </w:r>
      <w:r w:rsidR="00C7199E" w:rsidRPr="00CB626B">
        <w:t xml:space="preserve"> in Australia, only the results from the analysis of </w:t>
      </w:r>
      <w:r w:rsidR="00E25E09" w:rsidRPr="00CB626B">
        <w:t xml:space="preserve">intakes of </w:t>
      </w:r>
      <w:r w:rsidR="00C7199E" w:rsidRPr="00CB626B">
        <w:t>free sugar</w:t>
      </w:r>
      <w:r w:rsidR="00E25E09" w:rsidRPr="00CB626B">
        <w:t>s</w:t>
      </w:r>
      <w:r w:rsidR="00C7199E" w:rsidRPr="00CB626B">
        <w:t xml:space="preserve"> have been reported in this paper.</w:t>
      </w:r>
    </w:p>
    <w:p w14:paraId="4C350034" w14:textId="7CB05845" w:rsidR="00125D76" w:rsidRPr="00CB626B" w:rsidRDefault="00125D76" w:rsidP="00BC587F">
      <w:r w:rsidRPr="00CB626B">
        <w:t>Adolescents aged 14-18 years old recorded the highest intake of free sugars, with males consuming an average of 92 grams per day (22 teaspoons) and fe</w:t>
      </w:r>
      <w:r w:rsidR="00B9632D">
        <w:t xml:space="preserve">males 70 grams (17 teaspoons). </w:t>
      </w:r>
      <w:r w:rsidRPr="00CB626B">
        <w:t>The top 10% of males in this age group consumed at least 160g (38 tea</w:t>
      </w:r>
      <w:r w:rsidR="005C2393">
        <w:t>spoons) of free sugars per day.</w:t>
      </w:r>
    </w:p>
    <w:p w14:paraId="7A04BB70" w14:textId="1B696CE2" w:rsidR="00125D76" w:rsidRPr="00CB626B" w:rsidRDefault="00125D76" w:rsidP="00BC587F">
      <w:r w:rsidRPr="00CB626B">
        <w:t xml:space="preserve">The majority (81%) of free sugars consumed in Australia were from energy-dense, nutrient-poor ‘discretionary’ foods and beverages. The leading contributors towards intakes of free sugars were soft drinks and sports and energy drinks, accounting for 19% of free sugar intake in the population, followed by fruit and vegetable juices and drinks (13%). In particular, </w:t>
      </w:r>
      <w:proofErr w:type="gramStart"/>
      <w:r w:rsidRPr="00CB626B">
        <w:t>14-18 year old</w:t>
      </w:r>
      <w:proofErr w:type="gramEnd"/>
      <w:r w:rsidRPr="00CB626B">
        <w:t xml:space="preserve"> males obtained approximately 35% of their </w:t>
      </w:r>
      <w:r w:rsidR="00E25E09" w:rsidRPr="00CB626B">
        <w:t xml:space="preserve">intakes of </w:t>
      </w:r>
      <w:r w:rsidRPr="00CB626B">
        <w:t>free sugar</w:t>
      </w:r>
      <w:r w:rsidR="00E25E09" w:rsidRPr="00CB626B">
        <w:t>s</w:t>
      </w:r>
      <w:r w:rsidRPr="00CB626B">
        <w:t xml:space="preserve"> from soft drinks and sports and energy drinks.</w:t>
      </w:r>
    </w:p>
    <w:p w14:paraId="2EEFB4C0" w14:textId="2E5F47BC" w:rsidR="00125D76" w:rsidRPr="00CB626B" w:rsidRDefault="00125D76" w:rsidP="00BC587F">
      <w:r w:rsidRPr="00CB626B">
        <w:t>Aboriginal and Torres Strait Islander people consumed 15 grams (almost 4 teaspoons) more free sugars on average than non-Indigenous people</w:t>
      </w:r>
      <w:r w:rsidR="001F725B" w:rsidRPr="00CB626B">
        <w:rPr>
          <w:rStyle w:val="FootnoteReference"/>
        </w:rPr>
        <w:footnoteReference w:id="189"/>
      </w:r>
      <w:r w:rsidRPr="00CB626B">
        <w:t>. Beverages were the most common source of free sugars for both populations, however Aboriginal and Torres Strait Islander people derived a higher proportion of free sugars from beverages than non-Indigenous people (67% compared with 51%).</w:t>
      </w:r>
    </w:p>
    <w:p w14:paraId="42344936" w14:textId="177E4AEC" w:rsidR="00125D76" w:rsidRPr="00CB626B" w:rsidRDefault="00125D76" w:rsidP="00BC587F">
      <w:r w:rsidRPr="00CB626B">
        <w:t>More than half of all Australians (52%) exceeded the WHO recommendation to limit energy from free sugars to less than 10% of energy intakes, with free sugars contributing an average of 10.9% of energy</w:t>
      </w:r>
      <w:r w:rsidR="00360D51">
        <w:t xml:space="preserve"> in the Australian population. </w:t>
      </w:r>
      <w:r w:rsidRPr="00CB626B">
        <w:t>Children and adolescents were most likely to exceed the recommendation with almost three</w:t>
      </w:r>
      <w:r w:rsidR="00360D51">
        <w:noBreakHyphen/>
      </w:r>
      <w:r w:rsidRPr="00CB626B">
        <w:t xml:space="preserve">quarters of </w:t>
      </w:r>
      <w:proofErr w:type="gramStart"/>
      <w:r w:rsidRPr="00CB626B">
        <w:t>9-18 year olds</w:t>
      </w:r>
      <w:proofErr w:type="gramEnd"/>
      <w:r w:rsidRPr="00CB626B">
        <w:t xml:space="preserve"> exceeding the recommendation</w:t>
      </w:r>
      <w:r w:rsidR="001F725B" w:rsidRPr="00CB626B">
        <w:rPr>
          <w:rStyle w:val="FootnoteReference"/>
        </w:rPr>
        <w:footnoteReference w:id="190"/>
      </w:r>
      <w:r w:rsidR="005C2393">
        <w:t>.</w:t>
      </w:r>
    </w:p>
    <w:p w14:paraId="1B3583E0" w14:textId="343C562A" w:rsidR="00125D76" w:rsidRPr="00CB626B" w:rsidRDefault="00125D76" w:rsidP="00BC587F">
      <w:r w:rsidRPr="00CB626B">
        <w:t>The majority (90%) of Australians also exceeded the WHO conditional recommendation that free sugars be reduced to less than 5% of energy intake. Children and teenagers (aged between 4 and 18 years) were most likely to exceed this recommendation (97% of this group exceeded the recommendation). The group least likely to exceed this recommendation were adults aged 51-70 years, however, 81% of this group sti</w:t>
      </w:r>
      <w:r w:rsidR="005C2393">
        <w:t>ll exceeded the recommendation.</w:t>
      </w:r>
    </w:p>
    <w:p w14:paraId="75870396" w14:textId="5F41BBF5" w:rsidR="00125D76" w:rsidRPr="00CB626B" w:rsidRDefault="00125D76" w:rsidP="00BC587F">
      <w:r w:rsidRPr="00CB626B">
        <w:t>When examining the contribution that free sugar</w:t>
      </w:r>
      <w:r w:rsidR="00E25E09" w:rsidRPr="00CB626B">
        <w:t>s</w:t>
      </w:r>
      <w:r w:rsidRPr="00CB626B">
        <w:t xml:space="preserve"> make to energy intakes according to socioeconomic characteristics, those with the highest level of disadvantage had a higher intake of free sugars compared to those with the lowest disadvantage, those living in major cities had lower intakes compared to those in inner and outer regional Australia</w:t>
      </w:r>
      <w:r w:rsidR="00E25E09" w:rsidRPr="00CB626B">
        <w:t>,</w:t>
      </w:r>
      <w:r w:rsidRPr="00CB626B">
        <w:t xml:space="preserve"> and for adults, greater education was associated with a lower contribution </w:t>
      </w:r>
      <w:r w:rsidR="00E25E09" w:rsidRPr="00CB626B">
        <w:t xml:space="preserve">from </w:t>
      </w:r>
      <w:r w:rsidRPr="00CB626B">
        <w:t>free sugar</w:t>
      </w:r>
      <w:r w:rsidR="00E25E09" w:rsidRPr="00CB626B">
        <w:t>s</w:t>
      </w:r>
      <w:r w:rsidRPr="00CB626B">
        <w:t xml:space="preserve"> to overall energy intakes.</w:t>
      </w:r>
    </w:p>
    <w:p w14:paraId="6D0BA3A6" w14:textId="2CCF8010" w:rsidR="00125D76" w:rsidRPr="00CB626B" w:rsidRDefault="00125D76" w:rsidP="00BC587F">
      <w:r w:rsidRPr="00CB626B">
        <w:t xml:space="preserve">Aboriginal and Torres Strait Islander people derived more of their dietary energy from free sugars than non-Indigenous people (14% compared with 11%). </w:t>
      </w:r>
      <w:proofErr w:type="gramStart"/>
      <w:r w:rsidRPr="00CB626B">
        <w:t>In particular, Aboriginal</w:t>
      </w:r>
      <w:proofErr w:type="gramEnd"/>
      <w:r w:rsidRPr="00CB626B">
        <w:t xml:space="preserve"> and Torres Strait Islander adults aged 19-30 years derived 16% of dietary energy from free sugars, compared with 12% for non-Indigenous adults aged 19-30 years. This difference was also apparent for Aboriginal and Torres Strait Islander and non-Indigenous adults aged 31-50 years, where free sugars contributed 14% and 10% respectively</w:t>
      </w:r>
      <w:r w:rsidR="008D1E4E" w:rsidRPr="00CB626B">
        <w:rPr>
          <w:rStyle w:val="FootnoteReference"/>
        </w:rPr>
        <w:footnoteReference w:id="191"/>
      </w:r>
      <w:r w:rsidRPr="00CB626B">
        <w:t>.</w:t>
      </w:r>
    </w:p>
    <w:p w14:paraId="72920CF0" w14:textId="11FC36FB" w:rsidR="00125D76" w:rsidRPr="00CB626B" w:rsidRDefault="00125D76" w:rsidP="00BC587F">
      <w:r w:rsidRPr="00CB626B">
        <w:t>ABS analysis of changes in population</w:t>
      </w:r>
      <w:r w:rsidR="00E25E09" w:rsidRPr="00CB626B">
        <w:t>’s consumption of</w:t>
      </w:r>
      <w:r w:rsidRPr="00CB626B">
        <w:t xml:space="preserve"> sugar</w:t>
      </w:r>
      <w:r w:rsidR="00E25E09" w:rsidRPr="00CB626B">
        <w:t>s</w:t>
      </w:r>
      <w:r w:rsidRPr="00CB626B">
        <w:t xml:space="preserve"> between th</w:t>
      </w:r>
      <w:r w:rsidR="00D80150">
        <w:t>e 1995 and 2011</w:t>
      </w:r>
      <w:r w:rsidR="00D80150">
        <w:noBreakHyphen/>
      </w:r>
      <w:r w:rsidRPr="00CB626B">
        <w:t>12 national dietary surveys</w:t>
      </w:r>
      <w:r w:rsidRPr="00CB626B">
        <w:rPr>
          <w:rStyle w:val="FootnoteReference"/>
        </w:rPr>
        <w:footnoteReference w:id="192"/>
      </w:r>
      <w:r w:rsidRPr="00CB626B">
        <w:t xml:space="preserve"> reports that free sugar</w:t>
      </w:r>
      <w:r w:rsidR="00E25E09" w:rsidRPr="00CB626B">
        <w:t>s</w:t>
      </w:r>
      <w:r w:rsidRPr="00CB626B">
        <w:t xml:space="preserve"> consumption has decreased, with the average proportion of dietary energy from free sugars declining from 12.5% in 1995 to 10.9% in 2011-12. The largest declines (and contributing most to the overall declines) in free sugars were seen among children. Between 1995 and 2011</w:t>
      </w:r>
      <w:r w:rsidRPr="00CB626B">
        <w:noBreakHyphen/>
        <w:t>12, the average proportion of energy derived from free sugars by children aged 2-18 years decreased from 17% to 13%. Most of the decline of children’s free sugar</w:t>
      </w:r>
      <w:r w:rsidR="00E25E09" w:rsidRPr="00CB626B">
        <w:t>s</w:t>
      </w:r>
      <w:r w:rsidRPr="00CB626B">
        <w:t xml:space="preserve"> consumption can be accounted for by reduced consumption of soft drinks, </w:t>
      </w:r>
      <w:proofErr w:type="gramStart"/>
      <w:r w:rsidRPr="00CB626B">
        <w:t>cordial</w:t>
      </w:r>
      <w:proofErr w:type="gramEnd"/>
      <w:r w:rsidRPr="00CB626B">
        <w:t xml:space="preserve"> and fruit juice/drinks. It is not possible to attribute these reductions in </w:t>
      </w:r>
      <w:r w:rsidR="00E25E09" w:rsidRPr="00CB626B">
        <w:t xml:space="preserve">free </w:t>
      </w:r>
      <w:r w:rsidRPr="00CB626B">
        <w:t>sugar</w:t>
      </w:r>
      <w:r w:rsidR="00E25E09" w:rsidRPr="00CB626B">
        <w:t>s</w:t>
      </w:r>
      <w:r w:rsidRPr="00CB626B">
        <w:t xml:space="preserve"> consumption to any </w:t>
      </w:r>
      <w:proofErr w:type="gramStart"/>
      <w:r w:rsidRPr="00CB626B">
        <w:t>particular public</w:t>
      </w:r>
      <w:proofErr w:type="gramEnd"/>
      <w:r w:rsidR="005C2393">
        <w:t xml:space="preserve"> health nutrition intervention.</w:t>
      </w:r>
    </w:p>
    <w:p w14:paraId="68075A48" w14:textId="77777777" w:rsidR="00125D76" w:rsidRPr="00092D13" w:rsidRDefault="00125D76" w:rsidP="00314A5D">
      <w:pPr>
        <w:pStyle w:val="Heading2"/>
      </w:pPr>
      <w:bookmarkStart w:id="252" w:name="_Toc490826157"/>
      <w:bookmarkStart w:id="253" w:name="_Toc512605056"/>
      <w:bookmarkStart w:id="254" w:name="_Toc512860889"/>
      <w:bookmarkStart w:id="255" w:name="_Toc513468737"/>
      <w:bookmarkStart w:id="256" w:name="_Toc513546910"/>
      <w:bookmarkStart w:id="257" w:name="_Toc1480969"/>
      <w:bookmarkStart w:id="258" w:name="_Toc1483647"/>
      <w:bookmarkStart w:id="259" w:name="_Toc1634527"/>
      <w:bookmarkStart w:id="260" w:name="_Toc2252932"/>
      <w:bookmarkStart w:id="261" w:name="_Toc3905605"/>
      <w:bookmarkStart w:id="262" w:name="_Toc6323634"/>
      <w:r w:rsidRPr="00092D13">
        <w:t>New Zealand</w:t>
      </w:r>
      <w:bookmarkEnd w:id="252"/>
      <w:bookmarkEnd w:id="253"/>
      <w:bookmarkEnd w:id="254"/>
      <w:bookmarkEnd w:id="255"/>
      <w:bookmarkEnd w:id="256"/>
      <w:bookmarkEnd w:id="257"/>
      <w:bookmarkEnd w:id="258"/>
      <w:bookmarkEnd w:id="259"/>
      <w:bookmarkEnd w:id="260"/>
      <w:bookmarkEnd w:id="261"/>
      <w:bookmarkEnd w:id="262"/>
    </w:p>
    <w:p w14:paraId="3912C834" w14:textId="405DC09E" w:rsidR="00125D76" w:rsidRPr="00CB626B" w:rsidRDefault="00125D76" w:rsidP="00BC587F">
      <w:r w:rsidRPr="00CB626B">
        <w:t>The 2008/09 Adult Nutrition Survey (ANS 08/09)</w:t>
      </w:r>
      <w:r w:rsidR="003A1A3A" w:rsidRPr="00CB626B">
        <w:t xml:space="preserve"> (latest data available)</w:t>
      </w:r>
      <w:r w:rsidRPr="00CB626B">
        <w:t xml:space="preserve"> collected information on the food and beverage intake of 4721 New Zealand adult’s (aged 15 years and older) through </w:t>
      </w:r>
      <w:proofErr w:type="gramStart"/>
      <w:r w:rsidRPr="00CB626B">
        <w:t>24 hour</w:t>
      </w:r>
      <w:proofErr w:type="gramEnd"/>
      <w:r w:rsidRPr="00CB626B">
        <w:t xml:space="preserve"> diet recalls</w:t>
      </w:r>
      <w:r w:rsidRPr="00DB3BF5">
        <w:rPr>
          <w:rStyle w:val="FootnoteReference"/>
        </w:rPr>
        <w:footnoteReference w:id="193"/>
      </w:r>
      <w:r w:rsidR="005C2393">
        <w:t>.</w:t>
      </w:r>
    </w:p>
    <w:p w14:paraId="647C153A" w14:textId="70682D2C" w:rsidR="00125D76" w:rsidRPr="00CB626B" w:rsidRDefault="00125D76" w:rsidP="00BC587F">
      <w:r w:rsidRPr="00CB626B">
        <w:t>In 2016, University of Otago researchers estimated the intake of free and added sugars in New Zealand using dietary intake data from the ANS 08/09</w:t>
      </w:r>
      <w:r w:rsidRPr="00DB3BF5">
        <w:rPr>
          <w:rStyle w:val="FootnoteReference"/>
        </w:rPr>
        <w:footnoteReference w:id="194"/>
      </w:r>
      <w:r w:rsidR="00407430">
        <w:rPr>
          <w:vertAlign w:val="superscript"/>
        </w:rPr>
        <w:t>,</w:t>
      </w:r>
      <w:r w:rsidRPr="00DB3BF5">
        <w:rPr>
          <w:rStyle w:val="FootnoteReference"/>
        </w:rPr>
        <w:footnoteReference w:id="195"/>
      </w:r>
      <w:r w:rsidR="00360D51">
        <w:t xml:space="preserve">. </w:t>
      </w:r>
      <w:r w:rsidRPr="00CB626B">
        <w:t>The Otago researchers applied a ten-step protocol</w:t>
      </w:r>
      <w:r w:rsidRPr="00DB3BF5">
        <w:rPr>
          <w:rStyle w:val="FootnoteReference"/>
        </w:rPr>
        <w:footnoteReference w:id="196"/>
      </w:r>
      <w:r w:rsidRPr="00CB626B">
        <w:t xml:space="preserve"> to estimate the </w:t>
      </w:r>
      <w:proofErr w:type="gramStart"/>
      <w:r w:rsidRPr="00CB626B">
        <w:t>amount</w:t>
      </w:r>
      <w:proofErr w:type="gramEnd"/>
      <w:r w:rsidRPr="00CB626B">
        <w:t xml:space="preserve"> of added sugars in the foods consumed by survey participants. </w:t>
      </w:r>
      <w:proofErr w:type="gramStart"/>
      <w:r w:rsidRPr="00CB626B">
        <w:t>For the purpose of</w:t>
      </w:r>
      <w:proofErr w:type="gramEnd"/>
      <w:r w:rsidRPr="00CB626B">
        <w:t xml:space="preserve"> this research, </w:t>
      </w:r>
      <w:r w:rsidR="00E25E09" w:rsidRPr="00CB626B">
        <w:t>‘</w:t>
      </w:r>
      <w:r w:rsidRPr="00CB626B">
        <w:t>added sugars</w:t>
      </w:r>
      <w:r w:rsidR="00E25E09" w:rsidRPr="00CB626B">
        <w:t>’</w:t>
      </w:r>
      <w:r w:rsidRPr="00CB626B">
        <w:t xml:space="preserve"> were defined as per the United States Department of Agriculture (USDA) definition for added sugars and </w:t>
      </w:r>
      <w:r w:rsidR="00E25E09" w:rsidRPr="00CB626B">
        <w:t>‘</w:t>
      </w:r>
      <w:r w:rsidRPr="00CB626B">
        <w:t>free sugars</w:t>
      </w:r>
      <w:r w:rsidR="00E25E09" w:rsidRPr="00CB626B">
        <w:t>’</w:t>
      </w:r>
      <w:r w:rsidRPr="00CB626B">
        <w:t xml:space="preserve"> as per the WHO definition for free sugars. To better enable comparison with the Australian results, only the free sugar</w:t>
      </w:r>
      <w:r w:rsidR="00E25E09" w:rsidRPr="00CB626B">
        <w:t>s</w:t>
      </w:r>
      <w:r w:rsidRPr="00CB626B">
        <w:t xml:space="preserve"> results are reported here. The research did not report on the contribution of food groups to added or free sugars intake in the New Zealand diet, and no trend data is available for intakes of free/added sugars in New Zealand. The analysis also did not i</w:t>
      </w:r>
      <w:r w:rsidR="005C2393">
        <w:t>nclude children under 15 years.</w:t>
      </w:r>
    </w:p>
    <w:p w14:paraId="55B35E88" w14:textId="64DEB5CF" w:rsidR="00125D76" w:rsidRPr="00CB626B" w:rsidRDefault="00125D76" w:rsidP="00BC587F">
      <w:r w:rsidRPr="00CB626B">
        <w:t>The researchers estimated that New Zealand adults consume a mean of 66g (16.5 teaspoons) and median of 57g (14 teaspoons) of free sugars per day. Compared to females, males consumed significantly more free sugars (median intake of 51g and 64g; respectively). Younger age groups generally had significantly higher intakes of free sugars, with males aged 15-18 years consuming a median 84g of free sugars per day, and females of this age group consuming a median of 71 grams per day.</w:t>
      </w:r>
    </w:p>
    <w:p w14:paraId="40055E74" w14:textId="216745D6" w:rsidR="00125D76" w:rsidRPr="00CB626B" w:rsidRDefault="00125D76" w:rsidP="00BC587F">
      <w:r w:rsidRPr="00CB626B">
        <w:t xml:space="preserve">By ethnicity, there was no significant difference in consumption of free sugars, however there was a trend for </w:t>
      </w:r>
      <w:proofErr w:type="spellStart"/>
      <w:r w:rsidRPr="00CB626B">
        <w:t>Maori</w:t>
      </w:r>
      <w:proofErr w:type="spellEnd"/>
      <w:r w:rsidRPr="00CB626B">
        <w:t xml:space="preserve"> to consume more free sugars than Pacific or New</w:t>
      </w:r>
      <w:r w:rsidR="00360D51">
        <w:t> </w:t>
      </w:r>
      <w:r w:rsidRPr="00CB626B">
        <w:t>Zealand European and Other (NZEO). Overall, Pacific females aged 51 years and older had the lowest intake of free sugars (median intake of 28 g/day).</w:t>
      </w:r>
    </w:p>
    <w:p w14:paraId="4B9B8DBD" w14:textId="146A3AF5" w:rsidR="00125D76" w:rsidRPr="00CB626B" w:rsidRDefault="00125D76" w:rsidP="00BC587F">
      <w:r w:rsidRPr="00CB626B">
        <w:t>Over half (58%) of New Zealand Adults exceeded the WHO recommendation to limit energy from free sugars to less than 10% of energy intake, with the median intake being 11%. NZEO females aged between 15-18 years were the most likely to exceed this recommendation, with 80% of this group exceeding this recommendation. Pacific females aged 51 years and over were least likely</w:t>
      </w:r>
      <w:r w:rsidR="005C2393">
        <w:t xml:space="preserve"> to exceed this recommendation.</w:t>
      </w:r>
    </w:p>
    <w:p w14:paraId="7D9B2860" w14:textId="06D2AEAD" w:rsidR="00161919" w:rsidRDefault="00125D76" w:rsidP="00BC587F">
      <w:r w:rsidRPr="00CB626B">
        <w:t xml:space="preserve">The majority (91%) of New Zealand adults exceeded WHO’s conditional recommendation to limit energy from free sugars to less than 5% of energy intake. </w:t>
      </w:r>
      <w:proofErr w:type="gramStart"/>
      <w:r w:rsidRPr="00CB626B">
        <w:t>Again</w:t>
      </w:r>
      <w:proofErr w:type="gramEnd"/>
      <w:r w:rsidRPr="00CB626B">
        <w:t xml:space="preserve"> NZEO females aged 15-18 years were the most likely to exceed these recommendations, with 97% of this group exceeding these recommendations. The least likely to exceed these recommendations were </w:t>
      </w:r>
      <w:proofErr w:type="spellStart"/>
      <w:r w:rsidRPr="00CB626B">
        <w:t>Maori</w:t>
      </w:r>
      <w:proofErr w:type="spellEnd"/>
      <w:r w:rsidRPr="00CB626B">
        <w:t xml:space="preserve"> males aged over 51 years, however, still only 24% of this group managed</w:t>
      </w:r>
      <w:r w:rsidR="005C2393">
        <w:t xml:space="preserve"> to meet these recommendations.</w:t>
      </w:r>
    </w:p>
    <w:p w14:paraId="4468DEF0" w14:textId="77777777" w:rsidR="00161919" w:rsidRPr="00092D13" w:rsidRDefault="008E170F" w:rsidP="00314A5D">
      <w:pPr>
        <w:pStyle w:val="Heading2"/>
      </w:pPr>
      <w:bookmarkStart w:id="263" w:name="_Toc490826159"/>
      <w:bookmarkStart w:id="264" w:name="_Toc512605057"/>
      <w:bookmarkStart w:id="265" w:name="_Toc512860890"/>
      <w:bookmarkStart w:id="266" w:name="_Toc513468738"/>
      <w:bookmarkStart w:id="267" w:name="_Toc513546911"/>
      <w:bookmarkStart w:id="268" w:name="_Toc1480970"/>
      <w:bookmarkStart w:id="269" w:name="_Toc1483648"/>
      <w:bookmarkStart w:id="270" w:name="_Toc1634528"/>
      <w:bookmarkStart w:id="271" w:name="_Toc2252933"/>
      <w:bookmarkStart w:id="272" w:name="_Toc3905606"/>
      <w:bookmarkStart w:id="273" w:name="_Toc6323635"/>
      <w:r w:rsidRPr="00607A42">
        <w:t>O</w:t>
      </w:r>
      <w:r w:rsidR="00161919" w:rsidRPr="00607A42">
        <w:t>verweight</w:t>
      </w:r>
      <w:r w:rsidR="00161919" w:rsidRPr="00092D13">
        <w:t xml:space="preserve"> and obesity in Australia and New Zealand</w:t>
      </w:r>
      <w:bookmarkEnd w:id="263"/>
      <w:bookmarkEnd w:id="264"/>
      <w:bookmarkEnd w:id="265"/>
      <w:bookmarkEnd w:id="266"/>
      <w:bookmarkEnd w:id="267"/>
      <w:bookmarkEnd w:id="268"/>
      <w:bookmarkEnd w:id="269"/>
      <w:bookmarkEnd w:id="270"/>
      <w:bookmarkEnd w:id="271"/>
      <w:bookmarkEnd w:id="272"/>
      <w:bookmarkEnd w:id="273"/>
    </w:p>
    <w:p w14:paraId="063D84F8" w14:textId="77777777" w:rsidR="00161919" w:rsidRPr="00092D13" w:rsidRDefault="00161919" w:rsidP="00314A5D">
      <w:pPr>
        <w:pStyle w:val="Heading3"/>
      </w:pPr>
      <w:bookmarkStart w:id="274" w:name="_Toc490826160"/>
      <w:bookmarkStart w:id="275" w:name="_Toc512605058"/>
      <w:bookmarkStart w:id="276" w:name="_Toc512860891"/>
      <w:bookmarkStart w:id="277" w:name="_Toc513468739"/>
      <w:bookmarkStart w:id="278" w:name="_Toc513546912"/>
      <w:bookmarkStart w:id="279" w:name="_Toc1480971"/>
      <w:bookmarkStart w:id="280" w:name="_Toc1483649"/>
      <w:bookmarkStart w:id="281" w:name="_Toc1634529"/>
      <w:bookmarkStart w:id="282" w:name="_Toc2252934"/>
      <w:bookmarkStart w:id="283" w:name="_Toc3905607"/>
      <w:r w:rsidRPr="00092D13">
        <w:t>Australia</w:t>
      </w:r>
      <w:bookmarkEnd w:id="274"/>
      <w:bookmarkEnd w:id="275"/>
      <w:bookmarkEnd w:id="276"/>
      <w:bookmarkEnd w:id="277"/>
      <w:bookmarkEnd w:id="278"/>
      <w:bookmarkEnd w:id="279"/>
      <w:bookmarkEnd w:id="280"/>
      <w:bookmarkEnd w:id="281"/>
      <w:bookmarkEnd w:id="282"/>
      <w:bookmarkEnd w:id="283"/>
    </w:p>
    <w:p w14:paraId="2D591C09" w14:textId="77B0AC4B" w:rsidR="00161919" w:rsidRPr="00CB626B" w:rsidRDefault="00161919" w:rsidP="00BC587F">
      <w:r w:rsidRPr="00CB626B">
        <w:t>High body mass index</w:t>
      </w:r>
      <w:r w:rsidRPr="00CB626B">
        <w:rPr>
          <w:rStyle w:val="FootnoteReference"/>
        </w:rPr>
        <w:footnoteReference w:id="197"/>
      </w:r>
      <w:r w:rsidRPr="00CB626B">
        <w:t xml:space="preserve"> accounted for 8.27% of the total disease burden in Australia in 2016</w:t>
      </w:r>
      <w:r w:rsidRPr="00CB626B">
        <w:rPr>
          <w:rStyle w:val="FootnoteReference"/>
        </w:rPr>
        <w:footnoteReference w:id="198"/>
      </w:r>
      <w:r w:rsidRPr="00CB626B">
        <w:t xml:space="preserve"> and was the leading risk factor contributing to total disease burden</w:t>
      </w:r>
      <w:r w:rsidRPr="00CB626B">
        <w:rPr>
          <w:rStyle w:val="FootnoteReference"/>
        </w:rPr>
        <w:footnoteReference w:id="199"/>
      </w:r>
      <w:r w:rsidRPr="00CB626B">
        <w:t xml:space="preserve">. Since 1990, burden of disease attributable to high body mass index in Australia increased by 14%. In 1990, high body mass index accounted for 7.23% of the total disease </w:t>
      </w:r>
      <w:proofErr w:type="gramStart"/>
      <w:r w:rsidRPr="00CB626B">
        <w:t>burden, and</w:t>
      </w:r>
      <w:proofErr w:type="gramEnd"/>
      <w:r w:rsidRPr="00CB626B">
        <w:t xml:space="preserve"> was ranked fourth in risk factor contribution to total disease burden</w:t>
      </w:r>
      <w:r w:rsidRPr="00CB626B">
        <w:rPr>
          <w:rStyle w:val="FootnoteReference"/>
        </w:rPr>
        <w:footnoteReference w:id="200"/>
      </w:r>
      <w:r w:rsidRPr="00CB626B">
        <w:t>.</w:t>
      </w:r>
    </w:p>
    <w:p w14:paraId="50A2D28C" w14:textId="4CFCA3F0" w:rsidR="00161919" w:rsidRDefault="00161919" w:rsidP="00BC587F">
      <w:r w:rsidRPr="00CB626B">
        <w:t xml:space="preserve">For Australians aged 18 years and over, the prevalence of overweight and obesity increased in Australia from 56.3% in 1995 to </w:t>
      </w:r>
      <w:r w:rsidR="00384E03">
        <w:t>67.0</w:t>
      </w:r>
      <w:r w:rsidRPr="00CB626B">
        <w:t>%</w:t>
      </w:r>
      <w:r w:rsidR="00384E03">
        <w:t xml:space="preserve"> in 2017-18</w:t>
      </w:r>
      <w:r w:rsidR="00384E03">
        <w:rPr>
          <w:rStyle w:val="FootnoteReference"/>
        </w:rPr>
        <w:footnoteReference w:id="201"/>
      </w:r>
      <w:r w:rsidRPr="00CB626B">
        <w:t xml:space="preserve">. For children aged 5-17 years, the proportion who were overweight or obese increased from 20.9% in 1995 to 25.7% in 2011-12 and then remained stable to </w:t>
      </w:r>
      <w:r w:rsidR="00384E03">
        <w:t>2017-18</w:t>
      </w:r>
      <w:r w:rsidRPr="00CB626B">
        <w:t xml:space="preserve"> (</w:t>
      </w:r>
      <w:r w:rsidR="00384E03">
        <w:t>24.9</w:t>
      </w:r>
      <w:r w:rsidRPr="00CB626B">
        <w:t>%)</w:t>
      </w:r>
      <w:r w:rsidRPr="00CB626B">
        <w:rPr>
          <w:rStyle w:val="FootnoteReference"/>
        </w:rPr>
        <w:footnoteReference w:id="202"/>
      </w:r>
      <w:r w:rsidR="005C2393">
        <w:t>.</w:t>
      </w:r>
    </w:p>
    <w:p w14:paraId="2F79E2D0" w14:textId="3669C9BE" w:rsidR="00161919" w:rsidRPr="009B1B02" w:rsidRDefault="00384E03" w:rsidP="00BC587F">
      <w:r w:rsidRPr="00384E03">
        <w:t>In 2017-18, the proportion of adults aged 18 years and over who were overweight or obese increased with relative disadvantage. Seven in ten (71.8%) adults living in the areas of most disadvantage (first quintile) were overweight or obese in comparison to six in ten (62.6%) in the least disadvantaged (fifth quintile)</w:t>
      </w:r>
      <w:r w:rsidR="00161919" w:rsidRPr="00CB626B">
        <w:t xml:space="preserve"> Rates of overweight and obesity also varied by remoteness areas. </w:t>
      </w:r>
      <w:r w:rsidRPr="00384E03">
        <w:t>In 2017-18, adults ag</w:t>
      </w:r>
      <w:r>
        <w:t>ed 18 years and over living in inner r</w:t>
      </w:r>
      <w:r w:rsidRPr="00384E03">
        <w:t xml:space="preserve">egional, and </w:t>
      </w:r>
      <w:r w:rsidR="00407F97">
        <w:t>o</w:t>
      </w:r>
      <w:r w:rsidRPr="00384E03">
        <w:t xml:space="preserve">uter </w:t>
      </w:r>
      <w:r w:rsidR="00407F97">
        <w:t>r</w:t>
      </w:r>
      <w:r w:rsidRPr="00384E03">
        <w:t xml:space="preserve">egional and </w:t>
      </w:r>
      <w:r w:rsidR="00407F97">
        <w:t>r</w:t>
      </w:r>
      <w:r w:rsidRPr="00384E03">
        <w:t xml:space="preserve">emote Australia were more likely to be overweight or obese than those living in </w:t>
      </w:r>
      <w:r w:rsidR="00407F97">
        <w:t>m</w:t>
      </w:r>
      <w:r w:rsidRPr="00384E03">
        <w:t>ajo</w:t>
      </w:r>
      <w:r w:rsidR="00407F97">
        <w:t>r c</w:t>
      </w:r>
      <w:r w:rsidRPr="00384E03">
        <w:t>ities (72.4% and 72.2% compared with 65.0% respectively)</w:t>
      </w:r>
      <w:r w:rsidR="009B1B02" w:rsidRPr="009B1B02">
        <w:rPr>
          <w:rStyle w:val="FootnoteReference"/>
        </w:rPr>
        <w:t xml:space="preserve"> </w:t>
      </w:r>
      <w:r w:rsidR="009B1B02" w:rsidRPr="00CB626B">
        <w:rPr>
          <w:rStyle w:val="FootnoteReference"/>
        </w:rPr>
        <w:footnoteReference w:id="203"/>
      </w:r>
      <w:r w:rsidR="00DB3BF5" w:rsidRPr="00DB3BF5">
        <w:t>.</w:t>
      </w:r>
    </w:p>
    <w:p w14:paraId="6025C977" w14:textId="46F2F474" w:rsidR="00161919" w:rsidRPr="00CB626B" w:rsidRDefault="00161919" w:rsidP="00BC587F">
      <w:r w:rsidRPr="00CB626B">
        <w:t>The prevalence of overweight and obesity in the Aboriginal and Torres Strait Islander population (aged 15 years and over) in 2012/13 was 66%, with 29% being o</w:t>
      </w:r>
      <w:r w:rsidR="001E603C">
        <w:t xml:space="preserve">verweight and 37% being obese. </w:t>
      </w:r>
      <w:r w:rsidRPr="00CB626B">
        <w:t>Aboriginal and Torres Strait Islander adults (aged 15 years and over) were reported to be 1.2 times more likely to be overweight, and 1.6 times more likely to be obese compared to the non-Indigenous population</w:t>
      </w:r>
      <w:r w:rsidRPr="00CB626B">
        <w:rPr>
          <w:rStyle w:val="FootnoteReference"/>
        </w:rPr>
        <w:footnoteReference w:id="204"/>
      </w:r>
      <w:r w:rsidRPr="00CB626B">
        <w:t>.</w:t>
      </w:r>
    </w:p>
    <w:p w14:paraId="5D72A5E2" w14:textId="2B646BDD" w:rsidR="00161919" w:rsidRPr="00CB626B" w:rsidRDefault="00161919" w:rsidP="00BC587F">
      <w:r w:rsidRPr="00CB626B">
        <w:t>The cost of obesity on society in Australia has been estimated to be $8.6 billion (in 2014-15 dollars). This total figure includes $3.8 billion in direct costs (</w:t>
      </w:r>
      <w:proofErr w:type="gramStart"/>
      <w:r w:rsidRPr="00CB626B">
        <w:t>e.g.</w:t>
      </w:r>
      <w:proofErr w:type="gramEnd"/>
      <w:r w:rsidRPr="00CB626B">
        <w:t xml:space="preserve"> clinical services, hospital care, pharmaceuticals) and $4.8 billion in indirect costs (absenteeism, presentism, forgone taxes)</w:t>
      </w:r>
      <w:r w:rsidRPr="00CB626B">
        <w:rPr>
          <w:rStyle w:val="FootnoteReference"/>
        </w:rPr>
        <w:footnoteReference w:id="205"/>
      </w:r>
      <w:r w:rsidR="00360D51">
        <w:t xml:space="preserve">. </w:t>
      </w:r>
      <w:r w:rsidRPr="00CB626B">
        <w:t>The consultant PricewaterhouseCoopers (PwC) estimates that if no further action is taken to slow the growth of obesity, there will be 2.4 million more obese people in 2025 than in 2011-12 and $87.7 billion in additional costs due to obesity to society over ten years (2015-16 to 2024-25).</w:t>
      </w:r>
    </w:p>
    <w:p w14:paraId="1252AB0B" w14:textId="77777777" w:rsidR="00161919" w:rsidRPr="00C71F51" w:rsidRDefault="00161919" w:rsidP="00314A5D">
      <w:pPr>
        <w:pStyle w:val="Heading3"/>
      </w:pPr>
      <w:bookmarkStart w:id="284" w:name="_Toc490826161"/>
      <w:bookmarkStart w:id="285" w:name="_Toc512605059"/>
      <w:bookmarkStart w:id="286" w:name="_Toc512860892"/>
      <w:bookmarkStart w:id="287" w:name="_Toc513468740"/>
      <w:bookmarkStart w:id="288" w:name="_Toc513546913"/>
      <w:bookmarkStart w:id="289" w:name="_Toc1480972"/>
      <w:bookmarkStart w:id="290" w:name="_Toc1483650"/>
      <w:bookmarkStart w:id="291" w:name="_Toc1634530"/>
      <w:bookmarkStart w:id="292" w:name="_Toc2252935"/>
      <w:bookmarkStart w:id="293" w:name="_Toc3905608"/>
      <w:r w:rsidRPr="00C71F51">
        <w:t>New Zealand</w:t>
      </w:r>
      <w:bookmarkEnd w:id="284"/>
      <w:bookmarkEnd w:id="285"/>
      <w:bookmarkEnd w:id="286"/>
      <w:bookmarkEnd w:id="287"/>
      <w:bookmarkEnd w:id="288"/>
      <w:bookmarkEnd w:id="289"/>
      <w:bookmarkEnd w:id="290"/>
      <w:bookmarkEnd w:id="291"/>
      <w:bookmarkEnd w:id="292"/>
      <w:bookmarkEnd w:id="293"/>
    </w:p>
    <w:p w14:paraId="0FF7B40A" w14:textId="16973639" w:rsidR="00161919" w:rsidRPr="00CB626B" w:rsidRDefault="00161919" w:rsidP="00BC587F">
      <w:r w:rsidRPr="00CB626B">
        <w:t xml:space="preserve">In New Zealand, high body mass index accounted for 8.89% of the total burden of disease in </w:t>
      </w:r>
      <w:proofErr w:type="gramStart"/>
      <w:r w:rsidRPr="00CB626B">
        <w:t>2016, and</w:t>
      </w:r>
      <w:proofErr w:type="gramEnd"/>
      <w:r w:rsidRPr="00CB626B">
        <w:t xml:space="preserve"> was the leading risk factor contributing to total disease burden</w:t>
      </w:r>
      <w:r w:rsidRPr="00CB626B">
        <w:rPr>
          <w:rStyle w:val="FootnoteReference"/>
        </w:rPr>
        <w:footnoteReference w:id="206"/>
      </w:r>
      <w:r w:rsidR="00D57216">
        <w:t>.</w:t>
      </w:r>
      <w:r w:rsidRPr="00CB626B">
        <w:t xml:space="preserve"> In New Zealand the total disease burden attributed to high body mass index has increased over time, in 1990 it accounted for 7.75% of the total disease burden, and as a risk factor it was ranked third in its contribution to disease burden after high blood pressure and smoking</w:t>
      </w:r>
      <w:r w:rsidRPr="00CB626B">
        <w:rPr>
          <w:rStyle w:val="FootnoteReference"/>
        </w:rPr>
        <w:footnoteReference w:id="207"/>
      </w:r>
      <w:r w:rsidRPr="00CB626B">
        <w:t xml:space="preserve">. </w:t>
      </w:r>
      <w:r w:rsidR="003B0049" w:rsidRPr="00CB626B">
        <w:t>Obesity rates for adults are increasing in New Zealand, with more than three in ten adults (32%) obese in 2016-2017, up from 27% in 2006-07. In 2016-17 the prevalence of overweight (but not obese) adults aged 15+ was 34.4% or 1,318,000 individuals. Obesity rates in children have not changed significantly since 2011-12, with nearly 100,000 children aged 2-14 years (12.3%) classified as obese in 2016/17</w:t>
      </w:r>
      <w:r w:rsidR="003B0049" w:rsidRPr="00CB626B">
        <w:rPr>
          <w:rStyle w:val="FootnoteReference"/>
        </w:rPr>
        <w:footnoteReference w:id="208"/>
      </w:r>
      <w:r w:rsidR="003B0049" w:rsidRPr="00CB626B">
        <w:t>. In the same year prevalence of overweight, but not obese, in children aged 2-14 years was 21% (or 169,0</w:t>
      </w:r>
      <w:r w:rsidR="00092D13">
        <w:t>00 individuals).</w:t>
      </w:r>
    </w:p>
    <w:p w14:paraId="0465D5FD" w14:textId="77777777" w:rsidR="00407430" w:rsidRDefault="00161919" w:rsidP="00BC587F">
      <w:r w:rsidRPr="00CB626B">
        <w:t>Obesity rates are strongly linked to socioeconomic deprivation</w:t>
      </w:r>
      <w:r w:rsidR="003B0049" w:rsidRPr="00CB626B">
        <w:t>,</w:t>
      </w:r>
      <w:r w:rsidRPr="00CB626B">
        <w:t xml:space="preserve"> with the obesity rate for children living in the most deprived neighbourhoods being </w:t>
      </w:r>
      <w:r w:rsidR="003B0049" w:rsidRPr="00CB626B">
        <w:t>2.5</w:t>
      </w:r>
      <w:r w:rsidRPr="00CB626B">
        <w:t xml:space="preserve"> times that of those living in the least deprived neighbourhoods. For adults the equivalent rate ratio is 1.</w:t>
      </w:r>
      <w:r w:rsidR="003B0049" w:rsidRPr="00CB626B">
        <w:t>5</w:t>
      </w:r>
      <w:r w:rsidRPr="00CB626B">
        <w:t xml:space="preserve"> times, after adjusting for age, </w:t>
      </w:r>
      <w:proofErr w:type="gramStart"/>
      <w:r w:rsidRPr="00CB626B">
        <w:t>sex</w:t>
      </w:r>
      <w:proofErr w:type="gramEnd"/>
      <w:r w:rsidRPr="00CB626B">
        <w:t xml:space="preserve"> and ethnic differences</w:t>
      </w:r>
      <w:r w:rsidR="003B0049" w:rsidRPr="00CB626B">
        <w:rPr>
          <w:rStyle w:val="FootnoteReference"/>
        </w:rPr>
        <w:footnoteReference w:id="209"/>
      </w:r>
      <w:r w:rsidRPr="00CB626B">
        <w:t>. However, this inequality was more pronounced for extreme obesity rates (BMI ≥ 40), with adults living in the most deprived neighbourhoods 4.1 times more likely to be extremely obese than adults living in the least deprived neighbourhood</w:t>
      </w:r>
      <w:r w:rsidR="003B0049" w:rsidRPr="00CB626B">
        <w:rPr>
          <w:rStyle w:val="FootnoteReference"/>
        </w:rPr>
        <w:footnoteReference w:id="210"/>
      </w:r>
      <w:r w:rsidRPr="00CB626B">
        <w:t>. Māori adults have higher obesity rates (</w:t>
      </w:r>
      <w:r w:rsidR="003B0049" w:rsidRPr="00CB626B">
        <w:t>50</w:t>
      </w:r>
      <w:r w:rsidRPr="00CB626B">
        <w:t xml:space="preserve">%) than non-Māori, with Māori children </w:t>
      </w:r>
      <w:proofErr w:type="gramStart"/>
      <w:r w:rsidRPr="00CB626B">
        <w:t>in particular having</w:t>
      </w:r>
      <w:proofErr w:type="gramEnd"/>
      <w:r w:rsidRPr="00CB626B">
        <w:t xml:space="preserve"> comparatively high rates of obesity (</w:t>
      </w:r>
      <w:r w:rsidR="003B0049" w:rsidRPr="00CB626B">
        <w:t>18</w:t>
      </w:r>
      <w:r w:rsidRPr="00CB626B">
        <w:t>%). Pacific adults and children have the highest rates of obesity. About two-thirds of Pacific adults (6</w:t>
      </w:r>
      <w:r w:rsidR="003B0049" w:rsidRPr="00CB626B">
        <w:t>9</w:t>
      </w:r>
      <w:r w:rsidRPr="00CB626B">
        <w:t>%) and almost one-third of Pacific children (</w:t>
      </w:r>
      <w:r w:rsidR="003B0049" w:rsidRPr="00CB626B">
        <w:t>29</w:t>
      </w:r>
      <w:r w:rsidRPr="00CB626B">
        <w:t>%) are obese</w:t>
      </w:r>
      <w:r w:rsidR="003B0049" w:rsidRPr="00CB626B">
        <w:rPr>
          <w:rStyle w:val="FootnoteReference"/>
        </w:rPr>
        <w:footnoteReference w:id="211"/>
      </w:r>
      <w:r w:rsidR="003B0049" w:rsidRPr="00CB626B">
        <w:t>.</w:t>
      </w:r>
      <w:bookmarkStart w:id="294" w:name="_Toc490826162"/>
    </w:p>
    <w:p w14:paraId="3607CFD9" w14:textId="764AB601" w:rsidR="0066291E" w:rsidRPr="00C71F51" w:rsidRDefault="008E170F" w:rsidP="00314A5D">
      <w:pPr>
        <w:pStyle w:val="Heading2"/>
      </w:pPr>
      <w:bookmarkStart w:id="295" w:name="_Toc512605060"/>
      <w:bookmarkStart w:id="296" w:name="_Toc512860893"/>
      <w:bookmarkStart w:id="297" w:name="_Toc513468741"/>
      <w:bookmarkStart w:id="298" w:name="_Toc513546914"/>
      <w:bookmarkStart w:id="299" w:name="_Toc1480973"/>
      <w:bookmarkStart w:id="300" w:name="_Toc1483651"/>
      <w:bookmarkStart w:id="301" w:name="_Toc1634531"/>
      <w:bookmarkStart w:id="302" w:name="_Toc2252936"/>
      <w:bookmarkStart w:id="303" w:name="_Toc3905609"/>
      <w:bookmarkStart w:id="304" w:name="_Toc6323636"/>
      <w:r w:rsidRPr="00092D13">
        <w:t>Dental caries in Australia and New Zealand</w:t>
      </w:r>
      <w:bookmarkEnd w:id="295"/>
      <w:bookmarkEnd w:id="296"/>
      <w:bookmarkEnd w:id="297"/>
      <w:bookmarkEnd w:id="298"/>
      <w:bookmarkEnd w:id="299"/>
      <w:bookmarkEnd w:id="300"/>
      <w:bookmarkEnd w:id="301"/>
      <w:bookmarkEnd w:id="302"/>
      <w:bookmarkEnd w:id="303"/>
      <w:bookmarkEnd w:id="304"/>
    </w:p>
    <w:p w14:paraId="47875E33" w14:textId="77777777" w:rsidR="00161919" w:rsidRPr="00092D13" w:rsidRDefault="00161919" w:rsidP="00314A5D">
      <w:pPr>
        <w:pStyle w:val="Heading3"/>
      </w:pPr>
      <w:bookmarkStart w:id="305" w:name="_Toc512605061"/>
      <w:bookmarkStart w:id="306" w:name="_Toc512860894"/>
      <w:bookmarkStart w:id="307" w:name="_Toc513468742"/>
      <w:bookmarkStart w:id="308" w:name="_Toc513546915"/>
      <w:bookmarkStart w:id="309" w:name="_Toc1480974"/>
      <w:bookmarkStart w:id="310" w:name="_Toc1483652"/>
      <w:bookmarkStart w:id="311" w:name="_Toc1634532"/>
      <w:bookmarkStart w:id="312" w:name="_Toc2252937"/>
      <w:bookmarkStart w:id="313" w:name="_Toc3905610"/>
      <w:r w:rsidRPr="00092D13">
        <w:t>Australia</w:t>
      </w:r>
      <w:bookmarkEnd w:id="294"/>
      <w:bookmarkEnd w:id="305"/>
      <w:bookmarkEnd w:id="306"/>
      <w:bookmarkEnd w:id="307"/>
      <w:bookmarkEnd w:id="308"/>
      <w:bookmarkEnd w:id="309"/>
      <w:bookmarkEnd w:id="310"/>
      <w:bookmarkEnd w:id="311"/>
      <w:bookmarkEnd w:id="312"/>
      <w:bookmarkEnd w:id="313"/>
    </w:p>
    <w:p w14:paraId="39E9650F" w14:textId="6F704BAB" w:rsidR="00161919" w:rsidRPr="00CB626B" w:rsidRDefault="00161919" w:rsidP="00BC587F">
      <w:r w:rsidRPr="00CB626B">
        <w:t xml:space="preserve">According to the Australian Dental Association, </w:t>
      </w:r>
      <w:r w:rsidR="00E25E09" w:rsidRPr="00CB626B">
        <w:t xml:space="preserve">consumption of </w:t>
      </w:r>
      <w:r w:rsidRPr="00CB626B">
        <w:t>sugar</w:t>
      </w:r>
      <w:r w:rsidR="00E25E09" w:rsidRPr="00CB626B">
        <w:t>s</w:t>
      </w:r>
      <w:r w:rsidRPr="00CB626B">
        <w:t xml:space="preserve"> is the main contributor to dental caries. Dental decay is estimated to affect up to five million people in Australia each year</w:t>
      </w:r>
      <w:r w:rsidR="00D10848">
        <w:t>.</w:t>
      </w:r>
      <w:r w:rsidRPr="00CB626B">
        <w:t xml:space="preserve"> Over 90% of Australian adults have experienced dental caries at some point in their lives</w:t>
      </w:r>
      <w:r w:rsidR="0083691A" w:rsidRPr="00CB626B">
        <w:rPr>
          <w:rStyle w:val="FootnoteReference"/>
        </w:rPr>
        <w:footnoteReference w:id="212"/>
      </w:r>
      <w:r w:rsidRPr="00CB626B">
        <w:t xml:space="preserve">. </w:t>
      </w:r>
      <w:r w:rsidR="00870FE8" w:rsidRPr="00CB626B">
        <w:t xml:space="preserve">The Australian Institute of Health and Welfare (AIHW) reports that </w:t>
      </w:r>
      <w:r w:rsidRPr="00CB626B">
        <w:t xml:space="preserve">during the </w:t>
      </w:r>
      <w:proofErr w:type="gramStart"/>
      <w:r w:rsidRPr="00CB626B">
        <w:t>30 year</w:t>
      </w:r>
      <w:proofErr w:type="gramEnd"/>
      <w:r w:rsidRPr="00CB626B">
        <w:t xml:space="preserve"> period 1989-2007, 46% of children </w:t>
      </w:r>
      <w:r w:rsidR="00870FE8" w:rsidRPr="00CB626B">
        <w:t xml:space="preserve">in Australia </w:t>
      </w:r>
      <w:r w:rsidRPr="00CB626B">
        <w:t>under the age of 6 had already experienced caries</w:t>
      </w:r>
      <w:r w:rsidR="001A57B3" w:rsidRPr="00CB626B">
        <w:rPr>
          <w:rStyle w:val="FootnoteReference"/>
        </w:rPr>
        <w:footnoteReference w:id="213"/>
      </w:r>
      <w:r w:rsidRPr="00CB626B">
        <w:t xml:space="preserve">. </w:t>
      </w:r>
      <w:r w:rsidR="00870FE8" w:rsidRPr="00CB626B">
        <w:t xml:space="preserve">In 2010 (latest AIHW survey), </w:t>
      </w:r>
      <w:proofErr w:type="gramStart"/>
      <w:r w:rsidR="00870FE8" w:rsidRPr="00CB626B">
        <w:t>six year olds</w:t>
      </w:r>
      <w:proofErr w:type="gramEnd"/>
      <w:r w:rsidR="00870FE8" w:rsidRPr="00CB626B">
        <w:t xml:space="preserve"> had an average of 0.13 decayed, missing or filled permanent teeth, while 10 year olds had 0.73 and 15 year olds had 2.63</w:t>
      </w:r>
      <w:r w:rsidR="00870FE8" w:rsidRPr="00CB626B">
        <w:rPr>
          <w:rStyle w:val="FootnoteReference"/>
        </w:rPr>
        <w:footnoteReference w:id="214"/>
      </w:r>
      <w:r w:rsidR="005C2393">
        <w:t xml:space="preserve">. </w:t>
      </w:r>
      <w:r w:rsidRPr="00CB626B">
        <w:t>Prevalence of dental caries experience and untreated dental caries in both primary and permanent teeth are 1.5 – 2.5 times higher in Aboriginal and Torres Strait Islander children compared with the national average</w:t>
      </w:r>
      <w:r w:rsidRPr="00CB626B">
        <w:rPr>
          <w:rStyle w:val="FootnoteReference"/>
        </w:rPr>
        <w:footnoteReference w:id="215"/>
      </w:r>
      <w:r w:rsidR="005C2393">
        <w:t>.</w:t>
      </w:r>
    </w:p>
    <w:p w14:paraId="5094051F" w14:textId="55E52B0F" w:rsidR="00161919" w:rsidRPr="00CB626B" w:rsidRDefault="00161919" w:rsidP="00BC587F">
      <w:r w:rsidRPr="00CB626B">
        <w:t xml:space="preserve">The direct costs of dental disease in Australia (expenditure by individuals and governments on dental services) </w:t>
      </w:r>
      <w:proofErr w:type="gramStart"/>
      <w:r w:rsidRPr="00CB626B">
        <w:t>was</w:t>
      </w:r>
      <w:proofErr w:type="gramEnd"/>
      <w:r w:rsidRPr="00CB626B">
        <w:t xml:space="preserve"> estimated to be was $7.690 billion in 2009–10</w:t>
      </w:r>
      <w:r w:rsidRPr="00CB626B">
        <w:rPr>
          <w:rStyle w:val="FootnoteReference"/>
        </w:rPr>
        <w:footnoteReference w:id="216"/>
      </w:r>
      <w:r w:rsidRPr="00CB626B">
        <w:t>. In 2015-16, an estimated $9.9 billion was spent on oral health</w:t>
      </w:r>
      <w:r w:rsidRPr="00CB626B">
        <w:rPr>
          <w:rStyle w:val="FootnoteReference"/>
        </w:rPr>
        <w:footnoteReference w:id="217"/>
      </w:r>
      <w:r w:rsidR="00D76C49">
        <w:t>.</w:t>
      </w:r>
    </w:p>
    <w:p w14:paraId="59956262" w14:textId="2ECE2901" w:rsidR="00161919" w:rsidRPr="00092D13" w:rsidRDefault="00161919" w:rsidP="00314A5D">
      <w:pPr>
        <w:pStyle w:val="Heading3"/>
      </w:pPr>
      <w:bookmarkStart w:id="314" w:name="_Toc490826163"/>
      <w:bookmarkStart w:id="315" w:name="_Toc512605062"/>
      <w:bookmarkStart w:id="316" w:name="_Toc512860895"/>
      <w:bookmarkStart w:id="317" w:name="_Toc513468743"/>
      <w:bookmarkStart w:id="318" w:name="_Toc513546916"/>
      <w:bookmarkStart w:id="319" w:name="_Toc1480975"/>
      <w:bookmarkStart w:id="320" w:name="_Toc1483653"/>
      <w:bookmarkStart w:id="321" w:name="_Toc1634533"/>
      <w:bookmarkStart w:id="322" w:name="_Toc2252938"/>
      <w:bookmarkStart w:id="323" w:name="_Toc3905611"/>
      <w:r w:rsidRPr="00092D13">
        <w:t>New Zealand</w:t>
      </w:r>
      <w:bookmarkEnd w:id="314"/>
      <w:bookmarkEnd w:id="315"/>
      <w:bookmarkEnd w:id="316"/>
      <w:bookmarkEnd w:id="317"/>
      <w:bookmarkEnd w:id="318"/>
      <w:bookmarkEnd w:id="319"/>
      <w:bookmarkEnd w:id="320"/>
      <w:bookmarkEnd w:id="321"/>
      <w:bookmarkEnd w:id="322"/>
      <w:bookmarkEnd w:id="323"/>
    </w:p>
    <w:p w14:paraId="28026FF6" w14:textId="13FFF3D7" w:rsidR="00161919" w:rsidRPr="00CB626B" w:rsidRDefault="00161919" w:rsidP="00BC587F">
      <w:r w:rsidRPr="00CB626B">
        <w:t xml:space="preserve">In New Zealand, despite improvements in oral health over time, dental caries </w:t>
      </w:r>
      <w:proofErr w:type="gramStart"/>
      <w:r w:rsidRPr="00CB626B">
        <w:t>remain</w:t>
      </w:r>
      <w:proofErr w:type="gramEnd"/>
      <w:r w:rsidRPr="00CB626B">
        <w:t xml:space="preserve"> the most prevalent chronic (and irreversible) disease. The 2009 Our Oral Health survey</w:t>
      </w:r>
      <w:r w:rsidRPr="00CB626B">
        <w:rPr>
          <w:rStyle w:val="FootnoteReference"/>
        </w:rPr>
        <w:footnoteReference w:id="218"/>
      </w:r>
      <w:r w:rsidRPr="00CB626B">
        <w:t xml:space="preserve"> </w:t>
      </w:r>
      <w:r w:rsidR="00DB42E4" w:rsidRPr="00CB626B">
        <w:t xml:space="preserve">(latest data available) </w:t>
      </w:r>
      <w:r w:rsidRPr="00CB626B">
        <w:t>found large improvements in oral health had occurred for children since the 1980s, with the proportion of 12</w:t>
      </w:r>
      <w:r w:rsidRPr="00CB626B">
        <w:rPr>
          <w:rFonts w:cs="Arial"/>
        </w:rPr>
        <w:t>–</w:t>
      </w:r>
      <w:r w:rsidRPr="00CB626B">
        <w:t>13-year-olds who were caries</w:t>
      </w:r>
      <w:r w:rsidR="00360D51">
        <w:noBreakHyphen/>
      </w:r>
      <w:r w:rsidRPr="00CB626B">
        <w:t>free almost doubling between 1988 (28.5%) and 2009 (51.6%). The oral health of most preschool children (aged 2–4 years) was also relatively good, with four in five (79.7%) 2–4-year-olds were caries-free in their primary teeth.</w:t>
      </w:r>
    </w:p>
    <w:p w14:paraId="008DFA40" w14:textId="77777777" w:rsidR="00125D76" w:rsidRPr="00BC587F" w:rsidRDefault="00125D76" w:rsidP="00BC587F"/>
    <w:p w14:paraId="61C62078" w14:textId="77777777" w:rsidR="00CD3B1D" w:rsidRPr="00BC587F" w:rsidRDefault="00CD3B1D" w:rsidP="00BC587F">
      <w:pPr>
        <w:sectPr w:rsidR="00CD3B1D" w:rsidRPr="00BC587F" w:rsidSect="00E11379">
          <w:pgSz w:w="11906" w:h="16838"/>
          <w:pgMar w:top="1276" w:right="1800" w:bottom="1560" w:left="1800" w:header="708" w:footer="708" w:gutter="0"/>
          <w:cols w:space="708"/>
          <w:docGrid w:linePitch="360"/>
        </w:sectPr>
      </w:pPr>
    </w:p>
    <w:p w14:paraId="0CB9FB34" w14:textId="1C677CE7" w:rsidR="00360D51" w:rsidRPr="00092D13" w:rsidRDefault="00CD3B1D" w:rsidP="00314A5D">
      <w:pPr>
        <w:pStyle w:val="Heading1nonumbers"/>
      </w:pPr>
      <w:bookmarkStart w:id="324" w:name="_Attachment_B_–"/>
      <w:bookmarkStart w:id="325" w:name="_Toc490816850"/>
      <w:bookmarkStart w:id="326" w:name="_Toc1480976"/>
      <w:bookmarkStart w:id="327" w:name="_Toc6323637"/>
      <w:bookmarkEnd w:id="324"/>
      <w:r w:rsidRPr="00A56F43">
        <w:t xml:space="preserve">Attachment </w:t>
      </w:r>
      <w:bookmarkEnd w:id="325"/>
      <w:r w:rsidR="00125D76" w:rsidRPr="00A56F43">
        <w:t>B</w:t>
      </w:r>
      <w:bookmarkEnd w:id="326"/>
      <w:r w:rsidR="00607A42">
        <w:t xml:space="preserve"> </w:t>
      </w:r>
      <w:r w:rsidR="00607A42" w:rsidRPr="00607A42">
        <w:t>–</w:t>
      </w:r>
      <w:r w:rsidR="00607A42">
        <w:t xml:space="preserve"> </w:t>
      </w:r>
      <w:bookmarkStart w:id="328" w:name="_Toc490816851"/>
      <w:bookmarkStart w:id="329" w:name="_Toc490826186"/>
      <w:bookmarkStart w:id="330" w:name="_Toc512605064"/>
      <w:bookmarkStart w:id="331" w:name="_Toc512860897"/>
      <w:bookmarkStart w:id="332" w:name="_Toc513468745"/>
      <w:bookmarkStart w:id="333" w:name="_Toc513546918"/>
      <w:bookmarkStart w:id="334" w:name="_Toc1480977"/>
      <w:bookmarkStart w:id="335" w:name="_Toc1483655"/>
      <w:bookmarkStart w:id="336" w:name="_Toc1634535"/>
      <w:bookmarkStart w:id="337" w:name="_Toc2252940"/>
      <w:bookmarkStart w:id="338" w:name="_Toc3905613"/>
      <w:r w:rsidRPr="00092D13">
        <w:t>Australia and New Zealand preventive health initiatives relating to sugar</w:t>
      </w:r>
      <w:bookmarkEnd w:id="328"/>
      <w:bookmarkEnd w:id="329"/>
      <w:bookmarkEnd w:id="330"/>
      <w:bookmarkEnd w:id="331"/>
      <w:bookmarkEnd w:id="332"/>
      <w:r w:rsidR="00E25E09" w:rsidRPr="00092D13">
        <w:t>s</w:t>
      </w:r>
      <w:bookmarkEnd w:id="333"/>
      <w:r w:rsidR="00616E49" w:rsidRPr="00092D13">
        <w:t>:</w:t>
      </w:r>
      <w:bookmarkEnd w:id="327"/>
      <w:bookmarkEnd w:id="334"/>
      <w:bookmarkEnd w:id="335"/>
      <w:bookmarkEnd w:id="336"/>
      <w:bookmarkEnd w:id="337"/>
      <w:bookmarkEnd w:id="338"/>
      <w:r w:rsidR="00616E49" w:rsidRPr="00092D13">
        <w:t xml:space="preserve"> </w:t>
      </w:r>
    </w:p>
    <w:p w14:paraId="116A9196" w14:textId="55E6A8A5" w:rsidR="00CD3B1D" w:rsidRPr="00CB626B" w:rsidRDefault="00CD3B1D" w:rsidP="00314A5D">
      <w:pPr>
        <w:pStyle w:val="Heading2"/>
      </w:pPr>
      <w:bookmarkStart w:id="339" w:name="_Toc1480978"/>
      <w:bookmarkStart w:id="340" w:name="_Toc1483656"/>
      <w:bookmarkStart w:id="341" w:name="_Toc1634536"/>
      <w:bookmarkStart w:id="342" w:name="_Toc2252941"/>
      <w:bookmarkStart w:id="343" w:name="_Toc3905614"/>
      <w:bookmarkStart w:id="344" w:name="_Toc6323638"/>
      <w:r w:rsidRPr="00CB626B">
        <w:t>Initiatives working with the Food Industry</w:t>
      </w:r>
      <w:bookmarkEnd w:id="339"/>
      <w:bookmarkEnd w:id="340"/>
      <w:bookmarkEnd w:id="341"/>
      <w:bookmarkEnd w:id="342"/>
      <w:bookmarkEnd w:id="343"/>
      <w:bookmarkEnd w:id="3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eader Row"/>
        <w:tblDescription w:val="The Initiatives working with the food industry table provides a summary of the recent initiatives that have been undertaken jointly with a jurisdiction and the food industry."/>
      </w:tblPr>
      <w:tblGrid>
        <w:gridCol w:w="2427"/>
        <w:gridCol w:w="1966"/>
        <w:gridCol w:w="7793"/>
        <w:gridCol w:w="1806"/>
      </w:tblGrid>
      <w:tr w:rsidR="00CD3B1D" w:rsidRPr="00CB626B" w14:paraId="6EB6564A" w14:textId="77777777" w:rsidTr="001847D7">
        <w:trPr>
          <w:tblHeader/>
        </w:trPr>
        <w:tc>
          <w:tcPr>
            <w:tcW w:w="2427" w:type="dxa"/>
            <w:shd w:val="clear" w:color="auto" w:fill="E4E7DD" w:themeFill="accent5" w:themeFillTint="33"/>
          </w:tcPr>
          <w:p w14:paraId="405FF259" w14:textId="77777777" w:rsidR="00CD3B1D" w:rsidRPr="004F13AA" w:rsidRDefault="00CD3B1D" w:rsidP="00183D44">
            <w:pPr>
              <w:pStyle w:val="Tableheader"/>
            </w:pPr>
            <w:r w:rsidRPr="004F13AA">
              <w:t>Type of Policy/Program</w:t>
            </w:r>
          </w:p>
        </w:tc>
        <w:tc>
          <w:tcPr>
            <w:tcW w:w="1966" w:type="dxa"/>
            <w:shd w:val="clear" w:color="auto" w:fill="E4E7DD" w:themeFill="accent5" w:themeFillTint="33"/>
          </w:tcPr>
          <w:p w14:paraId="3BE1056B" w14:textId="77777777" w:rsidR="00CD3B1D" w:rsidRPr="004F13AA" w:rsidRDefault="00CD3B1D" w:rsidP="00183D44">
            <w:pPr>
              <w:pStyle w:val="Tableheader"/>
            </w:pPr>
            <w:r w:rsidRPr="004F13AA">
              <w:t>Jurisdiction</w:t>
            </w:r>
          </w:p>
        </w:tc>
        <w:tc>
          <w:tcPr>
            <w:tcW w:w="7793" w:type="dxa"/>
            <w:shd w:val="clear" w:color="auto" w:fill="E4E7DD" w:themeFill="accent5" w:themeFillTint="33"/>
          </w:tcPr>
          <w:p w14:paraId="42999F7B" w14:textId="77777777" w:rsidR="00CD3B1D" w:rsidRPr="004F13AA" w:rsidRDefault="00CD3B1D" w:rsidP="00183D44">
            <w:pPr>
              <w:pStyle w:val="Tableheader"/>
            </w:pPr>
            <w:r w:rsidRPr="004F13AA">
              <w:t>Description summary</w:t>
            </w:r>
          </w:p>
        </w:tc>
        <w:tc>
          <w:tcPr>
            <w:tcW w:w="1806" w:type="dxa"/>
            <w:shd w:val="clear" w:color="auto" w:fill="E4E7DD" w:themeFill="accent5" w:themeFillTint="33"/>
          </w:tcPr>
          <w:p w14:paraId="1A8801B6" w14:textId="77777777" w:rsidR="00CD3B1D" w:rsidRPr="004F13AA" w:rsidRDefault="00CD3B1D" w:rsidP="00183D44">
            <w:pPr>
              <w:pStyle w:val="Tableheader"/>
            </w:pPr>
            <w:r w:rsidRPr="004F13AA">
              <w:t>Target audience</w:t>
            </w:r>
          </w:p>
        </w:tc>
      </w:tr>
      <w:tr w:rsidR="00CD3B1D" w:rsidRPr="00CB626B" w14:paraId="010E9F40" w14:textId="77777777" w:rsidTr="001847D7">
        <w:tc>
          <w:tcPr>
            <w:tcW w:w="2427" w:type="dxa"/>
            <w:shd w:val="clear" w:color="auto" w:fill="FFFFFF" w:themeFill="background1"/>
          </w:tcPr>
          <w:p w14:paraId="64195768" w14:textId="77777777" w:rsidR="00CD3B1D" w:rsidRPr="00A23998" w:rsidRDefault="00CD3B1D" w:rsidP="00183D44">
            <w:pPr>
              <w:pStyle w:val="Tabletext"/>
            </w:pPr>
            <w:r w:rsidRPr="00A23998">
              <w:t>Healthy Food Partnership</w:t>
            </w:r>
          </w:p>
        </w:tc>
        <w:tc>
          <w:tcPr>
            <w:tcW w:w="1966" w:type="dxa"/>
            <w:shd w:val="clear" w:color="auto" w:fill="FFFFFF" w:themeFill="background1"/>
          </w:tcPr>
          <w:p w14:paraId="3B3B1ACE" w14:textId="77777777" w:rsidR="00CD3B1D" w:rsidRPr="00A23998" w:rsidRDefault="00CD3B1D" w:rsidP="00183D44">
            <w:pPr>
              <w:pStyle w:val="Tabletext"/>
            </w:pPr>
            <w:r w:rsidRPr="00A23998">
              <w:t>Australian Government</w:t>
            </w:r>
          </w:p>
        </w:tc>
        <w:tc>
          <w:tcPr>
            <w:tcW w:w="7793" w:type="dxa"/>
            <w:shd w:val="clear" w:color="auto" w:fill="FFFFFF" w:themeFill="background1"/>
          </w:tcPr>
          <w:p w14:paraId="65802B7F" w14:textId="1CCA3205" w:rsidR="00CD3B1D" w:rsidRPr="00BC587F" w:rsidRDefault="00CD3B1D" w:rsidP="00183D44">
            <w:pPr>
              <w:pStyle w:val="Tabletext"/>
            </w:pPr>
            <w:r w:rsidRPr="00BC587F">
              <w:t xml:space="preserve">A joint initiative between government, food industry bodies and public health groups focusing on increased health knowledge, healthier </w:t>
            </w:r>
            <w:proofErr w:type="gramStart"/>
            <w:r w:rsidRPr="00BC587F">
              <w:t>choices</w:t>
            </w:r>
            <w:proofErr w:type="gramEnd"/>
            <w:r w:rsidRPr="00BC587F">
              <w:t xml:space="preserve"> and better health outcomes for the Australian population. The focus of the Partnership includes:</w:t>
            </w:r>
          </w:p>
          <w:p w14:paraId="01119F1A" w14:textId="39A7E6E9" w:rsidR="00CD3B1D" w:rsidRPr="00CB626B" w:rsidRDefault="00CD3B1D" w:rsidP="00DD3D9C">
            <w:pPr>
              <w:pStyle w:val="Tabletext"/>
              <w:numPr>
                <w:ilvl w:val="0"/>
                <w:numId w:val="12"/>
              </w:numPr>
            </w:pPr>
            <w:r w:rsidRPr="00CB626B">
              <w:t xml:space="preserve">Portion Control – promoting and communicating information about appropriate portion sizes and consumption of portion sizes </w:t>
            </w:r>
            <w:r w:rsidR="005C2393">
              <w:t xml:space="preserve">that align with the </w:t>
            </w:r>
            <w:proofErr w:type="gramStart"/>
            <w:r w:rsidR="005C2393">
              <w:t>Guidelines;</w:t>
            </w:r>
            <w:proofErr w:type="gramEnd"/>
          </w:p>
          <w:p w14:paraId="1C115481" w14:textId="6E52A400" w:rsidR="00CD3B1D" w:rsidRPr="00CB626B" w:rsidRDefault="00CD3B1D" w:rsidP="00DD3D9C">
            <w:pPr>
              <w:pStyle w:val="Tabletext"/>
              <w:numPr>
                <w:ilvl w:val="0"/>
                <w:numId w:val="12"/>
              </w:numPr>
            </w:pPr>
            <w:r w:rsidRPr="00CB626B">
              <w:t xml:space="preserve">Communication, </w:t>
            </w:r>
            <w:proofErr w:type="gramStart"/>
            <w:r w:rsidRPr="00CB626B">
              <w:t>education</w:t>
            </w:r>
            <w:proofErr w:type="gramEnd"/>
            <w:r w:rsidRPr="00CB626B">
              <w:t xml:space="preserve"> and meal planning on whole foods and total diet – based on the Australian Dietary Guidelines (including limiting intakes of added sugar</w:t>
            </w:r>
            <w:r w:rsidR="00E25E09" w:rsidRPr="00CB626B">
              <w:t>s</w:t>
            </w:r>
            <w:r w:rsidRPr="00CB626B">
              <w:t>; and</w:t>
            </w:r>
          </w:p>
          <w:p w14:paraId="5FE3AB36" w14:textId="24944F6C" w:rsidR="00CD3B1D" w:rsidRPr="00CB626B" w:rsidRDefault="00CD3B1D" w:rsidP="00DD3D9C">
            <w:pPr>
              <w:pStyle w:val="Tabletext"/>
              <w:numPr>
                <w:ilvl w:val="0"/>
                <w:numId w:val="12"/>
              </w:numPr>
            </w:pPr>
            <w:r w:rsidRPr="00CB626B">
              <w:t>Reformulation activities optimising the appropriate balance of nutrients and ingredients in food in manufactured foods, including added sugar</w:t>
            </w:r>
            <w:r w:rsidR="00E25E09" w:rsidRPr="00CB626B">
              <w:t>s</w:t>
            </w:r>
            <w:r w:rsidRPr="00CB626B">
              <w:t>.</w:t>
            </w:r>
          </w:p>
        </w:tc>
        <w:tc>
          <w:tcPr>
            <w:tcW w:w="1806" w:type="dxa"/>
            <w:shd w:val="clear" w:color="auto" w:fill="FFFFFF" w:themeFill="background1"/>
          </w:tcPr>
          <w:p w14:paraId="58C0171A" w14:textId="58D5B8EE" w:rsidR="00CD3B1D" w:rsidRPr="00A23998" w:rsidRDefault="00CD3B1D" w:rsidP="00183D44">
            <w:pPr>
              <w:pStyle w:val="Tabletext"/>
            </w:pPr>
            <w:r w:rsidRPr="00A23998">
              <w:t>All Australians</w:t>
            </w:r>
          </w:p>
        </w:tc>
      </w:tr>
      <w:tr w:rsidR="00CD3B1D" w:rsidRPr="00CB626B" w14:paraId="0CBF48F2" w14:textId="77777777" w:rsidTr="001847D7">
        <w:trPr>
          <w:trHeight w:val="2631"/>
        </w:trPr>
        <w:tc>
          <w:tcPr>
            <w:tcW w:w="2427" w:type="dxa"/>
            <w:shd w:val="clear" w:color="auto" w:fill="FFFFFF" w:themeFill="background1"/>
          </w:tcPr>
          <w:p w14:paraId="2900131F" w14:textId="115CCE7F" w:rsidR="00CD3B1D" w:rsidRPr="00A23998" w:rsidRDefault="005C2393" w:rsidP="00183D44">
            <w:pPr>
              <w:pStyle w:val="Tabletext"/>
            </w:pPr>
            <w:r w:rsidRPr="00A23998">
              <w:t xml:space="preserve">Healthy </w:t>
            </w:r>
            <w:proofErr w:type="gramStart"/>
            <w:r w:rsidRPr="00A23998">
              <w:t>kids</w:t>
            </w:r>
            <w:proofErr w:type="gramEnd"/>
            <w:r w:rsidRPr="00A23998">
              <w:t xml:space="preserve"> industry pledge</w:t>
            </w:r>
          </w:p>
        </w:tc>
        <w:tc>
          <w:tcPr>
            <w:tcW w:w="1966" w:type="dxa"/>
            <w:shd w:val="clear" w:color="auto" w:fill="FFFFFF" w:themeFill="background1"/>
          </w:tcPr>
          <w:p w14:paraId="02EA60F0" w14:textId="6789B0A0" w:rsidR="00CD3B1D" w:rsidRPr="00A23998" w:rsidRDefault="00CD3B1D" w:rsidP="00183D44">
            <w:pPr>
              <w:pStyle w:val="Tabletext"/>
            </w:pPr>
            <w:r w:rsidRPr="00A23998">
              <w:t xml:space="preserve">New Zealand </w:t>
            </w:r>
            <w:r w:rsidR="005C2393" w:rsidRPr="00A23998">
              <w:t>Government- Ministry of Health</w:t>
            </w:r>
          </w:p>
        </w:tc>
        <w:tc>
          <w:tcPr>
            <w:tcW w:w="7793" w:type="dxa"/>
            <w:shd w:val="clear" w:color="auto" w:fill="FFFFFF" w:themeFill="background1"/>
          </w:tcPr>
          <w:p w14:paraId="7495798A" w14:textId="755EE080" w:rsidR="00CD3B1D" w:rsidRPr="00A23998" w:rsidRDefault="006D43E4" w:rsidP="00183D44">
            <w:pPr>
              <w:pStyle w:val="Tabletext"/>
            </w:pPr>
            <w:r w:rsidRPr="00A23998">
              <w:t>T</w:t>
            </w:r>
            <w:r w:rsidR="00CD3B1D" w:rsidRPr="00A23998">
              <w:t xml:space="preserve">he Healthy </w:t>
            </w:r>
            <w:proofErr w:type="gramStart"/>
            <w:r w:rsidR="00CD3B1D" w:rsidRPr="00A23998">
              <w:t>kids</w:t>
            </w:r>
            <w:proofErr w:type="gramEnd"/>
            <w:r w:rsidR="00CD3B1D" w:rsidRPr="00A23998">
              <w:t xml:space="preserve"> industry pledge involves partnerships with the food and beverage industry to make commitments that will make a contribution to reducing the </w:t>
            </w:r>
            <w:r w:rsidR="005C2393" w:rsidRPr="00A23998">
              <w:t>incidence of childhood obesity.</w:t>
            </w:r>
          </w:p>
          <w:p w14:paraId="25649AFC" w14:textId="180BA62B" w:rsidR="00CD3B1D" w:rsidRPr="00A23998" w:rsidRDefault="00CD3B1D" w:rsidP="00183D44">
            <w:pPr>
              <w:pStyle w:val="Tabletext"/>
            </w:pPr>
            <w:r w:rsidRPr="00A23998">
              <w:t>The overarching pledge includes commitments to healthy product reformulation, labelling, education, marketing, addressing health inequalities and comm</w:t>
            </w:r>
            <w:r w:rsidR="005C2393" w:rsidRPr="00A23998">
              <w:t>unication and public reporting.</w:t>
            </w:r>
          </w:p>
          <w:p w14:paraId="1F9A8174" w14:textId="77777777" w:rsidR="00CD3B1D" w:rsidRPr="00CB626B" w:rsidRDefault="00CD3B1D" w:rsidP="00183D44">
            <w:pPr>
              <w:pStyle w:val="Tabletext"/>
              <w:rPr>
                <w:rFonts w:eastAsia="Times New Roman"/>
                <w:color w:val="002639"/>
                <w:lang w:val="en-NZ" w:eastAsia="en-NZ"/>
              </w:rPr>
            </w:pPr>
            <w:r w:rsidRPr="00BC6164">
              <w:rPr>
                <w:rFonts w:eastAsia="Times New Roman"/>
                <w:lang w:val="en-NZ" w:eastAsia="en-NZ"/>
              </w:rPr>
              <w:t xml:space="preserve">Companies and industry groups already committed include the New Zealand Food and Grocery Council, Coca-Cola, McDonalds NZ, Nestle, Fonterra, Retail </w:t>
            </w:r>
            <w:proofErr w:type="gramStart"/>
            <w:r w:rsidRPr="00BC6164">
              <w:rPr>
                <w:rFonts w:eastAsia="Times New Roman"/>
                <w:lang w:val="en-NZ" w:eastAsia="en-NZ"/>
              </w:rPr>
              <w:t>NZ</w:t>
            </w:r>
            <w:proofErr w:type="gramEnd"/>
            <w:r w:rsidRPr="00BC6164">
              <w:rPr>
                <w:rFonts w:eastAsia="Times New Roman"/>
                <w:lang w:val="en-NZ" w:eastAsia="en-NZ"/>
              </w:rPr>
              <w:t xml:space="preserve"> and the Association of New Zealand Advertisers.</w:t>
            </w:r>
          </w:p>
        </w:tc>
        <w:tc>
          <w:tcPr>
            <w:tcW w:w="1806" w:type="dxa"/>
            <w:shd w:val="clear" w:color="auto" w:fill="FFFFFF" w:themeFill="background1"/>
          </w:tcPr>
          <w:p w14:paraId="0564F2B2" w14:textId="39C70987" w:rsidR="00CD3B1D" w:rsidRPr="00A23998" w:rsidRDefault="00CD3B1D" w:rsidP="00183D44">
            <w:pPr>
              <w:pStyle w:val="Tabletext"/>
            </w:pPr>
            <w:r w:rsidRPr="00A23998">
              <w:t>New Zealand Children</w:t>
            </w:r>
          </w:p>
        </w:tc>
      </w:tr>
    </w:tbl>
    <w:p w14:paraId="1EBCCB10" w14:textId="77777777" w:rsidR="00CD3B1D" w:rsidRPr="00CB626B" w:rsidRDefault="00CD3B1D" w:rsidP="00314A5D">
      <w:pPr>
        <w:pStyle w:val="Heading2"/>
      </w:pPr>
      <w:bookmarkStart w:id="345" w:name="_Toc1480979"/>
      <w:bookmarkStart w:id="346" w:name="_Toc1483657"/>
      <w:bookmarkStart w:id="347" w:name="_Toc1634537"/>
      <w:bookmarkStart w:id="348" w:name="_Toc2252942"/>
      <w:bookmarkStart w:id="349" w:name="_Toc3905615"/>
      <w:bookmarkStart w:id="350" w:name="_Toc6323639"/>
      <w:r w:rsidRPr="00CB626B">
        <w:t xml:space="preserve">Resources focusing on sugar-sweetened </w:t>
      </w:r>
      <w:proofErr w:type="gramStart"/>
      <w:r w:rsidRPr="00CB626B">
        <w:t>drinks</w:t>
      </w:r>
      <w:bookmarkEnd w:id="345"/>
      <w:bookmarkEnd w:id="346"/>
      <w:bookmarkEnd w:id="347"/>
      <w:bookmarkEnd w:id="348"/>
      <w:bookmarkEnd w:id="349"/>
      <w:bookmarkEnd w:id="350"/>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e Resources focusing on sugar-sweetened drinks table provides a summary of the recent initiatives that jurisdictions have undertaken in this area."/>
      </w:tblPr>
      <w:tblGrid>
        <w:gridCol w:w="2430"/>
        <w:gridCol w:w="1966"/>
        <w:gridCol w:w="7790"/>
        <w:gridCol w:w="1806"/>
      </w:tblGrid>
      <w:tr w:rsidR="00CD3B1D" w:rsidRPr="00CB626B" w14:paraId="759C684C" w14:textId="77777777" w:rsidTr="001847D7">
        <w:trPr>
          <w:tblHeader/>
        </w:trPr>
        <w:tc>
          <w:tcPr>
            <w:tcW w:w="2430" w:type="dxa"/>
            <w:shd w:val="clear" w:color="auto" w:fill="E4E7DD" w:themeFill="accent5" w:themeFillTint="33"/>
          </w:tcPr>
          <w:p w14:paraId="4BC6DC2F" w14:textId="77777777" w:rsidR="00CD3B1D" w:rsidRPr="004F13AA" w:rsidRDefault="00CD3B1D" w:rsidP="004F13AA">
            <w:r w:rsidRPr="004F13AA">
              <w:t>Type of Policy/Program</w:t>
            </w:r>
          </w:p>
        </w:tc>
        <w:tc>
          <w:tcPr>
            <w:tcW w:w="1966" w:type="dxa"/>
            <w:shd w:val="clear" w:color="auto" w:fill="E4E7DD" w:themeFill="accent5" w:themeFillTint="33"/>
          </w:tcPr>
          <w:p w14:paraId="26F9D9D5" w14:textId="77777777" w:rsidR="00CD3B1D" w:rsidRPr="004F13AA" w:rsidRDefault="00CD3B1D" w:rsidP="004F13AA">
            <w:r w:rsidRPr="004F13AA">
              <w:t>Jurisdiction</w:t>
            </w:r>
          </w:p>
        </w:tc>
        <w:tc>
          <w:tcPr>
            <w:tcW w:w="7790" w:type="dxa"/>
            <w:shd w:val="clear" w:color="auto" w:fill="E4E7DD" w:themeFill="accent5" w:themeFillTint="33"/>
          </w:tcPr>
          <w:p w14:paraId="5A26834A" w14:textId="77777777" w:rsidR="00CD3B1D" w:rsidRPr="004F13AA" w:rsidRDefault="00CD3B1D" w:rsidP="004F13AA">
            <w:r w:rsidRPr="004F13AA">
              <w:t>Description summary</w:t>
            </w:r>
          </w:p>
        </w:tc>
        <w:tc>
          <w:tcPr>
            <w:tcW w:w="1806" w:type="dxa"/>
            <w:shd w:val="clear" w:color="auto" w:fill="E4E7DD" w:themeFill="accent5" w:themeFillTint="33"/>
          </w:tcPr>
          <w:p w14:paraId="12878F98" w14:textId="77777777" w:rsidR="00CD3B1D" w:rsidRPr="004F13AA" w:rsidRDefault="00CD3B1D" w:rsidP="004F13AA">
            <w:r w:rsidRPr="004F13AA">
              <w:t>Target audience</w:t>
            </w:r>
          </w:p>
        </w:tc>
      </w:tr>
      <w:tr w:rsidR="00CD3B1D" w:rsidRPr="00CB626B" w14:paraId="1B9B9EC4" w14:textId="77777777" w:rsidTr="001847D7">
        <w:trPr>
          <w:cantSplit/>
        </w:trPr>
        <w:tc>
          <w:tcPr>
            <w:tcW w:w="2430" w:type="dxa"/>
          </w:tcPr>
          <w:p w14:paraId="0C5A20A7" w14:textId="56A987C1" w:rsidR="00CD3B1D" w:rsidRPr="00A23998" w:rsidRDefault="00407430" w:rsidP="00183D44">
            <w:pPr>
              <w:pStyle w:val="Tabletext"/>
            </w:pPr>
            <w:r w:rsidRPr="00A23998">
              <w:t xml:space="preserve">Sugary Drinks – </w:t>
            </w:r>
            <w:r w:rsidR="00CD3B1D" w:rsidRPr="00A23998">
              <w:t>Healthy Bodies Need Healthy Drinks</w:t>
            </w:r>
          </w:p>
        </w:tc>
        <w:tc>
          <w:tcPr>
            <w:tcW w:w="1966" w:type="dxa"/>
          </w:tcPr>
          <w:p w14:paraId="78A34FA7" w14:textId="15235258" w:rsidR="00CD3B1D" w:rsidRPr="00A23998" w:rsidRDefault="005C2393" w:rsidP="00183D44">
            <w:pPr>
              <w:pStyle w:val="Tabletext"/>
            </w:pPr>
            <w:r w:rsidRPr="00A23998">
              <w:t>Australian Government</w:t>
            </w:r>
          </w:p>
        </w:tc>
        <w:tc>
          <w:tcPr>
            <w:tcW w:w="7790" w:type="dxa"/>
          </w:tcPr>
          <w:p w14:paraId="2C33A138" w14:textId="77777777" w:rsidR="00CD3B1D" w:rsidRPr="00BC587F" w:rsidRDefault="00CD3B1D" w:rsidP="00183D44">
            <w:pPr>
              <w:pStyle w:val="Tabletext"/>
            </w:pPr>
            <w:r w:rsidRPr="00BC587F">
              <w:t xml:space="preserve">This resource package promotes healthy drink choices and discourages excessive consumption of sugar-sweetened drinks among Aboriginal and Torres Strait Islander school aged children, their </w:t>
            </w:r>
            <w:proofErr w:type="gramStart"/>
            <w:r w:rsidRPr="00BC587F">
              <w:t>families</w:t>
            </w:r>
            <w:proofErr w:type="gramEnd"/>
            <w:r w:rsidRPr="00BC587F">
              <w:t xml:space="preserve"> and communities.</w:t>
            </w:r>
          </w:p>
          <w:p w14:paraId="53BCBC61" w14:textId="0B312283" w:rsidR="00CD3B1D" w:rsidRPr="00BC587F" w:rsidRDefault="00CD3B1D" w:rsidP="00183D44">
            <w:pPr>
              <w:pStyle w:val="Tabletext"/>
            </w:pPr>
            <w:r w:rsidRPr="00BC587F">
              <w:t>The amounts of natural and added sugars in milk drinks and fruit juice are included as a comparison with high added sugar</w:t>
            </w:r>
            <w:r w:rsidR="00E25E09" w:rsidRPr="00BC587F">
              <w:t>s</w:t>
            </w:r>
            <w:r w:rsidRPr="00BC587F">
              <w:t xml:space="preserve"> beverages</w:t>
            </w:r>
            <w:r w:rsidR="00360D51" w:rsidRPr="00BC587F">
              <w:t>.</w:t>
            </w:r>
          </w:p>
          <w:p w14:paraId="0A93C9AE" w14:textId="3A251905" w:rsidR="00CD3B1D" w:rsidRPr="00BC587F" w:rsidRDefault="00CD3B1D" w:rsidP="00183D44">
            <w:pPr>
              <w:pStyle w:val="Tabletext"/>
            </w:pPr>
            <w:r w:rsidRPr="00BC587F">
              <w:t xml:space="preserve">Teaspoon measures are used to depict </w:t>
            </w:r>
            <w:r w:rsidR="00E25E09" w:rsidRPr="00BC587F">
              <w:t xml:space="preserve">a drink’s </w:t>
            </w:r>
            <w:r w:rsidRPr="00BC587F">
              <w:t>sugar content.</w:t>
            </w:r>
          </w:p>
        </w:tc>
        <w:tc>
          <w:tcPr>
            <w:tcW w:w="1806" w:type="dxa"/>
          </w:tcPr>
          <w:p w14:paraId="62ACD606" w14:textId="77777777" w:rsidR="00CD3B1D" w:rsidRPr="00A23998" w:rsidRDefault="00CD3B1D" w:rsidP="00183D44">
            <w:pPr>
              <w:pStyle w:val="Tabletext"/>
            </w:pPr>
            <w:r w:rsidRPr="00A23998">
              <w:t>Aboriginal and Torres Strait Islander peoples</w:t>
            </w:r>
          </w:p>
        </w:tc>
      </w:tr>
      <w:tr w:rsidR="00CD3B1D" w:rsidRPr="00CB626B" w14:paraId="1FD181C0" w14:textId="77777777" w:rsidTr="001847D7">
        <w:tc>
          <w:tcPr>
            <w:tcW w:w="2430" w:type="dxa"/>
          </w:tcPr>
          <w:p w14:paraId="3C267EF9" w14:textId="77777777" w:rsidR="00CD3B1D" w:rsidRPr="00A23998" w:rsidRDefault="00CD3B1D" w:rsidP="00183D44">
            <w:pPr>
              <w:pStyle w:val="Tabletext"/>
            </w:pPr>
            <w:r w:rsidRPr="00A23998">
              <w:t>Swap Soft Drinks for Water initiative</w:t>
            </w:r>
          </w:p>
        </w:tc>
        <w:tc>
          <w:tcPr>
            <w:tcW w:w="1966" w:type="dxa"/>
          </w:tcPr>
          <w:p w14:paraId="2BE1F205" w14:textId="77777777" w:rsidR="00CD3B1D" w:rsidRPr="00A23998" w:rsidRDefault="00CD3B1D" w:rsidP="00183D44">
            <w:pPr>
              <w:pStyle w:val="Tabletext"/>
            </w:pPr>
            <w:r w:rsidRPr="00A23998">
              <w:t>Northern Territory</w:t>
            </w:r>
          </w:p>
        </w:tc>
        <w:tc>
          <w:tcPr>
            <w:tcW w:w="7790" w:type="dxa"/>
          </w:tcPr>
          <w:p w14:paraId="160E824F" w14:textId="77777777" w:rsidR="00CD3B1D" w:rsidRPr="00BC587F" w:rsidRDefault="00CD3B1D" w:rsidP="00183D44">
            <w:pPr>
              <w:pStyle w:val="Tabletext"/>
            </w:pPr>
            <w:r w:rsidRPr="00BC587F">
              <w:t xml:space="preserve">Provides information sheets and promotional resources on replacing soft drinks with water for use by different health promotion sectors including schools, </w:t>
            </w:r>
            <w:proofErr w:type="gramStart"/>
            <w:r w:rsidRPr="00BC587F">
              <w:t>child care</w:t>
            </w:r>
            <w:proofErr w:type="gramEnd"/>
            <w:r w:rsidRPr="00BC587F">
              <w:t>, community groups, stores, council (through Sport and Recreation Officers) and health centres.</w:t>
            </w:r>
          </w:p>
        </w:tc>
        <w:tc>
          <w:tcPr>
            <w:tcW w:w="1806" w:type="dxa"/>
          </w:tcPr>
          <w:p w14:paraId="45A9D808" w14:textId="77777777" w:rsidR="00CD3B1D" w:rsidRPr="00A23998" w:rsidRDefault="00CD3B1D" w:rsidP="00183D44">
            <w:pPr>
              <w:pStyle w:val="Tabletext"/>
            </w:pPr>
            <w:r w:rsidRPr="00A23998">
              <w:t xml:space="preserve">All ages </w:t>
            </w:r>
          </w:p>
        </w:tc>
      </w:tr>
      <w:tr w:rsidR="00CD3B1D" w:rsidRPr="00CB626B" w14:paraId="18A7A9A6" w14:textId="77777777" w:rsidTr="001847D7">
        <w:tc>
          <w:tcPr>
            <w:tcW w:w="2430" w:type="dxa"/>
          </w:tcPr>
          <w:p w14:paraId="436B6A3B" w14:textId="77777777" w:rsidR="00CD3B1D" w:rsidRPr="00A23998" w:rsidRDefault="00CD3B1D" w:rsidP="00183D44">
            <w:pPr>
              <w:pStyle w:val="Tabletext"/>
            </w:pPr>
            <w:r w:rsidRPr="00A23998">
              <w:t>Good Habits for Life – Sugar Swap Challenge (delivered in 2016)</w:t>
            </w:r>
          </w:p>
        </w:tc>
        <w:tc>
          <w:tcPr>
            <w:tcW w:w="1966" w:type="dxa"/>
          </w:tcPr>
          <w:p w14:paraId="0AD73E37" w14:textId="77777777" w:rsidR="00CD3B1D" w:rsidRPr="00A23998" w:rsidRDefault="00CD3B1D" w:rsidP="00183D44">
            <w:pPr>
              <w:pStyle w:val="Tabletext"/>
            </w:pPr>
            <w:r w:rsidRPr="00A23998">
              <w:t>ACT</w:t>
            </w:r>
          </w:p>
        </w:tc>
        <w:tc>
          <w:tcPr>
            <w:tcW w:w="7790" w:type="dxa"/>
          </w:tcPr>
          <w:p w14:paraId="7E7A8337" w14:textId="16421874" w:rsidR="00CD3B1D" w:rsidRPr="00BC587F" w:rsidRDefault="00CD3B1D" w:rsidP="00183D44">
            <w:pPr>
              <w:pStyle w:val="Tabletext"/>
            </w:pPr>
            <w:r w:rsidRPr="00BC587F">
              <w:t>Online resources and advice for families to recognise added sugar</w:t>
            </w:r>
            <w:r w:rsidR="00E25E09" w:rsidRPr="00BC587F">
              <w:t>s</w:t>
            </w:r>
            <w:r w:rsidRPr="00BC587F">
              <w:t xml:space="preserve"> in their food and drinks, and to ‘swap them out’ for healthier alternatives for one month. Includes an onlin</w:t>
            </w:r>
            <w:r w:rsidR="005C2393" w:rsidRPr="00BC587F">
              <w:t>e sugar swap game for children.</w:t>
            </w:r>
          </w:p>
        </w:tc>
        <w:tc>
          <w:tcPr>
            <w:tcW w:w="1806" w:type="dxa"/>
          </w:tcPr>
          <w:p w14:paraId="3D08E0DF" w14:textId="272F5751" w:rsidR="00CD3B1D" w:rsidRPr="00A23998" w:rsidRDefault="00CD3B1D" w:rsidP="00183D44">
            <w:pPr>
              <w:pStyle w:val="Tabletext"/>
            </w:pPr>
            <w:r w:rsidRPr="00A23998">
              <w:t>Paren</w:t>
            </w:r>
            <w:r w:rsidR="00407430" w:rsidRPr="00A23998">
              <w:t>ts and carers with children 0–</w:t>
            </w:r>
            <w:r w:rsidRPr="00A23998">
              <w:t>8 years.</w:t>
            </w:r>
          </w:p>
        </w:tc>
      </w:tr>
      <w:tr w:rsidR="00CD3B1D" w:rsidRPr="00CB626B" w14:paraId="3BA2CEBA" w14:textId="77777777" w:rsidTr="001847D7">
        <w:tc>
          <w:tcPr>
            <w:tcW w:w="2430" w:type="dxa"/>
          </w:tcPr>
          <w:p w14:paraId="73240896" w14:textId="42B0AE0D" w:rsidR="00CD3B1D" w:rsidRPr="00A23998" w:rsidRDefault="00CD3B1D" w:rsidP="00183D44">
            <w:pPr>
              <w:pStyle w:val="Tabletext"/>
            </w:pPr>
            <w:r w:rsidRPr="00A23998">
              <w:t>100% w</w:t>
            </w:r>
            <w:r w:rsidR="005C2393" w:rsidRPr="00A23998">
              <w:t>ater resources Health Promotion</w:t>
            </w:r>
          </w:p>
        </w:tc>
        <w:tc>
          <w:tcPr>
            <w:tcW w:w="1966" w:type="dxa"/>
          </w:tcPr>
          <w:p w14:paraId="486A670A" w14:textId="77777777" w:rsidR="00CD3B1D" w:rsidRPr="00A23998" w:rsidRDefault="00CD3B1D" w:rsidP="00183D44">
            <w:pPr>
              <w:pStyle w:val="Tabletext"/>
            </w:pPr>
            <w:r w:rsidRPr="00A23998">
              <w:t>New Zealand</w:t>
            </w:r>
          </w:p>
        </w:tc>
        <w:tc>
          <w:tcPr>
            <w:tcW w:w="7790" w:type="dxa"/>
          </w:tcPr>
          <w:p w14:paraId="34FFD0E9" w14:textId="732CAE9D" w:rsidR="00CD3B1D" w:rsidRPr="00BC587F" w:rsidRDefault="00CD3B1D" w:rsidP="00183D44">
            <w:pPr>
              <w:pStyle w:val="Tabletext"/>
            </w:pPr>
            <w:r w:rsidRPr="00BC587F">
              <w:t xml:space="preserve">Sugary drink infographics and suite of ‘100% Water’ posters. Also available are </w:t>
            </w:r>
            <w:r w:rsidR="005C2393" w:rsidRPr="00BC587F">
              <w:t>Player of the Day certificates.</w:t>
            </w:r>
          </w:p>
        </w:tc>
        <w:tc>
          <w:tcPr>
            <w:tcW w:w="1806" w:type="dxa"/>
          </w:tcPr>
          <w:p w14:paraId="54FE5229" w14:textId="77777777" w:rsidR="00CD3B1D" w:rsidRPr="00A23998" w:rsidRDefault="00CD3B1D" w:rsidP="00183D44">
            <w:pPr>
              <w:pStyle w:val="Tabletext"/>
            </w:pPr>
            <w:r w:rsidRPr="00A23998">
              <w:t xml:space="preserve">All consumers </w:t>
            </w:r>
          </w:p>
        </w:tc>
      </w:tr>
      <w:tr w:rsidR="00CD3B1D" w:rsidRPr="00CB626B" w14:paraId="5545BF3D" w14:textId="77777777" w:rsidTr="001847D7">
        <w:tc>
          <w:tcPr>
            <w:tcW w:w="2430" w:type="dxa"/>
          </w:tcPr>
          <w:p w14:paraId="6FE19B9F" w14:textId="77777777" w:rsidR="00CD3B1D" w:rsidRPr="00A23998" w:rsidRDefault="00CD3B1D" w:rsidP="00183D44">
            <w:pPr>
              <w:pStyle w:val="Tabletext"/>
            </w:pPr>
            <w:r w:rsidRPr="00A23998">
              <w:t>Move Well Eat Well early childhood and primary school program</w:t>
            </w:r>
          </w:p>
        </w:tc>
        <w:tc>
          <w:tcPr>
            <w:tcW w:w="1966" w:type="dxa"/>
          </w:tcPr>
          <w:p w14:paraId="3D1C0BBD" w14:textId="77777777" w:rsidR="00CD3B1D" w:rsidRPr="00A23998" w:rsidRDefault="00CD3B1D" w:rsidP="00183D44">
            <w:pPr>
              <w:pStyle w:val="Tabletext"/>
            </w:pPr>
            <w:r w:rsidRPr="00A23998">
              <w:t>Tasmania</w:t>
            </w:r>
          </w:p>
        </w:tc>
        <w:tc>
          <w:tcPr>
            <w:tcW w:w="7790" w:type="dxa"/>
          </w:tcPr>
          <w:p w14:paraId="77FB1791" w14:textId="77777777" w:rsidR="00CD3B1D" w:rsidRPr="00BC587F" w:rsidRDefault="00CD3B1D" w:rsidP="00183D44">
            <w:pPr>
              <w:pStyle w:val="Tabletext"/>
            </w:pPr>
            <w:r w:rsidRPr="00BC587F">
              <w:t>Includes a ‘Think before you drink’ poster promoted through the Move Well Eat Well early childhood and primary school programs – promoting water as main drink and clarifies naturally occurring sugar in milk versus fruit juice.</w:t>
            </w:r>
          </w:p>
        </w:tc>
        <w:tc>
          <w:tcPr>
            <w:tcW w:w="1806" w:type="dxa"/>
          </w:tcPr>
          <w:p w14:paraId="587D2D75" w14:textId="066CE81B" w:rsidR="00CD3B1D" w:rsidRPr="00A23998" w:rsidRDefault="005C2393" w:rsidP="00183D44">
            <w:pPr>
              <w:pStyle w:val="Tabletext"/>
            </w:pPr>
            <w:r w:rsidRPr="00A23998">
              <w:t>Children aged 0–12 years</w:t>
            </w:r>
          </w:p>
        </w:tc>
      </w:tr>
    </w:tbl>
    <w:p w14:paraId="29DA1F49" w14:textId="77777777" w:rsidR="00CD3B1D" w:rsidRPr="00CB626B" w:rsidRDefault="00CD3B1D" w:rsidP="00314A5D">
      <w:pPr>
        <w:pStyle w:val="Heading2"/>
      </w:pPr>
      <w:bookmarkStart w:id="351" w:name="_Toc1480980"/>
      <w:bookmarkStart w:id="352" w:name="_Toc1483658"/>
      <w:bookmarkStart w:id="353" w:name="_Toc1634538"/>
      <w:bookmarkStart w:id="354" w:name="_Toc2252943"/>
      <w:bookmarkStart w:id="355" w:name="_Toc3905616"/>
      <w:bookmarkStart w:id="356" w:name="_Toc6323640"/>
      <w:r w:rsidRPr="00CB626B">
        <w:t>Social Marketing</w:t>
      </w:r>
      <w:bookmarkEnd w:id="351"/>
      <w:bookmarkEnd w:id="352"/>
      <w:bookmarkEnd w:id="353"/>
      <w:bookmarkEnd w:id="354"/>
      <w:bookmarkEnd w:id="355"/>
      <w:bookmarkEnd w:id="3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e Social Marketing table provides a summary of the recent social marketing activities that have been undertaken by jurisdictions to promote heathy eating."/>
      </w:tblPr>
      <w:tblGrid>
        <w:gridCol w:w="2429"/>
        <w:gridCol w:w="1965"/>
        <w:gridCol w:w="7792"/>
        <w:gridCol w:w="1806"/>
      </w:tblGrid>
      <w:tr w:rsidR="00CD3B1D" w:rsidRPr="00CB626B" w14:paraId="674B8ADD" w14:textId="77777777" w:rsidTr="001847D7">
        <w:trPr>
          <w:tblHeader/>
        </w:trPr>
        <w:tc>
          <w:tcPr>
            <w:tcW w:w="2429" w:type="dxa"/>
            <w:shd w:val="clear" w:color="auto" w:fill="CAD0BC" w:themeFill="accent5" w:themeFillTint="66"/>
          </w:tcPr>
          <w:p w14:paraId="2FEEEEF0" w14:textId="77777777" w:rsidR="00CD3B1D" w:rsidRPr="004F13AA" w:rsidRDefault="00CD3B1D" w:rsidP="00183D44">
            <w:pPr>
              <w:pStyle w:val="Tableheader"/>
            </w:pPr>
            <w:r w:rsidRPr="004F13AA">
              <w:t>Type of Policy/Program</w:t>
            </w:r>
          </w:p>
        </w:tc>
        <w:tc>
          <w:tcPr>
            <w:tcW w:w="1965" w:type="dxa"/>
            <w:shd w:val="clear" w:color="auto" w:fill="CAD0BC" w:themeFill="accent5" w:themeFillTint="66"/>
          </w:tcPr>
          <w:p w14:paraId="7C514899" w14:textId="77777777" w:rsidR="00CD3B1D" w:rsidRPr="004F13AA" w:rsidRDefault="00CD3B1D" w:rsidP="00183D44">
            <w:pPr>
              <w:pStyle w:val="Tableheader"/>
            </w:pPr>
            <w:r w:rsidRPr="004F13AA">
              <w:t>Jurisdiction</w:t>
            </w:r>
          </w:p>
        </w:tc>
        <w:tc>
          <w:tcPr>
            <w:tcW w:w="7792" w:type="dxa"/>
            <w:shd w:val="clear" w:color="auto" w:fill="CAD0BC" w:themeFill="accent5" w:themeFillTint="66"/>
          </w:tcPr>
          <w:p w14:paraId="555B067F" w14:textId="77777777" w:rsidR="00CD3B1D" w:rsidRPr="004F13AA" w:rsidRDefault="00CD3B1D" w:rsidP="00183D44">
            <w:pPr>
              <w:pStyle w:val="Tableheader"/>
            </w:pPr>
            <w:r w:rsidRPr="004F13AA">
              <w:t>Description summary</w:t>
            </w:r>
          </w:p>
        </w:tc>
        <w:tc>
          <w:tcPr>
            <w:tcW w:w="1806" w:type="dxa"/>
            <w:shd w:val="clear" w:color="auto" w:fill="CAD0BC" w:themeFill="accent5" w:themeFillTint="66"/>
          </w:tcPr>
          <w:p w14:paraId="20152C27" w14:textId="77777777" w:rsidR="00CD3B1D" w:rsidRPr="004F13AA" w:rsidRDefault="00CD3B1D" w:rsidP="00183D44">
            <w:pPr>
              <w:pStyle w:val="Tableheader"/>
            </w:pPr>
            <w:r w:rsidRPr="004F13AA">
              <w:t>Target audience</w:t>
            </w:r>
          </w:p>
        </w:tc>
      </w:tr>
      <w:tr w:rsidR="00CD3B1D" w:rsidRPr="00CB626B" w14:paraId="41A45DBE" w14:textId="77777777" w:rsidTr="001847D7">
        <w:tc>
          <w:tcPr>
            <w:tcW w:w="2429" w:type="dxa"/>
          </w:tcPr>
          <w:p w14:paraId="581B310D" w14:textId="77777777" w:rsidR="00CD3B1D" w:rsidRPr="00A23998" w:rsidRDefault="00CD3B1D" w:rsidP="00183D44">
            <w:pPr>
              <w:pStyle w:val="Tabletext"/>
            </w:pPr>
            <w:r w:rsidRPr="00A23998">
              <w:t>Live Lighter campaign</w:t>
            </w:r>
          </w:p>
        </w:tc>
        <w:tc>
          <w:tcPr>
            <w:tcW w:w="1965" w:type="dxa"/>
          </w:tcPr>
          <w:p w14:paraId="2635A7BA" w14:textId="77777777" w:rsidR="00CD3B1D" w:rsidRPr="00A23998" w:rsidRDefault="00CD3B1D" w:rsidP="00183D44">
            <w:pPr>
              <w:pStyle w:val="Tabletext"/>
            </w:pPr>
            <w:r w:rsidRPr="00A23998">
              <w:t xml:space="preserve">Australian State and Territory jurisdictions (WA, ACT, </w:t>
            </w:r>
            <w:proofErr w:type="gramStart"/>
            <w:r w:rsidRPr="00A23998">
              <w:t>VIC</w:t>
            </w:r>
            <w:proofErr w:type="gramEnd"/>
            <w:r w:rsidRPr="00A23998">
              <w:t xml:space="preserve"> and NT) implement this campaign (developed in WA)</w:t>
            </w:r>
          </w:p>
        </w:tc>
        <w:tc>
          <w:tcPr>
            <w:tcW w:w="7792" w:type="dxa"/>
          </w:tcPr>
          <w:p w14:paraId="7370428A" w14:textId="77777777" w:rsidR="00CD3B1D" w:rsidRPr="00BC587F" w:rsidRDefault="00CD3B1D" w:rsidP="00183D44">
            <w:pPr>
              <w:pStyle w:val="Tabletext"/>
            </w:pPr>
            <w:r w:rsidRPr="00BC587F">
              <w:t xml:space="preserve">Aims to increase knowledge about healthy eating, physical </w:t>
            </w:r>
            <w:proofErr w:type="gramStart"/>
            <w:r w:rsidRPr="00BC587F">
              <w:t>activity</w:t>
            </w:r>
            <w:proofErr w:type="gramEnd"/>
            <w:r w:rsidRPr="00BC587F">
              <w:t xml:space="preserve"> and healthy weight.</w:t>
            </w:r>
          </w:p>
          <w:p w14:paraId="34B59C46" w14:textId="39D5E264" w:rsidR="00CD3B1D" w:rsidRPr="00BC587F" w:rsidRDefault="00CD3B1D" w:rsidP="00183D44">
            <w:pPr>
              <w:pStyle w:val="Tabletext"/>
            </w:pPr>
            <w:r w:rsidRPr="00BC587F">
              <w:t xml:space="preserve">Phase two and three of the campaign delivered at the end of 2015 and throughout 2016 focused on avoiding sugary drinks. Promotion includes mass media, advertising, social media, online and printed resources, </w:t>
            </w:r>
            <w:proofErr w:type="gramStart"/>
            <w:r w:rsidRPr="00BC587F">
              <w:t>advocacy</w:t>
            </w:r>
            <w:proofErr w:type="gramEnd"/>
            <w:r w:rsidRPr="00BC587F">
              <w:t xml:space="preserve"> and retailers. Online resources </w:t>
            </w:r>
            <w:proofErr w:type="gramStart"/>
            <w:r w:rsidRPr="00BC587F">
              <w:t>includes</w:t>
            </w:r>
            <w:proofErr w:type="gramEnd"/>
            <w:r w:rsidRPr="00BC587F">
              <w:t xml:space="preserve"> sugar related education material on avoiding sugary drinks and tips to cut back on added sugar</w:t>
            </w:r>
            <w:r w:rsidR="00E25E09" w:rsidRPr="00BC587F">
              <w:t>s</w:t>
            </w:r>
            <w:r w:rsidRPr="00BC587F">
              <w:t xml:space="preserve"> in the diet.</w:t>
            </w:r>
          </w:p>
        </w:tc>
        <w:tc>
          <w:tcPr>
            <w:tcW w:w="1806" w:type="dxa"/>
          </w:tcPr>
          <w:p w14:paraId="3638F1E3" w14:textId="2933CEB9" w:rsidR="00CD3B1D" w:rsidRPr="00A23998" w:rsidRDefault="00CD3B1D" w:rsidP="00183D44">
            <w:pPr>
              <w:pStyle w:val="Tabletext"/>
            </w:pPr>
            <w:r w:rsidRPr="00A23998">
              <w:t>Adults and parents of children</w:t>
            </w:r>
            <w:r w:rsidR="00166D40" w:rsidRPr="00A23998">
              <w:t xml:space="preserve"> 0–</w:t>
            </w:r>
            <w:r w:rsidRPr="00A23998">
              <w:t>12 years</w:t>
            </w:r>
          </w:p>
        </w:tc>
      </w:tr>
      <w:tr w:rsidR="00CD3B1D" w:rsidRPr="00CB626B" w14:paraId="0C74C9BA" w14:textId="77777777" w:rsidTr="001847D7">
        <w:tc>
          <w:tcPr>
            <w:tcW w:w="2429" w:type="dxa"/>
          </w:tcPr>
          <w:p w14:paraId="59AD186A" w14:textId="77777777" w:rsidR="00CD3B1D" w:rsidRPr="00A23998" w:rsidRDefault="00CD3B1D" w:rsidP="00183D44">
            <w:pPr>
              <w:pStyle w:val="Tabletext"/>
            </w:pPr>
            <w:r w:rsidRPr="00A23998">
              <w:t>Make Healthy Normal campaign</w:t>
            </w:r>
          </w:p>
        </w:tc>
        <w:tc>
          <w:tcPr>
            <w:tcW w:w="1965" w:type="dxa"/>
          </w:tcPr>
          <w:p w14:paraId="608E84E8" w14:textId="77777777" w:rsidR="00CD3B1D" w:rsidRPr="00A23998" w:rsidRDefault="00CD3B1D" w:rsidP="00183D44">
            <w:pPr>
              <w:pStyle w:val="Tabletext"/>
            </w:pPr>
            <w:r w:rsidRPr="00A23998">
              <w:t>NSW</w:t>
            </w:r>
          </w:p>
        </w:tc>
        <w:tc>
          <w:tcPr>
            <w:tcW w:w="7792" w:type="dxa"/>
          </w:tcPr>
          <w:p w14:paraId="0FC40598" w14:textId="59632EF0" w:rsidR="00CD3B1D" w:rsidRPr="00BC587F" w:rsidRDefault="008605D6" w:rsidP="00183D44">
            <w:pPr>
              <w:pStyle w:val="Tabletext"/>
            </w:pPr>
            <w:r w:rsidRPr="00BC587F">
              <w:t>A</w:t>
            </w:r>
            <w:r w:rsidR="00CD3B1D" w:rsidRPr="00BC587F">
              <w:t>im</w:t>
            </w:r>
            <w:r w:rsidR="00BC6164" w:rsidRPr="00BC587F">
              <w:t>s</w:t>
            </w:r>
            <w:r w:rsidR="00CD3B1D" w:rsidRPr="00BC587F">
              <w:t xml:space="preserve"> to support healthy </w:t>
            </w:r>
            <w:r w:rsidR="00FE715D" w:rsidRPr="00BC587F">
              <w:t xml:space="preserve">eating and active living in </w:t>
            </w:r>
            <w:proofErr w:type="gramStart"/>
            <w:r w:rsidR="00FE715D" w:rsidRPr="00BC587F">
              <w:t xml:space="preserve">NSW, </w:t>
            </w:r>
            <w:r w:rsidR="00BC6164" w:rsidRPr="00BC587F">
              <w:t>and</w:t>
            </w:r>
            <w:proofErr w:type="gramEnd"/>
            <w:r w:rsidR="00BC6164" w:rsidRPr="00BC587F">
              <w:t xml:space="preserve"> </w:t>
            </w:r>
            <w:r w:rsidR="00CD3B1D" w:rsidRPr="00BC587F">
              <w:t>includes targeted cons</w:t>
            </w:r>
            <w:r w:rsidR="003F6492" w:rsidRPr="00BC587F">
              <w:t>umer messaging to replace sugar-</w:t>
            </w:r>
            <w:r w:rsidR="00CD3B1D" w:rsidRPr="00BC587F">
              <w:t>sweetened beverages with water as part of the key campaign message ‘Make Water Your Drink’</w:t>
            </w:r>
            <w:r w:rsidR="005F43DA" w:rsidRPr="00BC587F">
              <w:t>.</w:t>
            </w:r>
          </w:p>
        </w:tc>
        <w:tc>
          <w:tcPr>
            <w:tcW w:w="1806" w:type="dxa"/>
          </w:tcPr>
          <w:p w14:paraId="0DEB06E9" w14:textId="29A54DD4" w:rsidR="00CD3B1D" w:rsidRPr="00A23998" w:rsidRDefault="00CD3B1D" w:rsidP="00183D44">
            <w:pPr>
              <w:pStyle w:val="Tabletext"/>
            </w:pPr>
            <w:r w:rsidRPr="00A23998">
              <w:t>NSW population</w:t>
            </w:r>
          </w:p>
        </w:tc>
      </w:tr>
      <w:tr w:rsidR="00CD3B1D" w:rsidRPr="00CB626B" w14:paraId="28F69E76" w14:textId="77777777" w:rsidTr="001847D7">
        <w:tc>
          <w:tcPr>
            <w:tcW w:w="2429" w:type="dxa"/>
          </w:tcPr>
          <w:p w14:paraId="776B9712" w14:textId="17C37279" w:rsidR="00CD3B1D" w:rsidRPr="00BC587F" w:rsidRDefault="00736D76" w:rsidP="00183D44">
            <w:pPr>
              <w:pStyle w:val="Tabletext"/>
            </w:pPr>
            <w:r w:rsidRPr="00BC587F">
              <w:t>Family Food Patch – You</w:t>
            </w:r>
            <w:r w:rsidR="00CD3B1D" w:rsidRPr="00BC587F">
              <w:t>Tube clips sugar in drinks</w:t>
            </w:r>
          </w:p>
        </w:tc>
        <w:tc>
          <w:tcPr>
            <w:tcW w:w="1965" w:type="dxa"/>
          </w:tcPr>
          <w:p w14:paraId="758F77B6" w14:textId="77777777" w:rsidR="00CD3B1D" w:rsidRPr="00A23998" w:rsidRDefault="00CD3B1D" w:rsidP="00183D44">
            <w:pPr>
              <w:pStyle w:val="Tabletext"/>
            </w:pPr>
            <w:r w:rsidRPr="00A23998">
              <w:t>Tasmania</w:t>
            </w:r>
          </w:p>
        </w:tc>
        <w:tc>
          <w:tcPr>
            <w:tcW w:w="7792" w:type="dxa"/>
          </w:tcPr>
          <w:p w14:paraId="1BF069CB" w14:textId="77777777" w:rsidR="00CD3B1D" w:rsidRPr="00BC587F" w:rsidRDefault="00CD3B1D" w:rsidP="00183D44">
            <w:pPr>
              <w:pStyle w:val="Tabletext"/>
            </w:pPr>
            <w:r w:rsidRPr="00BC587F">
              <w:t>State-wide promotion through the family Food Patch peer education program. Includes you-tube educational videos designed for peer food educators and communities.</w:t>
            </w:r>
          </w:p>
        </w:tc>
        <w:tc>
          <w:tcPr>
            <w:tcW w:w="1806" w:type="dxa"/>
          </w:tcPr>
          <w:p w14:paraId="71176124" w14:textId="77777777" w:rsidR="00CD3B1D" w:rsidRPr="00A23998" w:rsidRDefault="00CD3B1D" w:rsidP="00183D44">
            <w:pPr>
              <w:pStyle w:val="Tabletext"/>
            </w:pPr>
            <w:r w:rsidRPr="00A23998">
              <w:t>All ages</w:t>
            </w:r>
          </w:p>
        </w:tc>
      </w:tr>
      <w:tr w:rsidR="00CD3B1D" w:rsidRPr="00CB626B" w14:paraId="116DBD70" w14:textId="77777777" w:rsidTr="001847D7">
        <w:tc>
          <w:tcPr>
            <w:tcW w:w="2429" w:type="dxa"/>
          </w:tcPr>
          <w:p w14:paraId="1829DC6D" w14:textId="7324EDF8" w:rsidR="00CD3B1D" w:rsidRPr="00A23998" w:rsidRDefault="00CD3B1D" w:rsidP="00183D44">
            <w:pPr>
              <w:pStyle w:val="Tabletext"/>
            </w:pPr>
            <w:r w:rsidRPr="00A23998">
              <w:t>Big Change Starts Small</w:t>
            </w:r>
          </w:p>
        </w:tc>
        <w:tc>
          <w:tcPr>
            <w:tcW w:w="1965" w:type="dxa"/>
          </w:tcPr>
          <w:p w14:paraId="18FA06FC" w14:textId="77777777" w:rsidR="00CD3B1D" w:rsidRPr="00A23998" w:rsidRDefault="00CD3B1D" w:rsidP="00183D44">
            <w:pPr>
              <w:pStyle w:val="Tabletext"/>
            </w:pPr>
            <w:r w:rsidRPr="00A23998">
              <w:t>New Zealand</w:t>
            </w:r>
          </w:p>
        </w:tc>
        <w:tc>
          <w:tcPr>
            <w:tcW w:w="7792" w:type="dxa"/>
          </w:tcPr>
          <w:p w14:paraId="4AEAACAA" w14:textId="584F0C31" w:rsidR="00CD3B1D" w:rsidRPr="00BC587F" w:rsidRDefault="00CD3B1D" w:rsidP="00183D44">
            <w:pPr>
              <w:pStyle w:val="Tabletext"/>
            </w:pPr>
            <w:r w:rsidRPr="00BC587F">
              <w:t>National social marketing campaign run by New Zealand Health</w:t>
            </w:r>
            <w:r w:rsidR="00736D76" w:rsidRPr="00BC587F">
              <w:t xml:space="preserve"> Promotion Agency Nov-Dec 2015</w:t>
            </w:r>
            <w:r w:rsidRPr="00BC587F">
              <w:t xml:space="preserve"> and June-July 2017.</w:t>
            </w:r>
          </w:p>
        </w:tc>
        <w:tc>
          <w:tcPr>
            <w:tcW w:w="1806" w:type="dxa"/>
          </w:tcPr>
          <w:p w14:paraId="27EEDBA9" w14:textId="77777777" w:rsidR="00CD3B1D" w:rsidRPr="00A23998" w:rsidRDefault="00CD3B1D" w:rsidP="00183D44">
            <w:pPr>
              <w:pStyle w:val="Tabletext"/>
            </w:pPr>
            <w:r w:rsidRPr="00A23998">
              <w:t>All ages</w:t>
            </w:r>
          </w:p>
        </w:tc>
      </w:tr>
      <w:tr w:rsidR="00CD3B1D" w:rsidRPr="00CB626B" w14:paraId="4728038B" w14:textId="77777777" w:rsidTr="001847D7">
        <w:tc>
          <w:tcPr>
            <w:tcW w:w="2429" w:type="dxa"/>
          </w:tcPr>
          <w:p w14:paraId="3A091966" w14:textId="77777777" w:rsidR="00CD3B1D" w:rsidRPr="00A23998" w:rsidRDefault="00CD3B1D" w:rsidP="00183D44">
            <w:pPr>
              <w:pStyle w:val="Tabletext"/>
            </w:pPr>
            <w:r w:rsidRPr="00A23998">
              <w:t>Healthier Happier Campaign</w:t>
            </w:r>
          </w:p>
        </w:tc>
        <w:tc>
          <w:tcPr>
            <w:tcW w:w="1965" w:type="dxa"/>
          </w:tcPr>
          <w:p w14:paraId="0A20423D" w14:textId="77777777" w:rsidR="00CD3B1D" w:rsidRPr="00A23998" w:rsidRDefault="00CD3B1D" w:rsidP="00183D44">
            <w:pPr>
              <w:pStyle w:val="Tabletext"/>
            </w:pPr>
            <w:r w:rsidRPr="00A23998">
              <w:t>Queensland</w:t>
            </w:r>
          </w:p>
        </w:tc>
        <w:tc>
          <w:tcPr>
            <w:tcW w:w="7792" w:type="dxa"/>
          </w:tcPr>
          <w:p w14:paraId="1299CC05" w14:textId="601B83A9" w:rsidR="00CD3B1D" w:rsidRPr="00BC587F" w:rsidRDefault="00CD3B1D" w:rsidP="00183D44">
            <w:pPr>
              <w:pStyle w:val="Tabletext"/>
            </w:pPr>
            <w:r w:rsidRPr="00BC587F">
              <w:t>Social marketing campaign including a website, TV</w:t>
            </w:r>
            <w:r w:rsidR="00BC6164" w:rsidRPr="00BC587F">
              <w:t xml:space="preserve"> commercials</w:t>
            </w:r>
            <w:r w:rsidRPr="00BC587F">
              <w:t>, social media. Key messages of campaign include:</w:t>
            </w:r>
          </w:p>
          <w:p w14:paraId="31349596" w14:textId="69DFCFA1" w:rsidR="00CD3B1D" w:rsidRPr="00C026F1" w:rsidRDefault="00CD3B1D" w:rsidP="00C026F1">
            <w:pPr>
              <w:pStyle w:val="ListParagraph"/>
              <w:numPr>
                <w:ilvl w:val="0"/>
                <w:numId w:val="15"/>
              </w:numPr>
            </w:pPr>
            <w:r w:rsidRPr="00C026F1">
              <w:t xml:space="preserve">Add fruit and veg to your </w:t>
            </w:r>
            <w:proofErr w:type="gramStart"/>
            <w:r w:rsidRPr="00C026F1">
              <w:t>meal</w:t>
            </w:r>
            <w:r w:rsidR="00D76C49" w:rsidRPr="00C026F1">
              <w:t>;</w:t>
            </w:r>
            <w:proofErr w:type="gramEnd"/>
          </w:p>
          <w:p w14:paraId="495B770E" w14:textId="77777777" w:rsidR="00CD3B1D" w:rsidRPr="00C026F1" w:rsidRDefault="00CD3B1D" w:rsidP="00C026F1">
            <w:pPr>
              <w:pStyle w:val="ListParagraph"/>
              <w:numPr>
                <w:ilvl w:val="0"/>
                <w:numId w:val="15"/>
              </w:numPr>
            </w:pPr>
            <w:r w:rsidRPr="00C026F1">
              <w:t xml:space="preserve">Have smaller portion </w:t>
            </w:r>
            <w:proofErr w:type="gramStart"/>
            <w:r w:rsidRPr="00C026F1">
              <w:t>sizes;</w:t>
            </w:r>
            <w:proofErr w:type="gramEnd"/>
          </w:p>
          <w:p w14:paraId="1001F11A" w14:textId="200FE47B" w:rsidR="00CD3B1D" w:rsidRPr="004F13AA" w:rsidRDefault="00CD3B1D" w:rsidP="00183D44">
            <w:pPr>
              <w:pStyle w:val="Tabletext"/>
            </w:pPr>
            <w:r w:rsidRPr="003F6492">
              <w:t>Cut back on sugary drinks; and</w:t>
            </w:r>
          </w:p>
          <w:p w14:paraId="358B22ED" w14:textId="17F33FB5" w:rsidR="00CD3B1D" w:rsidRPr="00C026F1" w:rsidRDefault="00CD3B1D" w:rsidP="00C026F1">
            <w:pPr>
              <w:pStyle w:val="ListParagraph"/>
              <w:numPr>
                <w:ilvl w:val="0"/>
                <w:numId w:val="15"/>
              </w:numPr>
            </w:pPr>
            <w:r w:rsidRPr="00C026F1">
              <w:t>Choose healthier when eating out</w:t>
            </w:r>
            <w:r w:rsidR="00D76C49" w:rsidRPr="00C026F1">
              <w:t>.</w:t>
            </w:r>
          </w:p>
        </w:tc>
        <w:tc>
          <w:tcPr>
            <w:tcW w:w="1806" w:type="dxa"/>
          </w:tcPr>
          <w:p w14:paraId="35C7A595" w14:textId="77777777" w:rsidR="00CD3B1D" w:rsidRPr="00A23998" w:rsidRDefault="00CD3B1D" w:rsidP="00183D44">
            <w:pPr>
              <w:pStyle w:val="Tabletext"/>
            </w:pPr>
            <w:r w:rsidRPr="00A23998">
              <w:t>All ages</w:t>
            </w:r>
          </w:p>
        </w:tc>
      </w:tr>
    </w:tbl>
    <w:p w14:paraId="1D8E919D" w14:textId="5E6207A9" w:rsidR="00CD3B1D" w:rsidRPr="00CB626B" w:rsidRDefault="00CD3B1D" w:rsidP="00314A5D">
      <w:pPr>
        <w:pStyle w:val="Heading2"/>
      </w:pPr>
      <w:bookmarkStart w:id="357" w:name="_Toc1480981"/>
      <w:bookmarkStart w:id="358" w:name="_Toc1483659"/>
      <w:bookmarkStart w:id="359" w:name="_Toc1634539"/>
      <w:bookmarkStart w:id="360" w:name="_Toc2252944"/>
      <w:bookmarkStart w:id="361" w:name="_Toc3905617"/>
      <w:bookmarkStart w:id="362" w:name="_Toc6323641"/>
      <w:r w:rsidRPr="00CB626B">
        <w:t xml:space="preserve">Settings based food and drink </w:t>
      </w:r>
      <w:proofErr w:type="gramStart"/>
      <w:r w:rsidRPr="00CB626B">
        <w:t>policies</w:t>
      </w:r>
      <w:bookmarkEnd w:id="357"/>
      <w:bookmarkEnd w:id="358"/>
      <w:bookmarkEnd w:id="359"/>
      <w:bookmarkEnd w:id="360"/>
      <w:bookmarkEnd w:id="361"/>
      <w:bookmarkEnd w:id="362"/>
      <w:proofErr w:type="gramEnd"/>
    </w:p>
    <w:tbl>
      <w:tblPr>
        <w:tblW w:w="0" w:type="auto"/>
        <w:tblLook w:val="04A0" w:firstRow="1" w:lastRow="0" w:firstColumn="1" w:lastColumn="0" w:noHBand="0" w:noVBand="1"/>
        <w:tblDescription w:val="The Settings based food and drink policies table provides a summary of the current policies in place in all Australian and New Zealand jurisdictions."/>
      </w:tblPr>
      <w:tblGrid>
        <w:gridCol w:w="2426"/>
        <w:gridCol w:w="1762"/>
        <w:gridCol w:w="8140"/>
        <w:gridCol w:w="1664"/>
      </w:tblGrid>
      <w:tr w:rsidR="00CD3B1D" w:rsidRPr="00CB626B" w14:paraId="771AB1F9" w14:textId="77777777" w:rsidTr="001847D7">
        <w:trPr>
          <w:tblHeader/>
        </w:trPr>
        <w:tc>
          <w:tcPr>
            <w:tcW w:w="2426" w:type="dxa"/>
            <w:tcBorders>
              <w:top w:val="single" w:sz="4" w:space="0" w:color="auto"/>
              <w:left w:val="single" w:sz="4" w:space="0" w:color="auto"/>
              <w:bottom w:val="single" w:sz="4" w:space="0" w:color="auto"/>
              <w:right w:val="single" w:sz="4" w:space="0" w:color="auto"/>
            </w:tcBorders>
            <w:shd w:val="clear" w:color="auto" w:fill="CAD0BC" w:themeFill="accent5" w:themeFillTint="66"/>
          </w:tcPr>
          <w:p w14:paraId="0174EC3C" w14:textId="77777777" w:rsidR="00CD3B1D" w:rsidRPr="004F13AA" w:rsidRDefault="00CD3B1D" w:rsidP="00183D44">
            <w:pPr>
              <w:pStyle w:val="Tableheader"/>
            </w:pPr>
            <w:r w:rsidRPr="004F13AA">
              <w:t>Type of Policy/Program</w:t>
            </w:r>
          </w:p>
        </w:tc>
        <w:tc>
          <w:tcPr>
            <w:tcW w:w="1762" w:type="dxa"/>
            <w:tcBorders>
              <w:top w:val="single" w:sz="4" w:space="0" w:color="auto"/>
              <w:left w:val="single" w:sz="4" w:space="0" w:color="auto"/>
              <w:bottom w:val="single" w:sz="4" w:space="0" w:color="auto"/>
              <w:right w:val="single" w:sz="4" w:space="0" w:color="auto"/>
            </w:tcBorders>
            <w:shd w:val="clear" w:color="auto" w:fill="CAD0BC" w:themeFill="accent5" w:themeFillTint="66"/>
          </w:tcPr>
          <w:p w14:paraId="7D97761C" w14:textId="77777777" w:rsidR="00CD3B1D" w:rsidRPr="004F13AA" w:rsidRDefault="00CD3B1D" w:rsidP="00183D44">
            <w:pPr>
              <w:pStyle w:val="Tableheader"/>
            </w:pPr>
            <w:r w:rsidRPr="004F13AA">
              <w:t>Jurisdiction</w:t>
            </w:r>
          </w:p>
        </w:tc>
        <w:tc>
          <w:tcPr>
            <w:tcW w:w="8140" w:type="dxa"/>
            <w:tcBorders>
              <w:top w:val="single" w:sz="4" w:space="0" w:color="auto"/>
              <w:left w:val="single" w:sz="4" w:space="0" w:color="auto"/>
              <w:bottom w:val="single" w:sz="4" w:space="0" w:color="auto"/>
              <w:right w:val="single" w:sz="4" w:space="0" w:color="auto"/>
            </w:tcBorders>
            <w:shd w:val="clear" w:color="auto" w:fill="CAD0BC" w:themeFill="accent5" w:themeFillTint="66"/>
          </w:tcPr>
          <w:p w14:paraId="369B18D8" w14:textId="77777777" w:rsidR="00CD3B1D" w:rsidRPr="004F13AA" w:rsidRDefault="00CD3B1D" w:rsidP="00183D44">
            <w:pPr>
              <w:pStyle w:val="Tableheader"/>
            </w:pPr>
            <w:r w:rsidRPr="004F13AA">
              <w:t>Description summary</w:t>
            </w:r>
          </w:p>
        </w:tc>
        <w:tc>
          <w:tcPr>
            <w:tcW w:w="1664" w:type="dxa"/>
            <w:tcBorders>
              <w:top w:val="single" w:sz="4" w:space="0" w:color="auto"/>
              <w:left w:val="single" w:sz="4" w:space="0" w:color="auto"/>
              <w:bottom w:val="single" w:sz="4" w:space="0" w:color="auto"/>
              <w:right w:val="single" w:sz="4" w:space="0" w:color="auto"/>
            </w:tcBorders>
            <w:shd w:val="clear" w:color="auto" w:fill="CAD0BC" w:themeFill="accent5" w:themeFillTint="66"/>
          </w:tcPr>
          <w:p w14:paraId="7714E178" w14:textId="77777777" w:rsidR="00CD3B1D" w:rsidRPr="004F13AA" w:rsidRDefault="00CD3B1D" w:rsidP="00183D44">
            <w:pPr>
              <w:pStyle w:val="Tableheader"/>
            </w:pPr>
            <w:r w:rsidRPr="004F13AA">
              <w:t>Target audience</w:t>
            </w:r>
          </w:p>
        </w:tc>
      </w:tr>
      <w:tr w:rsidR="00CD3B1D" w:rsidRPr="00CB626B" w14:paraId="7413E8CE" w14:textId="77777777" w:rsidTr="001847D7">
        <w:tc>
          <w:tcPr>
            <w:tcW w:w="2426" w:type="dxa"/>
            <w:tcBorders>
              <w:top w:val="single" w:sz="4" w:space="0" w:color="auto"/>
              <w:left w:val="single" w:sz="4" w:space="0" w:color="auto"/>
              <w:bottom w:val="single" w:sz="4" w:space="0" w:color="auto"/>
              <w:right w:val="single" w:sz="4" w:space="0" w:color="auto"/>
            </w:tcBorders>
          </w:tcPr>
          <w:p w14:paraId="562AA78D" w14:textId="7140FCE5" w:rsidR="00CD3B1D" w:rsidRPr="00A23998" w:rsidRDefault="00CD3B1D" w:rsidP="00AA37B6">
            <w:pPr>
              <w:pStyle w:val="Tabletext"/>
            </w:pPr>
            <w:r w:rsidRPr="00A23998">
              <w:t xml:space="preserve">Healthy food and drink policies in Government </w:t>
            </w:r>
            <w:proofErr w:type="gramStart"/>
            <w:r w:rsidRPr="00A23998">
              <w:t>work places</w:t>
            </w:r>
            <w:proofErr w:type="gramEnd"/>
            <w:r w:rsidRPr="00A23998">
              <w:t xml:space="preserve"> and public facilities</w:t>
            </w:r>
          </w:p>
        </w:tc>
        <w:tc>
          <w:tcPr>
            <w:tcW w:w="1762" w:type="dxa"/>
            <w:tcBorders>
              <w:top w:val="single" w:sz="4" w:space="0" w:color="auto"/>
              <w:left w:val="single" w:sz="4" w:space="0" w:color="auto"/>
              <w:bottom w:val="single" w:sz="4" w:space="0" w:color="auto"/>
              <w:right w:val="single" w:sz="4" w:space="0" w:color="auto"/>
            </w:tcBorders>
          </w:tcPr>
          <w:p w14:paraId="3E189501" w14:textId="3A6A483F" w:rsidR="00CD3B1D" w:rsidRPr="00A23998" w:rsidRDefault="00CD3B1D" w:rsidP="00183D44">
            <w:pPr>
              <w:pStyle w:val="Tabletext"/>
            </w:pPr>
            <w:r w:rsidRPr="00A23998">
              <w:t>All Australian States and Territories</w:t>
            </w:r>
            <w:r w:rsidR="006D43E4" w:rsidRPr="00A23998">
              <w:t xml:space="preserve"> (</w:t>
            </w:r>
            <w:proofErr w:type="gramStart"/>
            <w:r w:rsidR="006D43E4" w:rsidRPr="00A23998">
              <w:t>with the exception of</w:t>
            </w:r>
            <w:proofErr w:type="gramEnd"/>
            <w:r w:rsidR="006D43E4" w:rsidRPr="00A23998">
              <w:t xml:space="preserve"> Tasmania)</w:t>
            </w:r>
            <w:r w:rsidRPr="00A23998">
              <w:t>, and New Zealand</w:t>
            </w:r>
            <w:r w:rsidR="00BB0993" w:rsidRPr="00A23998">
              <w:t xml:space="preserve"> </w:t>
            </w:r>
          </w:p>
        </w:tc>
        <w:tc>
          <w:tcPr>
            <w:tcW w:w="8140" w:type="dxa"/>
            <w:tcBorders>
              <w:top w:val="single" w:sz="4" w:space="0" w:color="auto"/>
              <w:left w:val="single" w:sz="4" w:space="0" w:color="auto"/>
              <w:bottom w:val="single" w:sz="4" w:space="0" w:color="auto"/>
              <w:right w:val="single" w:sz="4" w:space="0" w:color="auto"/>
            </w:tcBorders>
          </w:tcPr>
          <w:p w14:paraId="50191C8E" w14:textId="0D0FC02E" w:rsidR="00CD3B1D" w:rsidRPr="00BC587F" w:rsidRDefault="00CD3B1D" w:rsidP="00183D44">
            <w:pPr>
              <w:pStyle w:val="Tabletext"/>
            </w:pPr>
            <w:r w:rsidRPr="00BC587F">
              <w:t xml:space="preserve">Mandatory and voluntary policies for food service facilities, including cafeterias, kiosks, and vending machines in government run facilities including public schools, public health sites such as hospitals, health centres, recreation centres, public </w:t>
            </w:r>
            <w:proofErr w:type="gramStart"/>
            <w:r w:rsidRPr="00BC587F">
              <w:t>events</w:t>
            </w:r>
            <w:proofErr w:type="gramEnd"/>
            <w:r w:rsidRPr="00BC587F">
              <w:t xml:space="preserve"> and sports facilities. Policies include limiting/restricting the availability of unhealthy foods and drinks (including those high in added/total sugar) and increasing the availability of healthy food. Implementation is varied according to local heal</w:t>
            </w:r>
            <w:r w:rsidR="00166D40" w:rsidRPr="00BC587F">
              <w:t>th districts and jurisdictions.</w:t>
            </w:r>
          </w:p>
          <w:p w14:paraId="6E696194" w14:textId="77777777" w:rsidR="00CD3B1D" w:rsidRPr="00A23998" w:rsidRDefault="00CD3B1D" w:rsidP="00183D44">
            <w:pPr>
              <w:pStyle w:val="Tabletext"/>
            </w:pPr>
            <w:r w:rsidRPr="00A23998">
              <w:t>Some jurisdictions include additional guidelines for:</w:t>
            </w:r>
          </w:p>
          <w:p w14:paraId="5BD15D7B" w14:textId="543DE96A" w:rsidR="00CD3B1D" w:rsidRPr="00CB626B" w:rsidRDefault="00CD3B1D" w:rsidP="00183D44">
            <w:pPr>
              <w:pStyle w:val="Tabletext"/>
            </w:pPr>
            <w:r w:rsidRPr="00CB626B">
              <w:t xml:space="preserve">fundraising, advertising and </w:t>
            </w:r>
            <w:proofErr w:type="gramStart"/>
            <w:r w:rsidRPr="00CB626B">
              <w:t>sponsorship</w:t>
            </w:r>
            <w:r w:rsidR="00D76C49">
              <w:t>;</w:t>
            </w:r>
            <w:proofErr w:type="gramEnd"/>
          </w:p>
          <w:p w14:paraId="09FC151F" w14:textId="44476922" w:rsidR="00CD3B1D" w:rsidRPr="00CB626B" w:rsidRDefault="00CD3B1D" w:rsidP="00183D44">
            <w:pPr>
              <w:pStyle w:val="Tabletext"/>
            </w:pPr>
            <w:r w:rsidRPr="00CB626B">
              <w:t>workplace health education programs</w:t>
            </w:r>
            <w:r w:rsidR="00D76C49">
              <w:t>; and</w:t>
            </w:r>
          </w:p>
          <w:p w14:paraId="26C30D25" w14:textId="722B7D3E" w:rsidR="00CD3B1D" w:rsidRPr="00CB626B" w:rsidRDefault="00CD3B1D" w:rsidP="00183D44">
            <w:pPr>
              <w:pStyle w:val="Tabletext"/>
            </w:pPr>
            <w:r w:rsidRPr="00CB626B">
              <w:t>Guidelines for retail food outlets (</w:t>
            </w:r>
            <w:proofErr w:type="gramStart"/>
            <w:r w:rsidRPr="00CB626B">
              <w:t>e.g.</w:t>
            </w:r>
            <w:proofErr w:type="gramEnd"/>
            <w:r w:rsidRPr="00CB626B">
              <w:t xml:space="preserve"> ca</w:t>
            </w:r>
            <w:r w:rsidR="00407430">
              <w:t xml:space="preserve">feterias, cafes, coffee shops – </w:t>
            </w:r>
            <w:r w:rsidRPr="00CB626B">
              <w:t>imple</w:t>
            </w:r>
            <w:r w:rsidR="00166D40">
              <w:t>mented by WA, Victoria and SA).</w:t>
            </w:r>
          </w:p>
        </w:tc>
        <w:tc>
          <w:tcPr>
            <w:tcW w:w="1664" w:type="dxa"/>
            <w:tcBorders>
              <w:top w:val="single" w:sz="4" w:space="0" w:color="auto"/>
              <w:left w:val="single" w:sz="4" w:space="0" w:color="auto"/>
              <w:bottom w:val="single" w:sz="4" w:space="0" w:color="auto"/>
              <w:right w:val="single" w:sz="4" w:space="0" w:color="auto"/>
            </w:tcBorders>
          </w:tcPr>
          <w:p w14:paraId="4D8B4CF3" w14:textId="42210782" w:rsidR="00CD3B1D" w:rsidRPr="00A23998" w:rsidRDefault="00CD3B1D" w:rsidP="00183D44">
            <w:pPr>
              <w:pStyle w:val="Tabletext"/>
            </w:pPr>
            <w:r w:rsidRPr="00A23998">
              <w:t>Staff working at these facilities and visitors</w:t>
            </w:r>
          </w:p>
        </w:tc>
      </w:tr>
      <w:tr w:rsidR="00CD3B1D" w:rsidRPr="00CB626B" w14:paraId="7D8127D9" w14:textId="77777777" w:rsidTr="001847D7">
        <w:tc>
          <w:tcPr>
            <w:tcW w:w="2426" w:type="dxa"/>
            <w:tcBorders>
              <w:top w:val="single" w:sz="4" w:space="0" w:color="auto"/>
              <w:left w:val="single" w:sz="4" w:space="0" w:color="auto"/>
              <w:bottom w:val="single" w:sz="4" w:space="0" w:color="auto"/>
              <w:right w:val="single" w:sz="4" w:space="0" w:color="auto"/>
            </w:tcBorders>
          </w:tcPr>
          <w:p w14:paraId="6A2FA5E5" w14:textId="0EE2DAC2" w:rsidR="00CD3B1D" w:rsidRPr="00A23998" w:rsidRDefault="00CD3B1D" w:rsidP="00183D44">
            <w:pPr>
              <w:pStyle w:val="Tabletext"/>
            </w:pPr>
            <w:r w:rsidRPr="00A23998">
              <w:t>Healthy eating guidelines for government schools</w:t>
            </w:r>
          </w:p>
        </w:tc>
        <w:tc>
          <w:tcPr>
            <w:tcW w:w="1762" w:type="dxa"/>
            <w:tcBorders>
              <w:top w:val="single" w:sz="4" w:space="0" w:color="auto"/>
              <w:left w:val="single" w:sz="4" w:space="0" w:color="auto"/>
              <w:bottom w:val="single" w:sz="4" w:space="0" w:color="auto"/>
              <w:right w:val="single" w:sz="4" w:space="0" w:color="auto"/>
            </w:tcBorders>
          </w:tcPr>
          <w:p w14:paraId="521B0BD4" w14:textId="7637FF3C" w:rsidR="00CD3B1D" w:rsidRPr="00A23998" w:rsidRDefault="00CD3B1D" w:rsidP="00183D44">
            <w:pPr>
              <w:pStyle w:val="Tabletext"/>
            </w:pPr>
            <w:r w:rsidRPr="00A23998">
              <w:t>Australian Government,</w:t>
            </w:r>
            <w:r w:rsidR="00166D40" w:rsidRPr="00A23998">
              <w:t xml:space="preserve"> </w:t>
            </w:r>
            <w:r w:rsidRPr="00A23998">
              <w:t>Au</w:t>
            </w:r>
            <w:r w:rsidR="00035F3D" w:rsidRPr="00A23998">
              <w:t>stralian States and Territories</w:t>
            </w:r>
          </w:p>
        </w:tc>
        <w:tc>
          <w:tcPr>
            <w:tcW w:w="8140" w:type="dxa"/>
            <w:tcBorders>
              <w:top w:val="single" w:sz="4" w:space="0" w:color="auto"/>
              <w:left w:val="single" w:sz="4" w:space="0" w:color="auto"/>
              <w:bottom w:val="single" w:sz="4" w:space="0" w:color="auto"/>
              <w:right w:val="single" w:sz="4" w:space="0" w:color="auto"/>
            </w:tcBorders>
          </w:tcPr>
          <w:p w14:paraId="72A1B2C2" w14:textId="23D41DB6" w:rsidR="00CD3B1D" w:rsidRPr="00BC587F" w:rsidRDefault="00CD3B1D" w:rsidP="00183D44">
            <w:pPr>
              <w:pStyle w:val="Tabletext"/>
            </w:pPr>
            <w:r w:rsidRPr="00BC587F">
              <w:t xml:space="preserve">Canteen guidelines in school settings, based on a traffic light food categorisation system (green, amber, red) which ranks foods according to their nutritional value. Foods and drinks high in sugar are categorised as RED and are banned </w:t>
            </w:r>
            <w:r w:rsidR="00BB0993" w:rsidRPr="00BC587F">
              <w:t xml:space="preserve">(or discouraged in Tasmania) </w:t>
            </w:r>
            <w:r w:rsidRPr="00BC587F">
              <w:t>from sale in school canteens, vending machines and preschools. These are generally supported by the Catholic and independent school sectors. NSW has recently released a new Policy Framework categorising foods as according to the Australian Dietary Guidelines concepts of Core</w:t>
            </w:r>
            <w:r w:rsidR="00B930A7" w:rsidRPr="00BC587F">
              <w:t xml:space="preserve"> </w:t>
            </w:r>
            <w:r w:rsidRPr="00BC587F">
              <w:t>(Everyday)</w:t>
            </w:r>
            <w:r w:rsidR="00B930A7" w:rsidRPr="00BC587F">
              <w:t xml:space="preserve"> </w:t>
            </w:r>
            <w:r w:rsidRPr="00BC587F">
              <w:t>/</w:t>
            </w:r>
            <w:r w:rsidR="00B930A7" w:rsidRPr="00BC587F">
              <w:t xml:space="preserve"> </w:t>
            </w:r>
            <w:r w:rsidRPr="00BC587F">
              <w:t xml:space="preserve">Discretionary (Occasional), supported </w:t>
            </w:r>
            <w:proofErr w:type="gramStart"/>
            <w:r w:rsidRPr="00BC587F">
              <w:t>by the use of</w:t>
            </w:r>
            <w:proofErr w:type="gramEnd"/>
            <w:r w:rsidRPr="00BC587F">
              <w:t xml:space="preserve"> HSR to select healthier versions of some foods. In the NSW policy, sugary drinks should not be sold. </w:t>
            </w:r>
            <w:r w:rsidR="00BB0993" w:rsidRPr="00BC587F">
              <w:t>The</w:t>
            </w:r>
            <w:r w:rsidR="00E3639C" w:rsidRPr="00BC587F">
              <w:t xml:space="preserve"> current</w:t>
            </w:r>
            <w:r w:rsidR="00BB0993" w:rsidRPr="00BC587F">
              <w:t xml:space="preserve"> Healthy Tasmanian </w:t>
            </w:r>
            <w:proofErr w:type="gramStart"/>
            <w:r w:rsidR="00BB0993" w:rsidRPr="00BC587F">
              <w:t>Five Year</w:t>
            </w:r>
            <w:proofErr w:type="gramEnd"/>
            <w:r w:rsidR="00BB0993" w:rsidRPr="00BC587F">
              <w:t xml:space="preserve"> Strategic Plan</w:t>
            </w:r>
            <w:r w:rsidR="00E3639C" w:rsidRPr="00BC587F">
              <w:t xml:space="preserve"> expects all Government schools to commence a process to achieve canteen accreditation by 2020.</w:t>
            </w:r>
          </w:p>
          <w:p w14:paraId="64669464" w14:textId="27548C1C" w:rsidR="00CD3B1D" w:rsidRPr="00BC587F" w:rsidRDefault="00CD3B1D" w:rsidP="00183D44">
            <w:pPr>
              <w:pStyle w:val="Tabletext"/>
            </w:pPr>
            <w:proofErr w:type="gramStart"/>
            <w:r w:rsidRPr="00BC587F">
              <w:t>A number of</w:t>
            </w:r>
            <w:proofErr w:type="gramEnd"/>
            <w:r w:rsidRPr="00BC587F">
              <w:t xml:space="preserve"> jurisdictions include additional policy guidelines for food </w:t>
            </w:r>
            <w:r w:rsidR="00BB0993" w:rsidRPr="00BC587F">
              <w:t xml:space="preserve">provided in school settings for </w:t>
            </w:r>
            <w:r w:rsidRPr="00BC587F">
              <w:t>curriculum activities, sporting events, camps, excursions, homework centres, out of school hours care, student rewards or behaviour management programs.</w:t>
            </w:r>
          </w:p>
        </w:tc>
        <w:tc>
          <w:tcPr>
            <w:tcW w:w="1664" w:type="dxa"/>
            <w:tcBorders>
              <w:top w:val="single" w:sz="4" w:space="0" w:color="auto"/>
              <w:left w:val="single" w:sz="4" w:space="0" w:color="auto"/>
              <w:bottom w:val="single" w:sz="4" w:space="0" w:color="auto"/>
              <w:right w:val="single" w:sz="4" w:space="0" w:color="auto"/>
            </w:tcBorders>
          </w:tcPr>
          <w:p w14:paraId="153A6D56" w14:textId="09D79B91" w:rsidR="00CD3B1D" w:rsidRPr="00A23998" w:rsidRDefault="00CD3B1D" w:rsidP="00183D44">
            <w:pPr>
              <w:pStyle w:val="Tabletext"/>
            </w:pPr>
            <w:r w:rsidRPr="00A23998">
              <w:t>School children</w:t>
            </w:r>
          </w:p>
        </w:tc>
      </w:tr>
      <w:tr w:rsidR="00CD3B1D" w:rsidRPr="00CB626B" w14:paraId="656B215F" w14:textId="77777777" w:rsidTr="001847D7">
        <w:tc>
          <w:tcPr>
            <w:tcW w:w="2426" w:type="dxa"/>
            <w:tcBorders>
              <w:top w:val="single" w:sz="4" w:space="0" w:color="auto"/>
              <w:left w:val="single" w:sz="4" w:space="0" w:color="auto"/>
              <w:bottom w:val="single" w:sz="4" w:space="0" w:color="auto"/>
              <w:right w:val="single" w:sz="4" w:space="0" w:color="auto"/>
            </w:tcBorders>
          </w:tcPr>
          <w:p w14:paraId="5EE2A518" w14:textId="493A857D" w:rsidR="00CD3B1D" w:rsidRPr="00A23998" w:rsidRDefault="00CD3B1D" w:rsidP="00183D44">
            <w:pPr>
              <w:pStyle w:val="Tabletext"/>
            </w:pPr>
            <w:r w:rsidRPr="00A23998">
              <w:t>Healthy Food Provision in early childhoo</w:t>
            </w:r>
            <w:r w:rsidR="00166D40" w:rsidRPr="00A23998">
              <w:t>d settings</w:t>
            </w:r>
          </w:p>
        </w:tc>
        <w:tc>
          <w:tcPr>
            <w:tcW w:w="1762" w:type="dxa"/>
            <w:tcBorders>
              <w:top w:val="single" w:sz="4" w:space="0" w:color="auto"/>
              <w:left w:val="single" w:sz="4" w:space="0" w:color="auto"/>
              <w:bottom w:val="single" w:sz="4" w:space="0" w:color="auto"/>
              <w:right w:val="single" w:sz="4" w:space="0" w:color="auto"/>
            </w:tcBorders>
          </w:tcPr>
          <w:p w14:paraId="37E46DE6" w14:textId="77777777" w:rsidR="00CD3B1D" w:rsidRPr="00BC587F" w:rsidRDefault="00CD3B1D" w:rsidP="00183D44">
            <w:pPr>
              <w:pStyle w:val="Tabletext"/>
            </w:pPr>
            <w:r w:rsidRPr="00BC587F">
              <w:t>Australian Government, States and Territories</w:t>
            </w:r>
          </w:p>
        </w:tc>
        <w:tc>
          <w:tcPr>
            <w:tcW w:w="8140" w:type="dxa"/>
            <w:tcBorders>
              <w:top w:val="single" w:sz="4" w:space="0" w:color="auto"/>
              <w:left w:val="single" w:sz="4" w:space="0" w:color="auto"/>
              <w:bottom w:val="single" w:sz="4" w:space="0" w:color="auto"/>
              <w:right w:val="single" w:sz="4" w:space="0" w:color="auto"/>
            </w:tcBorders>
          </w:tcPr>
          <w:p w14:paraId="5158E4C6" w14:textId="77777777" w:rsidR="00CD3B1D" w:rsidRPr="00A23998" w:rsidRDefault="00CD3B1D" w:rsidP="00183D44">
            <w:pPr>
              <w:pStyle w:val="Tabletext"/>
            </w:pPr>
            <w:r w:rsidRPr="00A23998">
              <w:t>Guidance on healthy eating (and physical activity) specific for early childhood (0-5 years) care settings, based on recommendations in the Australian Dietary Guidelines – including limiting the amount of added sugar.</w:t>
            </w:r>
          </w:p>
        </w:tc>
        <w:tc>
          <w:tcPr>
            <w:tcW w:w="1664" w:type="dxa"/>
            <w:tcBorders>
              <w:top w:val="single" w:sz="4" w:space="0" w:color="auto"/>
              <w:left w:val="single" w:sz="4" w:space="0" w:color="auto"/>
              <w:bottom w:val="single" w:sz="4" w:space="0" w:color="auto"/>
              <w:right w:val="single" w:sz="4" w:space="0" w:color="auto"/>
            </w:tcBorders>
          </w:tcPr>
          <w:p w14:paraId="5A4D6010" w14:textId="5DA85FE6" w:rsidR="00CD3B1D" w:rsidRPr="00A23998" w:rsidRDefault="00CD3B1D" w:rsidP="00183D44">
            <w:pPr>
              <w:pStyle w:val="Tabletext"/>
            </w:pPr>
            <w:r w:rsidRPr="00A23998">
              <w:t>All ch</w:t>
            </w:r>
            <w:r w:rsidR="00407430" w:rsidRPr="00A23998">
              <w:t>ildren in organised care aged 0–</w:t>
            </w:r>
            <w:r w:rsidRPr="00A23998">
              <w:t>5 years</w:t>
            </w:r>
          </w:p>
        </w:tc>
      </w:tr>
      <w:tr w:rsidR="00CD3B1D" w:rsidRPr="00CB626B" w14:paraId="5878E975" w14:textId="77777777" w:rsidTr="001847D7">
        <w:tc>
          <w:tcPr>
            <w:tcW w:w="2426" w:type="dxa"/>
            <w:tcBorders>
              <w:top w:val="single" w:sz="4" w:space="0" w:color="auto"/>
              <w:left w:val="single" w:sz="4" w:space="0" w:color="auto"/>
              <w:bottom w:val="single" w:sz="4" w:space="0" w:color="auto"/>
              <w:right w:val="single" w:sz="4" w:space="0" w:color="auto"/>
            </w:tcBorders>
          </w:tcPr>
          <w:p w14:paraId="59EC385D" w14:textId="34784F66" w:rsidR="00CD3B1D" w:rsidRPr="00A23998" w:rsidRDefault="00CD3B1D" w:rsidP="00183D44">
            <w:pPr>
              <w:pStyle w:val="Tabletext"/>
            </w:pPr>
            <w:r w:rsidRPr="00A23998">
              <w:t>Fuelled4 Life</w:t>
            </w:r>
          </w:p>
        </w:tc>
        <w:tc>
          <w:tcPr>
            <w:tcW w:w="1762" w:type="dxa"/>
            <w:tcBorders>
              <w:top w:val="single" w:sz="4" w:space="0" w:color="auto"/>
              <w:left w:val="single" w:sz="4" w:space="0" w:color="auto"/>
              <w:bottom w:val="single" w:sz="4" w:space="0" w:color="auto"/>
              <w:right w:val="single" w:sz="4" w:space="0" w:color="auto"/>
            </w:tcBorders>
          </w:tcPr>
          <w:p w14:paraId="563B357B" w14:textId="4E3B4419" w:rsidR="00CD3B1D" w:rsidRPr="00A23998" w:rsidRDefault="00166D40" w:rsidP="00183D44">
            <w:pPr>
              <w:pStyle w:val="Tabletext"/>
            </w:pPr>
            <w:r w:rsidRPr="00A23998">
              <w:t>New Zealand</w:t>
            </w:r>
          </w:p>
        </w:tc>
        <w:tc>
          <w:tcPr>
            <w:tcW w:w="8140" w:type="dxa"/>
            <w:tcBorders>
              <w:top w:val="single" w:sz="4" w:space="0" w:color="auto"/>
              <w:left w:val="single" w:sz="4" w:space="0" w:color="auto"/>
              <w:bottom w:val="single" w:sz="4" w:space="0" w:color="auto"/>
              <w:right w:val="single" w:sz="4" w:space="0" w:color="auto"/>
            </w:tcBorders>
          </w:tcPr>
          <w:p w14:paraId="387F8687" w14:textId="77777777" w:rsidR="00CD3B1D" w:rsidRPr="00BC587F" w:rsidRDefault="00CD3B1D" w:rsidP="00183D44">
            <w:pPr>
              <w:pStyle w:val="Tabletext"/>
            </w:pPr>
            <w:r w:rsidRPr="00BC587F">
              <w:t xml:space="preserve">Managed by the Heart Foundation is a Food and Beverage Classification System (using ‘everyday’ or ‘sometimes’ categorisation) designed specifically for foods and beverages children commonly consume in an education setting. </w:t>
            </w:r>
          </w:p>
        </w:tc>
        <w:tc>
          <w:tcPr>
            <w:tcW w:w="1664" w:type="dxa"/>
            <w:tcBorders>
              <w:top w:val="single" w:sz="4" w:space="0" w:color="auto"/>
              <w:left w:val="single" w:sz="4" w:space="0" w:color="auto"/>
              <w:bottom w:val="single" w:sz="4" w:space="0" w:color="auto"/>
              <w:right w:val="single" w:sz="4" w:space="0" w:color="auto"/>
            </w:tcBorders>
          </w:tcPr>
          <w:p w14:paraId="0F58B087" w14:textId="3C70DF12" w:rsidR="00CD3B1D" w:rsidRPr="00A23998" w:rsidRDefault="00CD3B1D" w:rsidP="00183D44">
            <w:pPr>
              <w:pStyle w:val="Tabletext"/>
            </w:pPr>
            <w:r w:rsidRPr="00A23998">
              <w:t>Sch</w:t>
            </w:r>
            <w:r w:rsidR="00166D40" w:rsidRPr="00A23998">
              <w:t>ool and preschool aged children</w:t>
            </w:r>
          </w:p>
        </w:tc>
      </w:tr>
      <w:tr w:rsidR="00CD3B1D" w:rsidRPr="00CB626B" w14:paraId="7028ADC1" w14:textId="77777777" w:rsidTr="001847D7">
        <w:tc>
          <w:tcPr>
            <w:tcW w:w="2426" w:type="dxa"/>
            <w:tcBorders>
              <w:top w:val="single" w:sz="4" w:space="0" w:color="auto"/>
              <w:left w:val="single" w:sz="4" w:space="0" w:color="auto"/>
              <w:bottom w:val="single" w:sz="4" w:space="0" w:color="auto"/>
              <w:right w:val="single" w:sz="4" w:space="0" w:color="auto"/>
            </w:tcBorders>
          </w:tcPr>
          <w:p w14:paraId="46F61817" w14:textId="77777777" w:rsidR="00CD3B1D" w:rsidRPr="00A23998" w:rsidRDefault="00CD3B1D" w:rsidP="00183D44">
            <w:pPr>
              <w:pStyle w:val="Tabletext"/>
            </w:pPr>
            <w:r w:rsidRPr="00A23998">
              <w:t>The Victorian Healthy Eating Enterprise (VHEE)</w:t>
            </w:r>
          </w:p>
        </w:tc>
        <w:tc>
          <w:tcPr>
            <w:tcW w:w="1762" w:type="dxa"/>
            <w:tcBorders>
              <w:top w:val="single" w:sz="4" w:space="0" w:color="auto"/>
              <w:left w:val="single" w:sz="4" w:space="0" w:color="auto"/>
              <w:bottom w:val="single" w:sz="4" w:space="0" w:color="auto"/>
              <w:right w:val="single" w:sz="4" w:space="0" w:color="auto"/>
            </w:tcBorders>
          </w:tcPr>
          <w:p w14:paraId="6A06FC8D" w14:textId="77777777" w:rsidR="00CD3B1D" w:rsidRPr="00A23998" w:rsidRDefault="00CD3B1D" w:rsidP="00183D44">
            <w:pPr>
              <w:pStyle w:val="Tabletext"/>
            </w:pPr>
            <w:r w:rsidRPr="00A23998">
              <w:t>Victoria</w:t>
            </w:r>
          </w:p>
        </w:tc>
        <w:tc>
          <w:tcPr>
            <w:tcW w:w="8140" w:type="dxa"/>
            <w:tcBorders>
              <w:top w:val="single" w:sz="4" w:space="0" w:color="auto"/>
              <w:left w:val="single" w:sz="4" w:space="0" w:color="auto"/>
              <w:bottom w:val="single" w:sz="4" w:space="0" w:color="auto"/>
              <w:right w:val="single" w:sz="4" w:space="0" w:color="auto"/>
            </w:tcBorders>
          </w:tcPr>
          <w:p w14:paraId="29139107" w14:textId="77777777" w:rsidR="00CD3B1D" w:rsidRPr="00BC587F" w:rsidRDefault="00CD3B1D" w:rsidP="00183D44">
            <w:pPr>
              <w:pStyle w:val="Tabletext"/>
            </w:pPr>
            <w:r w:rsidRPr="00BC587F">
              <w:t>A coordinated platform to support healthy eating targeting state-wide and local organisations and workforce (beyond the health sector) promoting access to nutritious food in Victoria.</w:t>
            </w:r>
          </w:p>
          <w:p w14:paraId="6EAF9148" w14:textId="77777777" w:rsidR="00CD3B1D" w:rsidRPr="00A23998" w:rsidRDefault="00CD3B1D" w:rsidP="00183D44">
            <w:pPr>
              <w:pStyle w:val="Tabletext"/>
            </w:pPr>
            <w:r w:rsidRPr="00A23998">
              <w:t>Priority areas:</w:t>
            </w:r>
          </w:p>
          <w:p w14:paraId="60656BE5" w14:textId="0299177F" w:rsidR="00CD3B1D" w:rsidRPr="00CB626B" w:rsidRDefault="00CD3B1D" w:rsidP="00C84941">
            <w:pPr>
              <w:pStyle w:val="Bullets"/>
            </w:pPr>
            <w:r w:rsidRPr="00CB626B">
              <w:t xml:space="preserve">Increasing fruit and </w:t>
            </w:r>
            <w:proofErr w:type="gramStart"/>
            <w:r w:rsidRPr="00CB626B">
              <w:t>veg</w:t>
            </w:r>
            <w:r w:rsidR="00D76C49">
              <w:t>;</w:t>
            </w:r>
            <w:proofErr w:type="gramEnd"/>
          </w:p>
          <w:p w14:paraId="2DE90A08" w14:textId="0A798C60" w:rsidR="00CD3B1D" w:rsidRPr="00CB626B" w:rsidRDefault="007E54BE" w:rsidP="00C84941">
            <w:pPr>
              <w:pStyle w:val="Bullets"/>
            </w:pPr>
            <w:r>
              <w:t>Reducing s</w:t>
            </w:r>
            <w:r w:rsidR="00CD3B1D" w:rsidRPr="00CB626B">
              <w:t>ugar-</w:t>
            </w:r>
            <w:r>
              <w:t>s</w:t>
            </w:r>
            <w:r w:rsidR="00CD3B1D" w:rsidRPr="00CB626B">
              <w:t>weetened beverages</w:t>
            </w:r>
            <w:r w:rsidR="00D76C49">
              <w:t>; and</w:t>
            </w:r>
          </w:p>
          <w:p w14:paraId="6032A694" w14:textId="69E3C90E" w:rsidR="00CD3B1D" w:rsidRPr="00CB626B" w:rsidRDefault="00BC6164" w:rsidP="00C84941">
            <w:pPr>
              <w:pStyle w:val="Bullets"/>
            </w:pPr>
            <w:r>
              <w:t>Increase access to nutritious</w:t>
            </w:r>
            <w:r w:rsidR="00CD3B1D" w:rsidRPr="00CB626B">
              <w:t xml:space="preserve"> food</w:t>
            </w:r>
            <w:r w:rsidR="00D76C49">
              <w:t>.</w:t>
            </w:r>
          </w:p>
        </w:tc>
        <w:tc>
          <w:tcPr>
            <w:tcW w:w="1664" w:type="dxa"/>
            <w:tcBorders>
              <w:top w:val="single" w:sz="4" w:space="0" w:color="auto"/>
              <w:left w:val="single" w:sz="4" w:space="0" w:color="auto"/>
              <w:bottom w:val="single" w:sz="4" w:space="0" w:color="auto"/>
              <w:right w:val="single" w:sz="4" w:space="0" w:color="auto"/>
            </w:tcBorders>
          </w:tcPr>
          <w:p w14:paraId="122D5528" w14:textId="6A228176" w:rsidR="00CD3B1D" w:rsidRPr="00BC587F" w:rsidRDefault="00CD3B1D" w:rsidP="00183D44">
            <w:pPr>
              <w:pStyle w:val="Tabletext"/>
            </w:pPr>
            <w:r w:rsidRPr="00BC587F">
              <w:t xml:space="preserve">Non-government organisations, local government, community and health services, sport and recreation health professionals and </w:t>
            </w:r>
            <w:r w:rsidR="00166D40" w:rsidRPr="00BC587F">
              <w:t>food relief organisations.</w:t>
            </w:r>
          </w:p>
        </w:tc>
      </w:tr>
      <w:tr w:rsidR="00CD3B1D" w:rsidRPr="00CB626B" w14:paraId="39D5D1F4" w14:textId="77777777" w:rsidTr="001847D7">
        <w:tc>
          <w:tcPr>
            <w:tcW w:w="2426" w:type="dxa"/>
            <w:tcBorders>
              <w:top w:val="single" w:sz="4" w:space="0" w:color="auto"/>
              <w:left w:val="single" w:sz="4" w:space="0" w:color="auto"/>
              <w:bottom w:val="single" w:sz="4" w:space="0" w:color="auto"/>
              <w:right w:val="single" w:sz="4" w:space="0" w:color="auto"/>
            </w:tcBorders>
          </w:tcPr>
          <w:p w14:paraId="639EB73A" w14:textId="77777777" w:rsidR="00CD3B1D" w:rsidRPr="00A23998" w:rsidRDefault="00CD3B1D" w:rsidP="00183D44">
            <w:pPr>
              <w:pStyle w:val="Tabletext"/>
            </w:pPr>
            <w:r w:rsidRPr="00A23998">
              <w:t>Healthy Eating Advisory Service</w:t>
            </w:r>
          </w:p>
        </w:tc>
        <w:tc>
          <w:tcPr>
            <w:tcW w:w="1762" w:type="dxa"/>
            <w:tcBorders>
              <w:top w:val="single" w:sz="4" w:space="0" w:color="auto"/>
              <w:left w:val="single" w:sz="4" w:space="0" w:color="auto"/>
              <w:bottom w:val="single" w:sz="4" w:space="0" w:color="auto"/>
              <w:right w:val="single" w:sz="4" w:space="0" w:color="auto"/>
            </w:tcBorders>
          </w:tcPr>
          <w:p w14:paraId="5AE81E7C" w14:textId="77777777" w:rsidR="00CD3B1D" w:rsidRPr="00A23998" w:rsidRDefault="00CD3B1D" w:rsidP="00183D44">
            <w:pPr>
              <w:pStyle w:val="Tabletext"/>
            </w:pPr>
            <w:r w:rsidRPr="00A23998">
              <w:t>Victoria</w:t>
            </w:r>
          </w:p>
        </w:tc>
        <w:tc>
          <w:tcPr>
            <w:tcW w:w="8140" w:type="dxa"/>
            <w:tcBorders>
              <w:top w:val="single" w:sz="4" w:space="0" w:color="auto"/>
              <w:left w:val="single" w:sz="4" w:space="0" w:color="auto"/>
              <w:bottom w:val="single" w:sz="4" w:space="0" w:color="auto"/>
              <w:right w:val="single" w:sz="4" w:space="0" w:color="auto"/>
            </w:tcBorders>
          </w:tcPr>
          <w:p w14:paraId="426CE1F4" w14:textId="42357007" w:rsidR="00CD3B1D" w:rsidRPr="00A23998" w:rsidRDefault="00CD3B1D" w:rsidP="00183D44">
            <w:pPr>
              <w:pStyle w:val="Tabletext"/>
            </w:pPr>
            <w:r w:rsidRPr="00A23998">
              <w:t xml:space="preserve">A state service providing practical support to key settings and organisations to meet Government nutrition policies and guidelines. </w:t>
            </w:r>
            <w:r w:rsidR="00FF517D" w:rsidRPr="00A23998">
              <w:t>This service includes an online produ</w:t>
            </w:r>
            <w:r w:rsidR="00CC56C1" w:rsidRPr="00A23998">
              <w:t>ct/recipe/menu assessment tool called</w:t>
            </w:r>
            <w:r w:rsidR="00210CD7" w:rsidRPr="00A23998">
              <w:t xml:space="preserve"> </w:t>
            </w:r>
            <w:hyperlink r:id="rId19" w:history="1">
              <w:r w:rsidR="00FF517D" w:rsidRPr="00A23998">
                <w:rPr>
                  <w:rStyle w:val="Hyperlink"/>
                </w:rPr>
                <w:t>Food</w:t>
              </w:r>
              <w:r w:rsidR="00210CD7" w:rsidRPr="00A23998">
                <w:rPr>
                  <w:rStyle w:val="Hyperlink"/>
                </w:rPr>
                <w:t>-</w:t>
              </w:r>
              <w:r w:rsidR="00FF517D" w:rsidRPr="00A23998">
                <w:rPr>
                  <w:rStyle w:val="Hyperlink"/>
                </w:rPr>
                <w:t>Checker</w:t>
              </w:r>
            </w:hyperlink>
            <w:r w:rsidR="00035F3D" w:rsidRPr="00A23998">
              <w:t>.</w:t>
            </w:r>
          </w:p>
        </w:tc>
        <w:tc>
          <w:tcPr>
            <w:tcW w:w="1664" w:type="dxa"/>
            <w:tcBorders>
              <w:top w:val="single" w:sz="4" w:space="0" w:color="auto"/>
              <w:left w:val="single" w:sz="4" w:space="0" w:color="auto"/>
              <w:bottom w:val="single" w:sz="4" w:space="0" w:color="auto"/>
              <w:right w:val="single" w:sz="4" w:space="0" w:color="auto"/>
            </w:tcBorders>
          </w:tcPr>
          <w:p w14:paraId="662523A8" w14:textId="10E06BE8" w:rsidR="00CD3B1D" w:rsidRPr="00BC587F" w:rsidRDefault="00CD3B1D" w:rsidP="00AA37B6">
            <w:pPr>
              <w:pStyle w:val="Tabletext"/>
            </w:pPr>
            <w:r w:rsidRPr="00BC587F">
              <w:t xml:space="preserve">Schools, </w:t>
            </w:r>
            <w:r w:rsidR="00FF517D" w:rsidRPr="00BC587F">
              <w:t xml:space="preserve">early years services, </w:t>
            </w:r>
            <w:r w:rsidR="007E54BE" w:rsidRPr="00BC587F">
              <w:t>workplaces,</w:t>
            </w:r>
            <w:r w:rsidRPr="00BC587F">
              <w:t xml:space="preserve"> sport and recreation centres and health services</w:t>
            </w:r>
            <w:r w:rsidR="00035F3D" w:rsidRPr="00BC587F">
              <w:t>.</w:t>
            </w:r>
          </w:p>
        </w:tc>
      </w:tr>
      <w:tr w:rsidR="00CD3B1D" w:rsidRPr="00CB626B" w14:paraId="0809C842" w14:textId="77777777" w:rsidTr="001847D7">
        <w:tc>
          <w:tcPr>
            <w:tcW w:w="2426" w:type="dxa"/>
            <w:tcBorders>
              <w:top w:val="single" w:sz="4" w:space="0" w:color="auto"/>
              <w:left w:val="single" w:sz="4" w:space="0" w:color="auto"/>
              <w:bottom w:val="single" w:sz="4" w:space="0" w:color="auto"/>
              <w:right w:val="single" w:sz="4" w:space="0" w:color="auto"/>
            </w:tcBorders>
          </w:tcPr>
          <w:p w14:paraId="5AE44306" w14:textId="706AD0C8" w:rsidR="00CD3B1D" w:rsidRPr="00A23998" w:rsidRDefault="007E54BE" w:rsidP="00183D44">
            <w:pPr>
              <w:pStyle w:val="Tabletext"/>
            </w:pPr>
            <w:r w:rsidRPr="00A23998">
              <w:t xml:space="preserve">Healthy Kids Menu </w:t>
            </w:r>
            <w:r w:rsidR="00166D40" w:rsidRPr="00A23998">
              <w:t>Initiative</w:t>
            </w:r>
          </w:p>
        </w:tc>
        <w:tc>
          <w:tcPr>
            <w:tcW w:w="1762" w:type="dxa"/>
            <w:tcBorders>
              <w:top w:val="single" w:sz="4" w:space="0" w:color="auto"/>
              <w:left w:val="single" w:sz="4" w:space="0" w:color="auto"/>
              <w:bottom w:val="single" w:sz="4" w:space="0" w:color="auto"/>
              <w:right w:val="single" w:sz="4" w:space="0" w:color="auto"/>
            </w:tcBorders>
          </w:tcPr>
          <w:p w14:paraId="01EC1EAA" w14:textId="77777777" w:rsidR="00CD3B1D" w:rsidRPr="00A23998" w:rsidRDefault="00CD3B1D" w:rsidP="00183D44">
            <w:pPr>
              <w:pStyle w:val="Tabletext"/>
            </w:pPr>
            <w:r w:rsidRPr="00A23998">
              <w:t xml:space="preserve">South Australia </w:t>
            </w:r>
          </w:p>
        </w:tc>
        <w:tc>
          <w:tcPr>
            <w:tcW w:w="8140" w:type="dxa"/>
            <w:tcBorders>
              <w:top w:val="single" w:sz="4" w:space="0" w:color="auto"/>
              <w:left w:val="single" w:sz="4" w:space="0" w:color="auto"/>
              <w:bottom w:val="single" w:sz="4" w:space="0" w:color="auto"/>
              <w:right w:val="single" w:sz="4" w:space="0" w:color="auto"/>
            </w:tcBorders>
          </w:tcPr>
          <w:p w14:paraId="5A611F4C" w14:textId="77777777" w:rsidR="00CD3B1D" w:rsidRPr="00BC587F" w:rsidRDefault="00CD3B1D" w:rsidP="00183D44">
            <w:pPr>
              <w:pStyle w:val="Tabletext"/>
            </w:pPr>
            <w:r w:rsidRPr="00BC587F">
              <w:t xml:space="preserve">Aims to increase the provision of and access to, healthy menu options for children in SA restaurants, cafes, </w:t>
            </w:r>
            <w:proofErr w:type="gramStart"/>
            <w:r w:rsidRPr="00BC587F">
              <w:t>hotels</w:t>
            </w:r>
            <w:proofErr w:type="gramEnd"/>
            <w:r w:rsidRPr="00BC587F">
              <w:t xml:space="preserve"> and clubs. Criteria specific to sugar reduction include:</w:t>
            </w:r>
          </w:p>
          <w:p w14:paraId="5AFA81A6" w14:textId="0C3ACA7A" w:rsidR="00CD3B1D" w:rsidRPr="00CB626B" w:rsidRDefault="00CD3B1D" w:rsidP="00C84941">
            <w:pPr>
              <w:pStyle w:val="Bullets"/>
              <w:rPr>
                <w:rFonts w:eastAsia="Calibri"/>
              </w:rPr>
            </w:pPr>
            <w:r w:rsidRPr="00CB626B">
              <w:rPr>
                <w:rFonts w:eastAsia="Calibri"/>
              </w:rPr>
              <w:t xml:space="preserve">Free tap water is easily </w:t>
            </w:r>
            <w:proofErr w:type="gramStart"/>
            <w:r w:rsidRPr="00CB626B">
              <w:rPr>
                <w:rFonts w:eastAsia="Calibri"/>
              </w:rPr>
              <w:t>accessible</w:t>
            </w:r>
            <w:r w:rsidR="00D76C49">
              <w:rPr>
                <w:rFonts w:eastAsia="Calibri"/>
              </w:rPr>
              <w:t>;</w:t>
            </w:r>
            <w:proofErr w:type="gramEnd"/>
          </w:p>
          <w:p w14:paraId="574CA262" w14:textId="5F482D66" w:rsidR="00CD3B1D" w:rsidRPr="00CB626B" w:rsidRDefault="00CD3B1D" w:rsidP="00C84941">
            <w:pPr>
              <w:pStyle w:val="Bullets"/>
              <w:rPr>
                <w:rFonts w:eastAsia="Calibri"/>
              </w:rPr>
            </w:pPr>
            <w:r w:rsidRPr="00CB626B">
              <w:rPr>
                <w:rFonts w:eastAsia="Calibri"/>
              </w:rPr>
              <w:t>Meal deals do not include soft drinks containing sugar or artificial sweeteners</w:t>
            </w:r>
            <w:r w:rsidR="00D76C49">
              <w:rPr>
                <w:rFonts w:eastAsia="Calibri"/>
              </w:rPr>
              <w:t>; and</w:t>
            </w:r>
          </w:p>
          <w:p w14:paraId="31FE64B7" w14:textId="2B23146E" w:rsidR="00CD3B1D" w:rsidRPr="00CB626B" w:rsidRDefault="00CD3B1D" w:rsidP="00C84941">
            <w:pPr>
              <w:pStyle w:val="Bullets"/>
              <w:rPr>
                <w:rFonts w:eastAsia="Calibri"/>
              </w:rPr>
            </w:pPr>
            <w:r w:rsidRPr="00CB626B">
              <w:rPr>
                <w:rFonts w:eastAsia="Calibri"/>
              </w:rPr>
              <w:t>G</w:t>
            </w:r>
            <w:r w:rsidR="00D76C49">
              <w:rPr>
                <w:rFonts w:eastAsia="Calibri"/>
              </w:rPr>
              <w:t>uidance on desserts on the menu.</w:t>
            </w:r>
          </w:p>
          <w:p w14:paraId="076A9587" w14:textId="6C5A7AF3" w:rsidR="00CD3B1D" w:rsidRPr="00BC587F" w:rsidRDefault="00CD3B1D" w:rsidP="00183D44">
            <w:pPr>
              <w:pStyle w:val="Tabletext"/>
            </w:pPr>
            <w:r w:rsidRPr="00BC587F">
              <w:t xml:space="preserve">To be voluntarily adopted by industry (restaurants, cafes, hotels, clubs) in South Australia. The draft Code </w:t>
            </w:r>
            <w:r w:rsidR="007E54BE" w:rsidRPr="00BC587F">
              <w:t>was</w:t>
            </w:r>
            <w:r w:rsidRPr="00BC587F">
              <w:t xml:space="preserve"> finalised in August 2017.</w:t>
            </w:r>
          </w:p>
        </w:tc>
        <w:tc>
          <w:tcPr>
            <w:tcW w:w="1664" w:type="dxa"/>
            <w:tcBorders>
              <w:top w:val="single" w:sz="4" w:space="0" w:color="auto"/>
              <w:left w:val="single" w:sz="4" w:space="0" w:color="auto"/>
              <w:bottom w:val="single" w:sz="4" w:space="0" w:color="auto"/>
              <w:right w:val="single" w:sz="4" w:space="0" w:color="auto"/>
            </w:tcBorders>
          </w:tcPr>
          <w:p w14:paraId="1EF715BD" w14:textId="77777777" w:rsidR="00CD3B1D" w:rsidRPr="00A23998" w:rsidRDefault="00CD3B1D" w:rsidP="00183D44">
            <w:pPr>
              <w:pStyle w:val="Tabletext"/>
            </w:pPr>
            <w:r w:rsidRPr="00A23998">
              <w:t>Children</w:t>
            </w:r>
          </w:p>
        </w:tc>
      </w:tr>
      <w:tr w:rsidR="00CD3B1D" w:rsidRPr="008E170F" w14:paraId="0ADFDF24" w14:textId="77777777" w:rsidTr="001847D7">
        <w:tc>
          <w:tcPr>
            <w:tcW w:w="2426" w:type="dxa"/>
            <w:tcBorders>
              <w:top w:val="single" w:sz="4" w:space="0" w:color="auto"/>
              <w:left w:val="single" w:sz="4" w:space="0" w:color="auto"/>
              <w:bottom w:val="single" w:sz="4" w:space="0" w:color="auto"/>
              <w:right w:val="single" w:sz="4" w:space="0" w:color="auto"/>
            </w:tcBorders>
          </w:tcPr>
          <w:p w14:paraId="7A544239" w14:textId="77777777" w:rsidR="00CD3B1D" w:rsidRPr="00A23998" w:rsidRDefault="00CD3B1D" w:rsidP="00183D44">
            <w:pPr>
              <w:pStyle w:val="Tabletext"/>
            </w:pPr>
            <w:r w:rsidRPr="00A23998">
              <w:t>Healthy Children Initiative</w:t>
            </w:r>
          </w:p>
        </w:tc>
        <w:tc>
          <w:tcPr>
            <w:tcW w:w="1762" w:type="dxa"/>
            <w:tcBorders>
              <w:top w:val="single" w:sz="4" w:space="0" w:color="auto"/>
              <w:left w:val="single" w:sz="4" w:space="0" w:color="auto"/>
              <w:bottom w:val="single" w:sz="4" w:space="0" w:color="auto"/>
              <w:right w:val="single" w:sz="4" w:space="0" w:color="auto"/>
            </w:tcBorders>
          </w:tcPr>
          <w:p w14:paraId="0D7D7208" w14:textId="77777777" w:rsidR="00CD3B1D" w:rsidRPr="00A23998" w:rsidRDefault="00CD3B1D" w:rsidP="00183D44">
            <w:pPr>
              <w:pStyle w:val="Tabletext"/>
            </w:pPr>
            <w:r w:rsidRPr="00A23998">
              <w:t>NSW</w:t>
            </w:r>
          </w:p>
        </w:tc>
        <w:tc>
          <w:tcPr>
            <w:tcW w:w="8140" w:type="dxa"/>
            <w:tcBorders>
              <w:top w:val="single" w:sz="4" w:space="0" w:color="auto"/>
              <w:left w:val="single" w:sz="4" w:space="0" w:color="auto"/>
              <w:bottom w:val="single" w:sz="4" w:space="0" w:color="auto"/>
              <w:right w:val="single" w:sz="4" w:space="0" w:color="auto"/>
            </w:tcBorders>
          </w:tcPr>
          <w:p w14:paraId="208C50FC" w14:textId="67911663" w:rsidR="00CD3B1D" w:rsidRPr="00BC587F" w:rsidRDefault="00CD3B1D" w:rsidP="00183D44">
            <w:pPr>
              <w:pStyle w:val="Tabletext"/>
            </w:pPr>
            <w:r w:rsidRPr="00BC587F">
              <w:t>Provides training and resources to promote healthy eating and physical activity to children and their families in early childhood,</w:t>
            </w:r>
            <w:r w:rsidR="00166D40" w:rsidRPr="00BC587F">
              <w:t xml:space="preserve"> </w:t>
            </w:r>
            <w:proofErr w:type="gramStart"/>
            <w:r w:rsidR="00166D40" w:rsidRPr="00BC587F">
              <w:t>school</w:t>
            </w:r>
            <w:proofErr w:type="gramEnd"/>
            <w:r w:rsidR="00166D40" w:rsidRPr="00BC587F">
              <w:t xml:space="preserve"> and community settings.</w:t>
            </w:r>
          </w:p>
          <w:p w14:paraId="420B903D" w14:textId="1C89FCA6" w:rsidR="00CD3B1D" w:rsidRPr="00BC587F" w:rsidRDefault="00CD3B1D" w:rsidP="00183D44">
            <w:pPr>
              <w:pStyle w:val="Tabletext"/>
            </w:pPr>
            <w:r w:rsidRPr="00BC587F">
              <w:t>Key program messages encourage the consumption of water over sugar sweetened drinks and discourage the consumption of foods with added sugar</w:t>
            </w:r>
            <w:r w:rsidR="00E25E09" w:rsidRPr="00BC587F">
              <w:t>s</w:t>
            </w:r>
            <w:r w:rsidRPr="00BC587F">
              <w:t>.</w:t>
            </w:r>
          </w:p>
        </w:tc>
        <w:tc>
          <w:tcPr>
            <w:tcW w:w="1664" w:type="dxa"/>
            <w:tcBorders>
              <w:top w:val="single" w:sz="4" w:space="0" w:color="auto"/>
              <w:left w:val="single" w:sz="4" w:space="0" w:color="auto"/>
              <w:bottom w:val="single" w:sz="4" w:space="0" w:color="auto"/>
              <w:right w:val="single" w:sz="4" w:space="0" w:color="auto"/>
            </w:tcBorders>
          </w:tcPr>
          <w:p w14:paraId="50A952F2" w14:textId="2B067A4F" w:rsidR="00CD3B1D" w:rsidRPr="00A23998" w:rsidRDefault="00CD3B1D" w:rsidP="00183D44">
            <w:pPr>
              <w:pStyle w:val="Tabletext"/>
            </w:pPr>
            <w:r w:rsidRPr="00A23998">
              <w:t>C</w:t>
            </w:r>
            <w:r w:rsidR="00407430" w:rsidRPr="00A23998">
              <w:t>hildren aged 0–</w:t>
            </w:r>
            <w:r w:rsidR="007E54BE" w:rsidRPr="00A23998">
              <w:t>18</w:t>
            </w:r>
            <w:r w:rsidRPr="00A23998">
              <w:t xml:space="preserve"> years</w:t>
            </w:r>
          </w:p>
        </w:tc>
      </w:tr>
    </w:tbl>
    <w:p w14:paraId="2236DA36" w14:textId="5057AE51" w:rsidR="008D0389" w:rsidRPr="00A23998" w:rsidRDefault="008D0389" w:rsidP="00A23998">
      <w:pPr>
        <w:sectPr w:rsidR="008D0389" w:rsidRPr="00A23998" w:rsidSect="004C69A3">
          <w:pgSz w:w="16838" w:h="11906" w:orient="landscape"/>
          <w:pgMar w:top="1800" w:right="1276" w:bottom="1800" w:left="1560" w:header="708" w:footer="708" w:gutter="0"/>
          <w:cols w:space="708"/>
          <w:docGrid w:linePitch="360"/>
        </w:sectPr>
      </w:pPr>
    </w:p>
    <w:p w14:paraId="21E6BEA0" w14:textId="3D8452B8" w:rsidR="008D0389" w:rsidRPr="00A23998" w:rsidRDefault="008D0389" w:rsidP="00314A5D">
      <w:pPr>
        <w:pStyle w:val="Heading1nonumbers"/>
      </w:pPr>
      <w:bookmarkStart w:id="363" w:name="_Attachment_C_–"/>
      <w:bookmarkStart w:id="364" w:name="_Toc6323642"/>
      <w:bookmarkStart w:id="365" w:name="_Toc1475643"/>
      <w:bookmarkEnd w:id="363"/>
      <w:r>
        <w:t>Attachment C</w:t>
      </w:r>
      <w:r w:rsidR="00607A42">
        <w:t xml:space="preserve"> </w:t>
      </w:r>
      <w:r w:rsidR="00607A42" w:rsidRPr="00607A42">
        <w:t>–</w:t>
      </w:r>
      <w:r w:rsidR="00607A42">
        <w:t xml:space="preserve"> </w:t>
      </w:r>
      <w:bookmarkStart w:id="366" w:name="_Toc1634541"/>
      <w:bookmarkStart w:id="367" w:name="_Toc3905619"/>
      <w:r w:rsidRPr="00A23998">
        <w:t>Stakeholder feedback</w:t>
      </w:r>
      <w:bookmarkEnd w:id="366"/>
      <w:r w:rsidR="00DA32EB" w:rsidRPr="00A23998">
        <w:t xml:space="preserve"> from consultation</w:t>
      </w:r>
      <w:bookmarkEnd w:id="364"/>
      <w:bookmarkEnd w:id="367"/>
    </w:p>
    <w:p w14:paraId="052CD3D7" w14:textId="493C2078" w:rsidR="008D0389" w:rsidRDefault="008D0389" w:rsidP="00314A5D">
      <w:pPr>
        <w:pStyle w:val="Heading2"/>
      </w:pPr>
      <w:bookmarkStart w:id="368" w:name="_Toc1634542"/>
      <w:bookmarkStart w:id="369" w:name="_Toc2252947"/>
      <w:bookmarkStart w:id="370" w:name="_Toc3905620"/>
      <w:bookmarkStart w:id="371" w:name="_Toc6323643"/>
      <w:r>
        <w:t>Introduction</w:t>
      </w:r>
      <w:bookmarkEnd w:id="365"/>
      <w:bookmarkEnd w:id="368"/>
      <w:bookmarkEnd w:id="369"/>
      <w:bookmarkEnd w:id="370"/>
      <w:bookmarkEnd w:id="371"/>
    </w:p>
    <w:p w14:paraId="23C79847" w14:textId="70F7DBD4" w:rsidR="008D0389" w:rsidRPr="00BC587F" w:rsidRDefault="008D0389" w:rsidP="0024501A">
      <w:r w:rsidRPr="00BC587F">
        <w:t xml:space="preserve">This report has been prepared to provide further stakeholder feedback from the </w:t>
      </w:r>
      <w:r w:rsidR="00DA32EB" w:rsidRPr="00BC587F">
        <w:t xml:space="preserve">consultation on the </w:t>
      </w:r>
      <w:r w:rsidRPr="00BC587F">
        <w:t>Consultation Regulatory Impact Statement (CRIS): Labelling of sugars on packaged food and drinks that was undertaken fr</w:t>
      </w:r>
      <w:r w:rsidR="00166D40" w:rsidRPr="00BC587F">
        <w:t>om 19 July – 21 September 2018.</w:t>
      </w:r>
    </w:p>
    <w:p w14:paraId="3B29A5F9" w14:textId="77777777" w:rsidR="008D0389" w:rsidRPr="00BC587F" w:rsidRDefault="008D0389" w:rsidP="0024501A">
      <w:r w:rsidRPr="00BC587F">
        <w:t>The report includes more detailed stakeholder feedback beyond what has been provided in the Policy Paper: Labelling of sugars on packaged foods and drinks (Policy Paper).</w:t>
      </w:r>
    </w:p>
    <w:p w14:paraId="06E771E3" w14:textId="5358028E" w:rsidR="005879DC" w:rsidRPr="00BC587F" w:rsidRDefault="008D0389" w:rsidP="0024501A">
      <w:r w:rsidRPr="00BC587F">
        <w:t xml:space="preserve">Details of the potential impacts of options 2, 5 and 7 are provided in this report, as </w:t>
      </w:r>
      <w:r w:rsidR="00DA32EB" w:rsidRPr="00BC587F">
        <w:t xml:space="preserve">the assessment of the options performed for the Policy Paper identified these options were </w:t>
      </w:r>
      <w:r w:rsidRPr="00BC587F">
        <w:t xml:space="preserve">not feasible options and </w:t>
      </w:r>
      <w:proofErr w:type="gramStart"/>
      <w:r w:rsidRPr="00BC587F">
        <w:t>therefore</w:t>
      </w:r>
      <w:proofErr w:type="gramEnd"/>
      <w:r w:rsidRPr="00BC587F">
        <w:t xml:space="preserve"> </w:t>
      </w:r>
      <w:r w:rsidR="00DA32EB" w:rsidRPr="00BC587F">
        <w:t xml:space="preserve">they </w:t>
      </w:r>
      <w:r w:rsidRPr="00BC587F">
        <w:t xml:space="preserve">not considered in the </w:t>
      </w:r>
      <w:r w:rsidR="00407430" w:rsidRPr="00BC587F">
        <w:t xml:space="preserve">benefit and </w:t>
      </w:r>
      <w:r w:rsidR="00DA32EB" w:rsidRPr="00BC587F">
        <w:t>impact analysis in the Policy Paper</w:t>
      </w:r>
      <w:r w:rsidRPr="00BC587F">
        <w:t xml:space="preserve">. As options 3, 4 and 6 were considered feasible options, the potential impacts of these are discussed in the </w:t>
      </w:r>
      <w:r w:rsidR="00407430" w:rsidRPr="00BC587F">
        <w:t xml:space="preserve">benefit and </w:t>
      </w:r>
      <w:r w:rsidR="00DA32EB" w:rsidRPr="00BC587F">
        <w:t xml:space="preserve">impact analysis section of the </w:t>
      </w:r>
      <w:r w:rsidRPr="00BC587F">
        <w:t>Policy Paper and not in this report.</w:t>
      </w:r>
    </w:p>
    <w:p w14:paraId="46E7A53A" w14:textId="414E613F" w:rsidR="008D0389" w:rsidRDefault="008D0389" w:rsidP="00314A5D">
      <w:pPr>
        <w:pStyle w:val="Heading3"/>
      </w:pPr>
      <w:bookmarkStart w:id="372" w:name="_Toc1121374"/>
      <w:bookmarkStart w:id="373" w:name="_Toc1122400"/>
      <w:bookmarkStart w:id="374" w:name="_Toc1122411"/>
      <w:bookmarkStart w:id="375" w:name="_Toc1122428"/>
      <w:bookmarkStart w:id="376" w:name="_Toc1122604"/>
      <w:bookmarkStart w:id="377" w:name="_Toc1122642"/>
      <w:bookmarkStart w:id="378" w:name="_Toc1122681"/>
      <w:bookmarkStart w:id="379" w:name="_Toc1475644"/>
      <w:bookmarkStart w:id="380" w:name="_Toc1634543"/>
      <w:bookmarkStart w:id="381" w:name="_Toc2252948"/>
      <w:bookmarkStart w:id="382" w:name="_Toc3905621"/>
      <w:r w:rsidRPr="008D0389">
        <w:t xml:space="preserve">Option 2 - Education on how to read and interpret labelling information about </w:t>
      </w:r>
      <w:proofErr w:type="gramStart"/>
      <w:r w:rsidRPr="008D0389">
        <w:t>sugars</w:t>
      </w:r>
      <w:bookmarkStart w:id="383" w:name="_Toc1475645"/>
      <w:bookmarkEnd w:id="372"/>
      <w:bookmarkEnd w:id="373"/>
      <w:bookmarkEnd w:id="374"/>
      <w:bookmarkEnd w:id="375"/>
      <w:bookmarkEnd w:id="376"/>
      <w:bookmarkEnd w:id="377"/>
      <w:bookmarkEnd w:id="378"/>
      <w:bookmarkEnd w:id="379"/>
      <w:bookmarkEnd w:id="380"/>
      <w:bookmarkEnd w:id="381"/>
      <w:bookmarkEnd w:id="382"/>
      <w:proofErr w:type="gramEnd"/>
    </w:p>
    <w:p w14:paraId="35B8DFC6" w14:textId="37E0D211" w:rsidR="008D0389" w:rsidRPr="008D0389" w:rsidRDefault="008D0389" w:rsidP="00314A5D">
      <w:pPr>
        <w:pStyle w:val="Heading4"/>
      </w:pPr>
      <w:bookmarkStart w:id="384" w:name="_Toc1634544"/>
      <w:bookmarkStart w:id="385" w:name="_Toc2252949"/>
      <w:bookmarkStart w:id="386" w:name="_Toc3905622"/>
      <w:r w:rsidRPr="008D0389">
        <w:t>Feedback on this option</w:t>
      </w:r>
      <w:bookmarkEnd w:id="383"/>
      <w:bookmarkEnd w:id="384"/>
      <w:bookmarkEnd w:id="385"/>
      <w:bookmarkEnd w:id="386"/>
    </w:p>
    <w:p w14:paraId="5B97FBE8" w14:textId="77777777" w:rsidR="00DA32EB" w:rsidRPr="00BC587F" w:rsidRDefault="00DA32EB" w:rsidP="0024501A">
      <w:r w:rsidRPr="00BC587F">
        <w:t>It should be noted that the CRIS proposed that option 2 would be implemented as stand-alone action without any label changes. All other options have consumer education built into their implementation. While majority of stakeholders did not believe this option would impact them positively or would be effective in meeting the desired outcome of this consultation, feedback was largely provided on consumer education being implemented in combination with other proposed options.</w:t>
      </w:r>
    </w:p>
    <w:p w14:paraId="106D8EB1" w14:textId="77777777" w:rsidR="008D0389" w:rsidRPr="00B609B5" w:rsidRDefault="008D0389" w:rsidP="00314A5D">
      <w:pPr>
        <w:pStyle w:val="Heading5"/>
      </w:pPr>
      <w:r w:rsidRPr="00B609B5">
        <w:t>Food industry</w:t>
      </w:r>
    </w:p>
    <w:p w14:paraId="5607D505" w14:textId="77777777" w:rsidR="008D0389" w:rsidRPr="00BC587F" w:rsidRDefault="008D0389" w:rsidP="0024501A">
      <w:proofErr w:type="gramStart"/>
      <w:r w:rsidRPr="00BC587F">
        <w:t>The majority of</w:t>
      </w:r>
      <w:proofErr w:type="gramEnd"/>
      <w:r w:rsidRPr="00BC587F">
        <w:t xml:space="preserve"> food industry submissions (19) believed this option would be effective in reaching the desired outcome, with one (1) considering it would be ineffective. A further eight (8) submissions noted that consumer education is only one component of the desired outcome, therefore supported this option in combination with a label change.</w:t>
      </w:r>
    </w:p>
    <w:p w14:paraId="05840DEA" w14:textId="77777777" w:rsidR="008D0389" w:rsidRPr="00BC587F" w:rsidRDefault="008D0389" w:rsidP="0024501A">
      <w:r w:rsidRPr="00BC587F">
        <w:t>Overall, the food industry was supportive of an approach that required no label changes, therefore having less of a financial impact on their business. There was very strong support for a whole-of-diet approach to education (20), with consideration to existing labelling systems (</w:t>
      </w:r>
      <w:proofErr w:type="gramStart"/>
      <w:r w:rsidRPr="00BC587F">
        <w:t>e.g.</w:t>
      </w:r>
      <w:proofErr w:type="gramEnd"/>
      <w:r w:rsidRPr="00BC587F">
        <w:t xml:space="preserve"> HSR System and Dietary Intake Guide) and existing initiatives (e.g. Healthy Food Partnership).</w:t>
      </w:r>
    </w:p>
    <w:p w14:paraId="36168F78" w14:textId="4CC772E8" w:rsidR="008D0389" w:rsidRDefault="008D0389" w:rsidP="0024501A">
      <w:r>
        <w:t xml:space="preserve">One (1) submission noted the minimal consumer education that has taken place since the Australian </w:t>
      </w:r>
      <w:r w:rsidRPr="008175C1">
        <w:t xml:space="preserve">Dietary Guidelines </w:t>
      </w:r>
      <w:r>
        <w:t>(ADGs) were released in 2013. A 2016 food industry survey shows just</w:t>
      </w:r>
      <w:r w:rsidRPr="00066346">
        <w:t xml:space="preserve"> 22% of consumers are aware of the </w:t>
      </w:r>
      <w:r>
        <w:t xml:space="preserve">ADGs </w:t>
      </w:r>
      <w:r w:rsidRPr="00066346">
        <w:t>recommendations</w:t>
      </w:r>
      <w:r>
        <w:rPr>
          <w:rStyle w:val="FootnoteReference"/>
        </w:rPr>
        <w:footnoteReference w:id="219"/>
      </w:r>
      <w:r>
        <w:t>.</w:t>
      </w:r>
    </w:p>
    <w:p w14:paraId="1A8AB0AF" w14:textId="3F414AE8" w:rsidR="008D0389" w:rsidRPr="00A460E5" w:rsidRDefault="008D0389" w:rsidP="0024501A">
      <w:r>
        <w:t xml:space="preserve">Some support </w:t>
      </w:r>
      <w:r w:rsidRPr="005B7F15">
        <w:t>(7) was</w:t>
      </w:r>
      <w:r>
        <w:t xml:space="preserve"> given to a targeted approach to an education campaign, noting that in New Zealand (comparably to Australia</w:t>
      </w:r>
      <w:r>
        <w:rPr>
          <w:rStyle w:val="FootnoteReference"/>
        </w:rPr>
        <w:footnoteReference w:id="220"/>
      </w:r>
      <w:r>
        <w:t>) rates of obesity vary considerably between different ethnic and socioeconomic groups</w:t>
      </w:r>
      <w:r>
        <w:rPr>
          <w:rStyle w:val="FootnoteReference"/>
        </w:rPr>
        <w:footnoteReference w:id="221"/>
      </w:r>
      <w:r w:rsidR="00381011">
        <w:t>.</w:t>
      </w:r>
    </w:p>
    <w:p w14:paraId="55A8E4FE" w14:textId="77777777" w:rsidR="008D0389" w:rsidRPr="00D00141" w:rsidRDefault="008D0389" w:rsidP="00314A5D">
      <w:pPr>
        <w:pStyle w:val="Heading5"/>
      </w:pPr>
      <w:r w:rsidRPr="00D00141">
        <w:t>Public health</w:t>
      </w:r>
    </w:p>
    <w:p w14:paraId="4B65BFB0" w14:textId="77777777" w:rsidR="008D0389" w:rsidRPr="00BC587F" w:rsidRDefault="008D0389" w:rsidP="0024501A">
      <w:r w:rsidRPr="00BC587F">
        <w:t>This stakeholder group overwhelmingly (31) felt that this option would be ineffective in reaching the desired outcome of this work without concurrent label changes. In considering an education campaign, support was provided to a campaign that encompassed a whole-of-diet approach (12), which avoided negative messaging of ‘cutting out’ or ‘quitting’ sugar. It was recommended that this campaign promote the awareness and understanding of the dietary guidelines.</w:t>
      </w:r>
    </w:p>
    <w:p w14:paraId="1A7BEA5A" w14:textId="640771F2" w:rsidR="008D0389" w:rsidRPr="00BC587F" w:rsidRDefault="008D0389" w:rsidP="0024501A">
      <w:r w:rsidRPr="00BC587F">
        <w:t>As with other groups, many of the public health submissions (19) were concerned with the potential for an education campaign to worsen inequities</w:t>
      </w:r>
      <w:r w:rsidR="005879DC" w:rsidRPr="00BC587F">
        <w:t>, therefore</w:t>
      </w:r>
      <w:r w:rsidRPr="00BC587F">
        <w:t xml:space="preserve"> a targeted approach with simpl</w:t>
      </w:r>
      <w:r w:rsidR="00A23998" w:rsidRPr="00BC587F">
        <w:t>e messaging was supported (11).</w:t>
      </w:r>
    </w:p>
    <w:p w14:paraId="1EDA2E6D" w14:textId="331C0564" w:rsidR="008D0389" w:rsidRDefault="008D0389" w:rsidP="00314A5D">
      <w:pPr>
        <w:pStyle w:val="Heading5"/>
      </w:pPr>
      <w:r w:rsidRPr="00D00141">
        <w:t>Government</w:t>
      </w:r>
      <w:r w:rsidRPr="00DB3BF5">
        <w:rPr>
          <w:rStyle w:val="FootnoteReference"/>
        </w:rPr>
        <w:footnoteReference w:id="222"/>
      </w:r>
    </w:p>
    <w:p w14:paraId="3333DA20" w14:textId="77777777" w:rsidR="008D0389" w:rsidRPr="00BC587F" w:rsidRDefault="008D0389" w:rsidP="0024501A">
      <w:r w:rsidRPr="00BC587F">
        <w:t xml:space="preserve">No (0) submissions from this group considered that this option as a standalone action would be effective in achieving the desired outcome of this work. Reasons for this position were that given the dietary guidelines emphasise limiting foods containing added sugars, current food labelling does not assist consumers to make informed choices in support of the guidelines </w:t>
      </w:r>
      <w:proofErr w:type="gramStart"/>
      <w:r w:rsidRPr="00BC587F">
        <w:t>with regard to</w:t>
      </w:r>
      <w:proofErr w:type="gramEnd"/>
      <w:r w:rsidRPr="00BC587F">
        <w:t xml:space="preserve"> the consumption of added sugars. Government submissions argued that under the status quo consumers do not have access to the information required to put the education into practice.</w:t>
      </w:r>
    </w:p>
    <w:p w14:paraId="04B5ECC8" w14:textId="77777777" w:rsidR="00166D40" w:rsidRPr="00BC587F" w:rsidRDefault="008D0389" w:rsidP="0024501A">
      <w:r w:rsidRPr="00BC587F">
        <w:t>A sustained education campaign, combined with label amendments was largely supported by government, with three (3) submissions supporting the campaign taking a whole-of-diet approach, bas</w:t>
      </w:r>
      <w:r w:rsidR="005879DC" w:rsidRPr="00BC587F">
        <w:t>ed on the dietary guidelines. F</w:t>
      </w:r>
      <w:r w:rsidRPr="00BC587F">
        <w:t>urther support was</w:t>
      </w:r>
      <w:r w:rsidR="00166D40" w:rsidRPr="00BC587F">
        <w:t xml:space="preserve"> given to a targeted approach.</w:t>
      </w:r>
    </w:p>
    <w:p w14:paraId="6743BEE3" w14:textId="0E6CF314" w:rsidR="008D0389" w:rsidRDefault="008D0389" w:rsidP="00314A5D">
      <w:pPr>
        <w:pStyle w:val="Heading5"/>
      </w:pPr>
      <w:r w:rsidRPr="00D00141">
        <w:t xml:space="preserve">Others </w:t>
      </w:r>
      <w:proofErr w:type="gramStart"/>
      <w:r w:rsidRPr="00D00141">
        <w:t>e.g.</w:t>
      </w:r>
      <w:proofErr w:type="gramEnd"/>
      <w:r w:rsidRPr="00D00141">
        <w:t xml:space="preserve"> consumer advocates</w:t>
      </w:r>
    </w:p>
    <w:p w14:paraId="2CFEEC53" w14:textId="77777777" w:rsidR="008D0389" w:rsidRPr="00BC587F" w:rsidRDefault="008D0389" w:rsidP="0024501A">
      <w:r w:rsidRPr="00BC587F">
        <w:t>No (0) submissions from this group believed that this option as a standalone action would be effective in reaching the desired outcome of this work. With one submission citing a recent CHOICE survey that found only 1.6% of people surveyed supported education on current labels, without any accompanying label change.</w:t>
      </w:r>
    </w:p>
    <w:p w14:paraId="4E093082" w14:textId="77777777" w:rsidR="00FA498C" w:rsidRPr="00BC587F" w:rsidRDefault="008D0389" w:rsidP="0024501A">
      <w:r w:rsidRPr="00BC587F">
        <w:t>Submissions argued for a multi-pronged approach to support label use and potentially behaviour change such as the UK Sodium Reduction Strategy which resulted in a 15 per cent reduction in the sodium intake of UK adults over a seven-year period</w:t>
      </w:r>
      <w:r w:rsidRPr="001847D7">
        <w:rPr>
          <w:vertAlign w:val="superscript"/>
        </w:rPr>
        <w:footnoteReference w:id="223"/>
      </w:r>
      <w:r w:rsidRPr="00BC587F">
        <w:t>.</w:t>
      </w:r>
    </w:p>
    <w:p w14:paraId="4C23A66B" w14:textId="794A6084" w:rsidR="008D0389" w:rsidRPr="00D00141" w:rsidRDefault="008D0389" w:rsidP="00314A5D">
      <w:pPr>
        <w:pStyle w:val="Heading5"/>
      </w:pPr>
      <w:r>
        <w:t>Consumers</w:t>
      </w:r>
    </w:p>
    <w:p w14:paraId="0EB426D3" w14:textId="051E94A1" w:rsidR="008D0389" w:rsidRPr="00BC587F" w:rsidRDefault="008D0389" w:rsidP="0024501A">
      <w:proofErr w:type="gramStart"/>
      <w:r w:rsidRPr="00BC587F">
        <w:t>The majority of</w:t>
      </w:r>
      <w:proofErr w:type="gramEnd"/>
      <w:r w:rsidRPr="00BC587F">
        <w:t xml:space="preserve"> submissions from members of the public (42) found this option to be ineffective in addressing the policy issue and achieving the desired outcome. However, most submissions were supportive of education c</w:t>
      </w:r>
      <w:r w:rsidR="00166D40" w:rsidRPr="00BC587F">
        <w:t>ombined with labelling changes.</w:t>
      </w:r>
    </w:p>
    <w:p w14:paraId="60690463" w14:textId="77777777" w:rsidR="008D0389" w:rsidRPr="00C44599" w:rsidRDefault="008D0389" w:rsidP="00314A5D">
      <w:pPr>
        <w:pStyle w:val="Heading4"/>
      </w:pPr>
      <w:bookmarkStart w:id="387" w:name="_Toc1475646"/>
      <w:bookmarkStart w:id="388" w:name="_Toc1634545"/>
      <w:bookmarkStart w:id="389" w:name="_Toc2252950"/>
      <w:bookmarkStart w:id="390" w:name="_Toc3905623"/>
      <w:r w:rsidRPr="00C44599">
        <w:t>Impacts of this option</w:t>
      </w:r>
      <w:bookmarkEnd w:id="387"/>
      <w:bookmarkEnd w:id="388"/>
      <w:bookmarkEnd w:id="389"/>
      <w:bookmarkEnd w:id="390"/>
    </w:p>
    <w:p w14:paraId="6D71C11B" w14:textId="77777777" w:rsidR="008212B0" w:rsidRPr="0070084E" w:rsidRDefault="008212B0" w:rsidP="00314A5D">
      <w:pPr>
        <w:pStyle w:val="Heading5"/>
      </w:pPr>
      <w:r w:rsidRPr="0070084E">
        <w:t>Impact</w:t>
      </w:r>
      <w:r>
        <w:t>s</w:t>
      </w:r>
      <w:r w:rsidRPr="0070084E">
        <w:t xml:space="preserve"> on the food </w:t>
      </w:r>
      <w:proofErr w:type="gramStart"/>
      <w:r w:rsidRPr="0070084E">
        <w:t>industry</w:t>
      </w:r>
      <w:proofErr w:type="gramEnd"/>
    </w:p>
    <w:p w14:paraId="400A2351" w14:textId="77777777" w:rsidR="008212B0" w:rsidRPr="00BC587F" w:rsidRDefault="008212B0" w:rsidP="0024501A">
      <w:proofErr w:type="gramStart"/>
      <w:r w:rsidRPr="00BC587F">
        <w:t>The majority of</w:t>
      </w:r>
      <w:proofErr w:type="gramEnd"/>
      <w:r w:rsidRPr="00BC587F">
        <w:t xml:space="preserve"> food industry submissions (15) believed a government run education campaign could be supported by current industry initiatives to promote the dietary guidelines and encourage healthy choices (5).</w:t>
      </w:r>
    </w:p>
    <w:p w14:paraId="096E676A" w14:textId="14C69793" w:rsidR="008212B0" w:rsidRPr="00BC587F" w:rsidRDefault="008212B0" w:rsidP="0024501A">
      <w:r w:rsidRPr="00BC587F">
        <w:t>Support was given to using existing dietary guideline resources to minimise costs and maximise impact. Three (3) submissions mentioned substantial education campaigns that have been undertaken by the food industry to support the HSR System and other healthy eating initiatives, based on this experience some submissions mentioned there would be a financial impact on the food industry if it were to play a role</w:t>
      </w:r>
      <w:r w:rsidR="00166D40" w:rsidRPr="00BC587F">
        <w:t xml:space="preserve"> in implementing the education.</w:t>
      </w:r>
    </w:p>
    <w:p w14:paraId="6B81FB23" w14:textId="77777777" w:rsidR="008212B0" w:rsidRPr="0070084E" w:rsidRDefault="008212B0" w:rsidP="00314A5D">
      <w:pPr>
        <w:pStyle w:val="Heading5"/>
      </w:pPr>
      <w:r>
        <w:t xml:space="preserve">Impacts on public </w:t>
      </w:r>
      <w:proofErr w:type="gramStart"/>
      <w:r w:rsidRPr="00C40E4B">
        <w:t>health</w:t>
      </w:r>
      <w:proofErr w:type="gramEnd"/>
    </w:p>
    <w:p w14:paraId="748C5F4E" w14:textId="2FE01B90" w:rsidR="008212B0" w:rsidRPr="00BC587F" w:rsidRDefault="008212B0" w:rsidP="0024501A">
      <w:r w:rsidRPr="00BC587F">
        <w:t>Overall, the public health sector, including researchers and academics sector felt an education campaign would support health care professionals to meet clients’ needs and potentially provide public health practitioners with a further credible resource to incorporate within nutrition initiatives. Further submissions stated that consumers having a better understanding of food labelling would potentially have a</w:t>
      </w:r>
      <w:r w:rsidR="00166D40" w:rsidRPr="00BC587F">
        <w:t xml:space="preserve"> positive impact on their work.</w:t>
      </w:r>
    </w:p>
    <w:p w14:paraId="48311B43" w14:textId="5A4711DE" w:rsidR="008212B0" w:rsidRPr="00BC587F" w:rsidRDefault="008212B0" w:rsidP="0024501A">
      <w:r w:rsidRPr="00BC587F">
        <w:t>However, seven (7) submissions stated that this option would require additional resources, especially to ensure messaging was received by all consumer groups. Citing that the impacts of standalone nutrition education interventions are generally modest</w:t>
      </w:r>
      <w:r w:rsidRPr="001847D7">
        <w:rPr>
          <w:vertAlign w:val="superscript"/>
        </w:rPr>
        <w:footnoteReference w:id="224"/>
      </w:r>
      <w:r w:rsidRPr="00BC587F">
        <w:t>.</w:t>
      </w:r>
    </w:p>
    <w:p w14:paraId="1EEFB0C9" w14:textId="77777777" w:rsidR="008212B0" w:rsidRPr="00C40E4B" w:rsidRDefault="008212B0" w:rsidP="00314A5D">
      <w:pPr>
        <w:pStyle w:val="Heading5"/>
      </w:pPr>
      <w:r w:rsidRPr="0070084E">
        <w:t>Impacts o</w:t>
      </w:r>
      <w:r>
        <w:t>n</w:t>
      </w:r>
      <w:r w:rsidRPr="0070084E">
        <w:t xml:space="preserve"> </w:t>
      </w:r>
      <w:proofErr w:type="gramStart"/>
      <w:r>
        <w:t>government</w:t>
      </w:r>
      <w:proofErr w:type="gramEnd"/>
    </w:p>
    <w:p w14:paraId="6C5DC185" w14:textId="3C0EC823" w:rsidR="008212B0" w:rsidRPr="00BC587F" w:rsidRDefault="008212B0" w:rsidP="0024501A">
      <w:r w:rsidRPr="00BC587F">
        <w:t>Government submitters expressed that any education campaign is likely to financially impact them as it would likely be a jointly funded initiative</w:t>
      </w:r>
      <w:r w:rsidR="00166D40" w:rsidRPr="00BC587F">
        <w:t>.</w:t>
      </w:r>
    </w:p>
    <w:p w14:paraId="63D5F57D" w14:textId="77777777" w:rsidR="008212B0" w:rsidRPr="00BC587F" w:rsidRDefault="008212B0" w:rsidP="0024501A">
      <w:r w:rsidRPr="00BC587F">
        <w:t>Further impacts on jurisdictional resourcing would include Government promotion, information dissemination and warehousing of any hard copy education materials, which may divert funds from other consumer education needs.</w:t>
      </w:r>
    </w:p>
    <w:p w14:paraId="4701D5DA" w14:textId="42776416" w:rsidR="008212B0" w:rsidRPr="00BC587F" w:rsidRDefault="008212B0" w:rsidP="0024501A">
      <w:r w:rsidRPr="00BC587F">
        <w:t>Nevertheless, this option would support Government initiatives to increase knowledge and skills necessary to make healthier purchasing decisions and curb the rise in overweight and obesity. In turn this is linked with a decreased burden on the health system, including oral health services</w:t>
      </w:r>
      <w:r w:rsidRPr="001847D7">
        <w:rPr>
          <w:vertAlign w:val="superscript"/>
        </w:rPr>
        <w:footnoteReference w:id="225"/>
      </w:r>
      <w:r w:rsidRPr="001847D7">
        <w:rPr>
          <w:vertAlign w:val="superscript"/>
        </w:rPr>
        <w:t>,</w:t>
      </w:r>
      <w:r w:rsidRPr="001847D7">
        <w:rPr>
          <w:vertAlign w:val="superscript"/>
        </w:rPr>
        <w:footnoteReference w:id="226"/>
      </w:r>
      <w:r w:rsidRPr="001847D7">
        <w:rPr>
          <w:vertAlign w:val="superscript"/>
        </w:rPr>
        <w:t>,</w:t>
      </w:r>
      <w:r w:rsidRPr="001847D7">
        <w:rPr>
          <w:vertAlign w:val="superscript"/>
        </w:rPr>
        <w:footnoteReference w:id="227"/>
      </w:r>
      <w:r w:rsidRPr="00BC587F">
        <w:t>.</w:t>
      </w:r>
    </w:p>
    <w:p w14:paraId="37DA4094" w14:textId="77777777" w:rsidR="008D0389" w:rsidRPr="0070084E" w:rsidRDefault="008D0389" w:rsidP="00314A5D">
      <w:pPr>
        <w:pStyle w:val="Heading5"/>
      </w:pPr>
      <w:r w:rsidRPr="0070084E">
        <w:t>Impact</w:t>
      </w:r>
      <w:r>
        <w:t>s</w:t>
      </w:r>
      <w:r w:rsidRPr="0070084E">
        <w:t xml:space="preserve"> on </w:t>
      </w:r>
      <w:proofErr w:type="gramStart"/>
      <w:r w:rsidRPr="0070084E">
        <w:t>consumers</w:t>
      </w:r>
      <w:proofErr w:type="gramEnd"/>
    </w:p>
    <w:p w14:paraId="4AEC35D9" w14:textId="520DBB9D" w:rsidR="008D0389" w:rsidRPr="00BC587F" w:rsidRDefault="008D0389" w:rsidP="0024501A">
      <w:proofErr w:type="gramStart"/>
      <w:r w:rsidRPr="00BC587F">
        <w:t>The vast majority of</w:t>
      </w:r>
      <w:proofErr w:type="gramEnd"/>
      <w:r w:rsidRPr="00BC587F">
        <w:t xml:space="preserve"> members of the public felt this option would either impact them negatively (18) or not at all (38). Some </w:t>
      </w:r>
      <w:r w:rsidR="000D2A5E" w:rsidRPr="00BC587F">
        <w:t>members of the public</w:t>
      </w:r>
      <w:r w:rsidRPr="00BC587F">
        <w:t xml:space="preserve"> (17) welcomed further education on reading food labels and voiced their confusion at the current information or lack of sufficient information to make an informed choice in relation to added sugars. Very few (3) </w:t>
      </w:r>
      <w:r w:rsidR="000D49BF" w:rsidRPr="00BC587F">
        <w:t xml:space="preserve">members of the public </w:t>
      </w:r>
      <w:r w:rsidRPr="00BC587F">
        <w:t xml:space="preserve">felt they were already well educated in how to identify added sugars in foods. Some </w:t>
      </w:r>
      <w:r w:rsidR="000D49BF" w:rsidRPr="00BC587F">
        <w:t xml:space="preserve">members of the public </w:t>
      </w:r>
      <w:r w:rsidRPr="00BC587F">
        <w:t>mentioned the need to be able to quickly compare the added sugars in products while shopping (3), especially with children or to assist in diabetes management (6), which they felt would remain d</w:t>
      </w:r>
      <w:r w:rsidR="00166D40" w:rsidRPr="00BC587F">
        <w:t>ifficult without label changes.</w:t>
      </w:r>
    </w:p>
    <w:p w14:paraId="62DA95A1" w14:textId="729FF75E" w:rsidR="008D0389" w:rsidRPr="00BC587F" w:rsidRDefault="008D0389" w:rsidP="0024501A">
      <w:r w:rsidRPr="00BC587F">
        <w:t xml:space="preserve">Nineteen (19) </w:t>
      </w:r>
      <w:r w:rsidR="000D2A5E" w:rsidRPr="00BC587F">
        <w:t>members of the public</w:t>
      </w:r>
      <w:r w:rsidRPr="00BC587F">
        <w:t xml:space="preserve"> noted that making an informed decision on the content of added sugars in foods would require consumer motivation and would likely benefit the already well-informed consumer</w:t>
      </w:r>
      <w:r w:rsidR="00166D40" w:rsidRPr="00BC587F">
        <w:t>.</w:t>
      </w:r>
    </w:p>
    <w:p w14:paraId="76AB2C7C" w14:textId="6937D829" w:rsidR="008D0389" w:rsidRPr="00BC587F" w:rsidRDefault="008D0389" w:rsidP="0024501A">
      <w:r w:rsidRPr="00BC587F">
        <w:t xml:space="preserve">Concerns were raised from all stakeholder groups regarding the potential </w:t>
      </w:r>
      <w:r w:rsidR="000D49BF" w:rsidRPr="00BC587F">
        <w:t xml:space="preserve">a potential impact on the community through </w:t>
      </w:r>
      <w:r w:rsidRPr="00BC587F">
        <w:t>increas</w:t>
      </w:r>
      <w:r w:rsidR="000D49BF" w:rsidRPr="00BC587F">
        <w:t>ing</w:t>
      </w:r>
      <w:r w:rsidRPr="00BC587F">
        <w:t xml:space="preserve"> inequalities </w:t>
      </w:r>
      <w:r w:rsidR="000D49BF" w:rsidRPr="00BC587F">
        <w:t xml:space="preserve">if </w:t>
      </w:r>
      <w:r w:rsidRPr="00BC587F">
        <w:t>an education campaign is not sufficiently targeted</w:t>
      </w:r>
      <w:r w:rsidR="000D49BF" w:rsidRPr="00BC587F">
        <w:t xml:space="preserve"> or tailored</w:t>
      </w:r>
      <w:r w:rsidRPr="00BC587F">
        <w:t>. This includes the potential to increase existing inequalities for those with poor literacy or numeracy</w:t>
      </w:r>
      <w:r w:rsidRPr="00282CFC">
        <w:rPr>
          <w:vertAlign w:val="superscript"/>
        </w:rPr>
        <w:footnoteReference w:id="228"/>
      </w:r>
      <w:r w:rsidRPr="00282CFC">
        <w:rPr>
          <w:vertAlign w:val="superscript"/>
        </w:rPr>
        <w:t>,</w:t>
      </w:r>
      <w:r w:rsidRPr="00282CFC">
        <w:rPr>
          <w:vertAlign w:val="superscript"/>
        </w:rPr>
        <w:footnoteReference w:id="229"/>
      </w:r>
      <w:r w:rsidRPr="00BC587F">
        <w:t xml:space="preserve"> particularly amongst those with lower education levels and Indigenous groups</w:t>
      </w:r>
      <w:r w:rsidRPr="00282CFC">
        <w:rPr>
          <w:vertAlign w:val="superscript"/>
        </w:rPr>
        <w:footnoteReference w:id="230"/>
      </w:r>
      <w:r w:rsidRPr="00282CFC">
        <w:rPr>
          <w:vertAlign w:val="superscript"/>
        </w:rPr>
        <w:t>,</w:t>
      </w:r>
      <w:r w:rsidRPr="00282CFC">
        <w:rPr>
          <w:vertAlign w:val="superscript"/>
        </w:rPr>
        <w:footnoteReference w:id="231"/>
      </w:r>
      <w:r w:rsidRPr="00BC587F">
        <w:t xml:space="preserve"> who are also more likely to have poorer health outcomes</w:t>
      </w:r>
      <w:r w:rsidRPr="00282CFC">
        <w:rPr>
          <w:vertAlign w:val="superscript"/>
        </w:rPr>
        <w:footnoteReference w:id="232"/>
      </w:r>
      <w:r w:rsidRPr="00282CFC">
        <w:rPr>
          <w:vertAlign w:val="superscript"/>
        </w:rPr>
        <w:t>,</w:t>
      </w:r>
      <w:r w:rsidRPr="00282CFC">
        <w:rPr>
          <w:vertAlign w:val="superscript"/>
        </w:rPr>
        <w:footnoteReference w:id="233"/>
      </w:r>
      <w:r w:rsidR="00166D40" w:rsidRPr="00BC587F">
        <w:t>.</w:t>
      </w:r>
    </w:p>
    <w:p w14:paraId="1FD67993" w14:textId="77777777" w:rsidR="008D0389" w:rsidRPr="00BC587F" w:rsidRDefault="008D0389" w:rsidP="0024501A">
      <w:r w:rsidRPr="00BC587F">
        <w:t xml:space="preserve">Furthermore, Māori households are less likely to have access to telecommunications including internet, mobile </w:t>
      </w:r>
      <w:proofErr w:type="gramStart"/>
      <w:r w:rsidRPr="00BC587F">
        <w:t>phone</w:t>
      </w:r>
      <w:proofErr w:type="gramEnd"/>
      <w:r w:rsidRPr="00BC587F">
        <w:t xml:space="preserve"> and telephone than those living in non-Māori households</w:t>
      </w:r>
      <w:r w:rsidRPr="00282CFC">
        <w:rPr>
          <w:vertAlign w:val="superscript"/>
        </w:rPr>
        <w:footnoteReference w:id="234"/>
      </w:r>
      <w:r w:rsidRPr="00BC587F">
        <w:t xml:space="preserve">. Therefore, </w:t>
      </w:r>
      <w:proofErr w:type="gramStart"/>
      <w:r w:rsidRPr="00BC587F">
        <w:t>internet based</w:t>
      </w:r>
      <w:proofErr w:type="gramEnd"/>
      <w:r w:rsidRPr="00BC587F">
        <w:t xml:space="preserve"> campaigns would likely have limited reach to this target population. Older consumers, and those with lower levels of education and income have also been found to have the greatest difficulty interpreting nutrition labels</w:t>
      </w:r>
      <w:r w:rsidRPr="00282CFC">
        <w:rPr>
          <w:vertAlign w:val="superscript"/>
        </w:rPr>
        <w:footnoteReference w:id="235"/>
      </w:r>
      <w:r w:rsidRPr="00BC587F">
        <w:t>.</w:t>
      </w:r>
    </w:p>
    <w:p w14:paraId="0202BEDE" w14:textId="147F6894" w:rsidR="008D0389" w:rsidRPr="00BC587F" w:rsidRDefault="008D0389" w:rsidP="0024501A">
      <w:r w:rsidRPr="00BC587F">
        <w:t xml:space="preserve">However, there is potential for a sufficiently targeted education campaign to decrease these inequalities, as a campaign may focus on </w:t>
      </w:r>
      <w:proofErr w:type="gramStart"/>
      <w:r w:rsidRPr="00BC587F">
        <w:t>particular segments</w:t>
      </w:r>
      <w:proofErr w:type="gramEnd"/>
      <w:r w:rsidRPr="00BC587F">
        <w:t xml:space="preserve"> of the community, and mould messaging to assist in consumer understan</w:t>
      </w:r>
      <w:r w:rsidR="00166D40" w:rsidRPr="00BC587F">
        <w:t>ding and reach of the campaign.</w:t>
      </w:r>
    </w:p>
    <w:p w14:paraId="3E61028C" w14:textId="77777777" w:rsidR="008D0389" w:rsidRPr="00BC587F" w:rsidRDefault="008D0389" w:rsidP="0024501A">
      <w:r w:rsidRPr="00BC587F">
        <w:t>Although the desired outcome of this work is focussed on providing consumers with informed choice, nutrition knowledge has been found to be supportive of consumers’ use of nutrition labels</w:t>
      </w:r>
      <w:r w:rsidRPr="00282CFC">
        <w:rPr>
          <w:vertAlign w:val="superscript"/>
        </w:rPr>
        <w:footnoteReference w:id="236"/>
      </w:r>
      <w:r w:rsidRPr="00BC587F">
        <w:t>. Use of nutrition labels has further been linked to purchase of healthier products</w:t>
      </w:r>
      <w:r w:rsidRPr="00282CFC">
        <w:rPr>
          <w:vertAlign w:val="superscript"/>
        </w:rPr>
        <w:footnoteReference w:id="237"/>
      </w:r>
      <w:r w:rsidRPr="00282CFC">
        <w:rPr>
          <w:vertAlign w:val="superscript"/>
        </w:rPr>
        <w:t>,</w:t>
      </w:r>
      <w:r w:rsidRPr="00282CFC">
        <w:rPr>
          <w:vertAlign w:val="superscript"/>
        </w:rPr>
        <w:footnoteReference w:id="238"/>
      </w:r>
      <w:r w:rsidRPr="00BC587F">
        <w:t>. Therefore, three (3) submissions linked informed choice to the potential for consumer behaviour change.</w:t>
      </w:r>
    </w:p>
    <w:p w14:paraId="2FC7E3B9" w14:textId="77777777" w:rsidR="005B2056" w:rsidRPr="00BC587F" w:rsidRDefault="008D0389" w:rsidP="0024501A">
      <w:r w:rsidRPr="00BC587F">
        <w:t>Conversely, other current evidence suggests that education alone does not increase healthy food choices</w:t>
      </w:r>
      <w:r w:rsidRPr="00282CFC">
        <w:rPr>
          <w:vertAlign w:val="superscript"/>
        </w:rPr>
        <w:footnoteReference w:id="239"/>
      </w:r>
      <w:r w:rsidRPr="00282CFC">
        <w:rPr>
          <w:vertAlign w:val="superscript"/>
        </w:rPr>
        <w:t>,</w:t>
      </w:r>
      <w:r w:rsidRPr="00282CFC">
        <w:rPr>
          <w:vertAlign w:val="superscript"/>
        </w:rPr>
        <w:footnoteReference w:id="240"/>
      </w:r>
      <w:r w:rsidRPr="00BC587F">
        <w:t>. Even dietary counselling has only modest effects on diet</w:t>
      </w:r>
      <w:r w:rsidRPr="00282CFC">
        <w:rPr>
          <w:vertAlign w:val="superscript"/>
        </w:rPr>
        <w:footnoteReference w:id="241"/>
      </w:r>
      <w:r w:rsidRPr="00282CFC">
        <w:rPr>
          <w:vertAlign w:val="superscript"/>
        </w:rPr>
        <w:t>,</w:t>
      </w:r>
      <w:r w:rsidRPr="00282CFC">
        <w:rPr>
          <w:vertAlign w:val="superscript"/>
        </w:rPr>
        <w:footnoteReference w:id="242"/>
      </w:r>
      <w:r w:rsidRPr="00282CFC">
        <w:rPr>
          <w:vertAlign w:val="superscript"/>
        </w:rPr>
        <w:t>,</w:t>
      </w:r>
      <w:r w:rsidRPr="00282CFC">
        <w:rPr>
          <w:vertAlign w:val="superscript"/>
        </w:rPr>
        <w:footnoteReference w:id="243"/>
      </w:r>
      <w:r w:rsidRPr="00BC587F">
        <w:t>.</w:t>
      </w:r>
    </w:p>
    <w:p w14:paraId="78A1DA62" w14:textId="3C5704E9" w:rsidR="008D0389" w:rsidRPr="008D0389" w:rsidRDefault="008D0389" w:rsidP="00314A5D">
      <w:pPr>
        <w:pStyle w:val="Heading3"/>
      </w:pPr>
      <w:bookmarkStart w:id="391" w:name="_Toc1121375"/>
      <w:bookmarkStart w:id="392" w:name="_Toc1122401"/>
      <w:bookmarkStart w:id="393" w:name="_Toc1122412"/>
      <w:bookmarkStart w:id="394" w:name="_Toc1122429"/>
      <w:bookmarkStart w:id="395" w:name="_Toc1122605"/>
      <w:bookmarkStart w:id="396" w:name="_Toc1122644"/>
      <w:bookmarkStart w:id="397" w:name="_Toc1122684"/>
      <w:bookmarkStart w:id="398" w:name="_Toc1475647"/>
      <w:bookmarkStart w:id="399" w:name="_Toc1634546"/>
      <w:bookmarkStart w:id="400" w:name="_Toc2252951"/>
      <w:bookmarkStart w:id="401" w:name="_Toc3905624"/>
      <w:r w:rsidRPr="008D0389">
        <w:t xml:space="preserve">Option 3 - Change to statement of ingredients to overtly identify sugars-based </w:t>
      </w:r>
      <w:proofErr w:type="gramStart"/>
      <w:r w:rsidRPr="008D0389">
        <w:t>ingredients</w:t>
      </w:r>
      <w:bookmarkEnd w:id="391"/>
      <w:bookmarkEnd w:id="392"/>
      <w:bookmarkEnd w:id="393"/>
      <w:bookmarkEnd w:id="394"/>
      <w:bookmarkEnd w:id="395"/>
      <w:bookmarkEnd w:id="396"/>
      <w:bookmarkEnd w:id="397"/>
      <w:bookmarkEnd w:id="398"/>
      <w:bookmarkEnd w:id="399"/>
      <w:bookmarkEnd w:id="400"/>
      <w:bookmarkEnd w:id="401"/>
      <w:proofErr w:type="gramEnd"/>
    </w:p>
    <w:p w14:paraId="65C7B916" w14:textId="77777777" w:rsidR="008D0389" w:rsidRPr="005D54E6" w:rsidRDefault="008D0389" w:rsidP="00314A5D">
      <w:pPr>
        <w:pStyle w:val="Heading4"/>
      </w:pPr>
      <w:bookmarkStart w:id="402" w:name="_Toc1475648"/>
      <w:bookmarkStart w:id="403" w:name="_Toc1634547"/>
      <w:bookmarkStart w:id="404" w:name="_Toc2252952"/>
      <w:bookmarkStart w:id="405" w:name="_Toc3905625"/>
      <w:r>
        <w:t>F</w:t>
      </w:r>
      <w:r w:rsidRPr="005D54E6">
        <w:t>eedback on this option</w:t>
      </w:r>
      <w:bookmarkEnd w:id="402"/>
      <w:bookmarkEnd w:id="403"/>
      <w:bookmarkEnd w:id="404"/>
      <w:bookmarkEnd w:id="405"/>
    </w:p>
    <w:p w14:paraId="3A146074" w14:textId="77777777" w:rsidR="008D0389" w:rsidRPr="00924369" w:rsidRDefault="008D0389" w:rsidP="00314A5D">
      <w:pPr>
        <w:pStyle w:val="Heading5"/>
        <w:rPr>
          <w:lang w:val="en-GB" w:eastAsia="en-GB"/>
        </w:rPr>
      </w:pPr>
      <w:r w:rsidRPr="00294C32">
        <w:t>Food industry</w:t>
      </w:r>
    </w:p>
    <w:p w14:paraId="3AC5055A" w14:textId="36785B9F" w:rsidR="008D0389" w:rsidRPr="00BC587F" w:rsidRDefault="008D0389" w:rsidP="0024501A">
      <w:proofErr w:type="gramStart"/>
      <w:r w:rsidRPr="00BC587F">
        <w:t>The majority of</w:t>
      </w:r>
      <w:proofErr w:type="gramEnd"/>
      <w:r w:rsidRPr="00BC587F">
        <w:t xml:space="preserve"> food industry submissions (26) did not consider that this option would be effective in addressing the policy issue and achieving the desired outcome or did not support this policy option</w:t>
      </w:r>
      <w:r w:rsidR="000D49BF" w:rsidRPr="00BC587F">
        <w:t xml:space="preserve">, </w:t>
      </w:r>
      <w:r w:rsidRPr="00BC587F">
        <w:t>four (4) considered it would be effective in combination with another option (option 7 from one submitter, education from the others) and one considered it would be partially effective.</w:t>
      </w:r>
      <w:r w:rsidR="000D49BF" w:rsidRPr="00BC587F">
        <w:t xml:space="preserve"> </w:t>
      </w:r>
      <w:r w:rsidR="00496B7C" w:rsidRPr="00BC587F">
        <w:t>Popular r</w:t>
      </w:r>
      <w:r w:rsidR="003A3583" w:rsidRPr="00BC587F">
        <w:t xml:space="preserve">easoning for limited support included </w:t>
      </w:r>
      <w:r w:rsidR="00496B7C" w:rsidRPr="00BC587F">
        <w:t>a potential imbalanced focus on sugars, concerns with interactions with allergen labelling and a lack of quantification of added sugars in a product.</w:t>
      </w:r>
    </w:p>
    <w:p w14:paraId="3073E8F8" w14:textId="77777777" w:rsidR="008D0389" w:rsidRPr="00294C32" w:rsidRDefault="008D0389" w:rsidP="00314A5D">
      <w:pPr>
        <w:pStyle w:val="Heading5"/>
      </w:pPr>
      <w:r>
        <w:t>Public health</w:t>
      </w:r>
    </w:p>
    <w:p w14:paraId="69BD4244" w14:textId="77777777" w:rsidR="008D0389" w:rsidRPr="00BC587F" w:rsidRDefault="008D0389" w:rsidP="0024501A">
      <w:proofErr w:type="gramStart"/>
      <w:r w:rsidRPr="00BC587F">
        <w:t>The majority of</w:t>
      </w:r>
      <w:proofErr w:type="gramEnd"/>
      <w:r w:rsidRPr="00BC587F">
        <w:t xml:space="preserve"> public health and research/academic submissions considered this option would be either effective in combination with another option (mostly with additional labelling and some submissions also supported it in combination with education) or partially effective in addressing the policy issue and achieving the desired outcome. Some submissions supported this option on the proviso that brackets were used to identify added sugars rather than emboldening or an asterisk, as that could cause confusion with allergen labelling or claims.</w:t>
      </w:r>
    </w:p>
    <w:p w14:paraId="1CA4122E" w14:textId="49F0A2C4" w:rsidR="008D0389" w:rsidRPr="00BC587F" w:rsidRDefault="008D0389" w:rsidP="0024501A">
      <w:r w:rsidRPr="00BC587F">
        <w:t xml:space="preserve">Combining this option with option 4 was suggested by </w:t>
      </w:r>
      <w:proofErr w:type="gramStart"/>
      <w:r w:rsidRPr="00BC587F">
        <w:t>a number of</w:t>
      </w:r>
      <w:proofErr w:type="gramEnd"/>
      <w:r w:rsidRPr="00BC587F">
        <w:t xml:space="preserve"> public health submissions. These submissions noted this option would allow identification of added sugars and the relative contribution of added sugars to a food. Some noted that this option has been implemented in Canada and is therefore a practical option (however, conversely some industry submitters stated that this has not been implemented in Canada yet and therefore cannot </w:t>
      </w:r>
      <w:r w:rsidR="00282CFC">
        <w:t>be relied upon as an example).</w:t>
      </w:r>
    </w:p>
    <w:p w14:paraId="483781DB" w14:textId="77777777" w:rsidR="00AC4FA7" w:rsidRPr="00BC587F" w:rsidRDefault="008D0389" w:rsidP="0024501A">
      <w:r w:rsidRPr="00BC587F">
        <w:t xml:space="preserve">Three (3) submissions from </w:t>
      </w:r>
      <w:proofErr w:type="gramStart"/>
      <w:r w:rsidR="003A3A68" w:rsidRPr="00BC587F">
        <w:t xml:space="preserve">this </w:t>
      </w:r>
      <w:r w:rsidRPr="00BC587F">
        <w:t>sectors</w:t>
      </w:r>
      <w:proofErr w:type="gramEnd"/>
      <w:r w:rsidRPr="00BC587F">
        <w:t xml:space="preserve"> considered option 3 would not be effective. One submission said this was because it would require motivation and understanding by the consumer, and the other two because it would not necessarily be understood by consumers who do not understand that ingredients </w:t>
      </w:r>
      <w:r w:rsidR="00AC4FA7" w:rsidRPr="00BC587F">
        <w:t>are listed in descending order.</w:t>
      </w:r>
    </w:p>
    <w:p w14:paraId="5D5A42A1" w14:textId="54331EF5" w:rsidR="008D0389" w:rsidRPr="00AC4FA7" w:rsidRDefault="008D0389" w:rsidP="00314A5D">
      <w:pPr>
        <w:pStyle w:val="Heading5"/>
      </w:pPr>
      <w:r w:rsidRPr="00E55F9B">
        <w:t>Government</w:t>
      </w:r>
    </w:p>
    <w:p w14:paraId="16E02C1E" w14:textId="77777777" w:rsidR="00AC4FA7" w:rsidRPr="00BC587F" w:rsidRDefault="008D0389" w:rsidP="0024501A">
      <w:r w:rsidRPr="00BC587F">
        <w:t>Three government submissions considered this option would be effective in addressing the policy issue and achieving the desired outcome. One (1) of these government submissions supported it in combination with option 4 and education. Two (2) submissions considered it wouldn’t be effective. One (1) government submission considered it would be partially effective.</w:t>
      </w:r>
    </w:p>
    <w:p w14:paraId="23BFEF38" w14:textId="2E8747F4" w:rsidR="008D0389" w:rsidRPr="00E55F9B" w:rsidRDefault="008D0389" w:rsidP="00314A5D">
      <w:pPr>
        <w:pStyle w:val="Heading5"/>
      </w:pPr>
      <w:r w:rsidRPr="00E55F9B">
        <w:t xml:space="preserve">Others </w:t>
      </w:r>
      <w:proofErr w:type="gramStart"/>
      <w:r w:rsidRPr="00E55F9B">
        <w:t>e.g.</w:t>
      </w:r>
      <w:proofErr w:type="gramEnd"/>
      <w:r w:rsidRPr="00E55F9B">
        <w:t xml:space="preserve"> consumer advocates</w:t>
      </w:r>
    </w:p>
    <w:p w14:paraId="6377D54F" w14:textId="77777777" w:rsidR="00AC4FA7" w:rsidRPr="00BC587F" w:rsidRDefault="008D0389" w:rsidP="0024501A">
      <w:r w:rsidRPr="00BC587F">
        <w:t xml:space="preserve">Four (4) of these submissions considered this option would be effective in combination with another option in addressing the policy issue and achieving the desired outcome (one (1) with NIP improvements, two (2) with added sugar in the NIP and with highlighting the amount of added sugar in </w:t>
      </w:r>
      <w:r w:rsidR="009D7CAD" w:rsidRPr="00BC587F">
        <w:t>sugary drinks / sugar-sweetened beverages</w:t>
      </w:r>
      <w:r w:rsidRPr="00BC587F">
        <w:t xml:space="preserve"> and confectionary through teaspoon labelling, and one (1) with education), the other submission considered it would be partially effective (noting that skills and knowledge would be required to read and clear</w:t>
      </w:r>
      <w:r w:rsidR="00AC4FA7" w:rsidRPr="00BC587F">
        <w:t>ly understand the information).</w:t>
      </w:r>
    </w:p>
    <w:p w14:paraId="2EB7CEA9" w14:textId="047DA6E2" w:rsidR="008D0389" w:rsidRPr="009F5D86" w:rsidRDefault="008D0389" w:rsidP="00314A5D">
      <w:pPr>
        <w:pStyle w:val="Heading5"/>
      </w:pPr>
      <w:r w:rsidRPr="00294C32">
        <w:t>Consumers</w:t>
      </w:r>
    </w:p>
    <w:p w14:paraId="5C8005EE" w14:textId="47B75144" w:rsidR="008D0389" w:rsidRPr="00BC587F" w:rsidRDefault="008D0389" w:rsidP="0024501A">
      <w:r w:rsidRPr="00BC587F">
        <w:t>Of the submissions</w:t>
      </w:r>
      <w:r w:rsidR="003A3A68" w:rsidRPr="00BC587F">
        <w:t xml:space="preserve"> from members of the public</w:t>
      </w:r>
      <w:r w:rsidRPr="00BC587F">
        <w:t>, there was a range of views about the effectiveness of this option</w:t>
      </w:r>
      <w:r w:rsidR="00AC4FA7" w:rsidRPr="00BC587F">
        <w:t>.</w:t>
      </w:r>
    </w:p>
    <w:p w14:paraId="4CE34470" w14:textId="77777777" w:rsidR="00AC4FA7" w:rsidRDefault="003A3A68" w:rsidP="0024501A">
      <w:r>
        <w:t>Some submissions cited a</w:t>
      </w:r>
      <w:r w:rsidR="008D0389" w:rsidRPr="00681E2F">
        <w:t xml:space="preserve"> 2017 nationally representative CHOICE survey </w:t>
      </w:r>
      <w:r>
        <w:t xml:space="preserve">which </w:t>
      </w:r>
      <w:r w:rsidR="008D0389" w:rsidRPr="00681E2F">
        <w:t>found that 68% of Australians are in favour of grouping added sugars in the ingredient list</w:t>
      </w:r>
      <w:r w:rsidR="003A3583">
        <w:rPr>
          <w:rStyle w:val="FootnoteReference"/>
        </w:rPr>
        <w:footnoteReference w:id="244"/>
      </w:r>
      <w:r w:rsidR="008D0389" w:rsidRPr="00681E2F">
        <w:t xml:space="preserve">. </w:t>
      </w:r>
      <w:r w:rsidR="008D0389">
        <w:t xml:space="preserve">This survey was again noted by </w:t>
      </w:r>
      <w:proofErr w:type="gramStart"/>
      <w:r w:rsidR="008D0389">
        <w:t>a number of</w:t>
      </w:r>
      <w:proofErr w:type="gramEnd"/>
      <w:r w:rsidR="008D0389">
        <w:t xml:space="preserve"> submissions, who also noted that sugar-based ingredients would appear near the beginning of the statement of ingredients, and that currently identifying added sugars in the statement of ingredients is challenging. CHOICE reported that i</w:t>
      </w:r>
      <w:r w:rsidR="008D0389" w:rsidRPr="00681E2F">
        <w:t xml:space="preserve">n 2018, when </w:t>
      </w:r>
      <w:r w:rsidR="008D0389">
        <w:t>they</w:t>
      </w:r>
      <w:r w:rsidR="008D0389" w:rsidRPr="00681E2F">
        <w:t xml:space="preserve"> sought the views of the </w:t>
      </w:r>
      <w:proofErr w:type="gramStart"/>
      <w:r w:rsidR="008D0389" w:rsidRPr="00681E2F">
        <w:t>general public</w:t>
      </w:r>
      <w:proofErr w:type="gramEnd"/>
      <w:r w:rsidR="008D0389" w:rsidRPr="00681E2F">
        <w:t xml:space="preserve"> on </w:t>
      </w:r>
      <w:r>
        <w:t>the proposed options in the CRIS</w:t>
      </w:r>
      <w:r w:rsidR="003A3583">
        <w:t xml:space="preserve"> </w:t>
      </w:r>
      <w:r w:rsidR="008D0389" w:rsidRPr="00681E2F">
        <w:t xml:space="preserve">79% of people </w:t>
      </w:r>
      <w:r w:rsidR="008D0389">
        <w:t>s</w:t>
      </w:r>
      <w:r w:rsidR="008D0389" w:rsidRPr="00681E2F">
        <w:t>upported this option</w:t>
      </w:r>
      <w:r w:rsidR="00FC46DB">
        <w:rPr>
          <w:rStyle w:val="FootnoteReference"/>
        </w:rPr>
        <w:footnoteReference w:id="245"/>
      </w:r>
      <w:r w:rsidR="008D0389" w:rsidRPr="00681E2F">
        <w:t>.</w:t>
      </w:r>
    </w:p>
    <w:p w14:paraId="1065470D" w14:textId="4E7A823D" w:rsidR="008D0389" w:rsidRPr="00AC4FA7" w:rsidRDefault="008D0389" w:rsidP="00314A5D">
      <w:pPr>
        <w:pStyle w:val="Heading5"/>
      </w:pPr>
      <w:r>
        <w:t>Preferred i</w:t>
      </w:r>
      <w:r w:rsidRPr="00077CE5">
        <w:t>mplementation mechanism</w:t>
      </w:r>
    </w:p>
    <w:p w14:paraId="18637313" w14:textId="03995931" w:rsidR="008D0389" w:rsidRPr="00BC587F" w:rsidRDefault="008D0389" w:rsidP="0024501A">
      <w:proofErr w:type="gramStart"/>
      <w:r w:rsidRPr="00BC587F">
        <w:t>The majority of</w:t>
      </w:r>
      <w:proofErr w:type="gramEnd"/>
      <w:r w:rsidRPr="00BC587F">
        <w:t xml:space="preserve"> </w:t>
      </w:r>
      <w:r w:rsidR="003A4B5C" w:rsidRPr="00BC587F">
        <w:t xml:space="preserve">total </w:t>
      </w:r>
      <w:r w:rsidRPr="00BC587F">
        <w:t>submissions considered option 3 should be impleme</w:t>
      </w:r>
      <w:r w:rsidR="00AC4FA7" w:rsidRPr="00BC587F">
        <w:t>nted by a regulatory mechanism.</w:t>
      </w:r>
    </w:p>
    <w:p w14:paraId="3D2272FF" w14:textId="2F0C8002" w:rsidR="00453BD7" w:rsidRPr="00BC587F" w:rsidRDefault="008D0389" w:rsidP="0024501A">
      <w:r w:rsidRPr="00BC587F">
        <w:t>Concerns were raised</w:t>
      </w:r>
      <w:r w:rsidR="004B4AAA" w:rsidRPr="00BC587F">
        <w:t xml:space="preserve"> from the public health sector</w:t>
      </w:r>
      <w:r w:rsidRPr="00BC587F">
        <w:t xml:space="preserve"> that voluntary approaches may be applied inconsistently by the food industry</w:t>
      </w:r>
      <w:r w:rsidR="004B4AAA" w:rsidRPr="00BC587F">
        <w:t>, with just two (2) submissions preferring voluntary implementation</w:t>
      </w:r>
      <w:r w:rsidRPr="00BC587F">
        <w:t>. Examples of selective product labelling in voluntary labelling schemes were provided</w:t>
      </w:r>
      <w:r w:rsidRPr="00282CFC">
        <w:rPr>
          <w:vertAlign w:val="superscript"/>
        </w:rPr>
        <w:footnoteReference w:id="246"/>
      </w:r>
      <w:r w:rsidRPr="00BC587F">
        <w:t>.</w:t>
      </w:r>
      <w:r w:rsidR="00453BD7" w:rsidRPr="00BC587F">
        <w:t xml:space="preserve"> Consumer views reflected this position.</w:t>
      </w:r>
    </w:p>
    <w:p w14:paraId="1F686C30" w14:textId="3EE20B6B" w:rsidR="008D0389" w:rsidRPr="00BC587F" w:rsidRDefault="008D0389" w:rsidP="0024501A">
      <w:r w:rsidRPr="00BC587F">
        <w:t xml:space="preserve">Submissions from the food industry were mixed in relation to a preferred implementation mechanism for this option. </w:t>
      </w:r>
      <w:proofErr w:type="gramStart"/>
      <w:r w:rsidRPr="00BC587F">
        <w:t>The majority of</w:t>
      </w:r>
      <w:proofErr w:type="gramEnd"/>
      <w:r w:rsidRPr="00BC587F">
        <w:t xml:space="preserve"> industry submitters considered it should be voluntary. </w:t>
      </w:r>
      <w:r w:rsidR="004B4AAA" w:rsidRPr="00BC587F">
        <w:t xml:space="preserve">However, </w:t>
      </w:r>
      <w:proofErr w:type="gramStart"/>
      <w:r w:rsidR="004B4AAA" w:rsidRPr="00BC587F">
        <w:t>the majority of</w:t>
      </w:r>
      <w:proofErr w:type="gramEnd"/>
      <w:r w:rsidR="004B4AAA" w:rsidRPr="00BC587F">
        <w:t xml:space="preserve"> these submitters did not agree with this option progressing at all.</w:t>
      </w:r>
    </w:p>
    <w:p w14:paraId="040B1EAB" w14:textId="65498BE0" w:rsidR="008D0389" w:rsidRPr="00BC587F" w:rsidRDefault="008D0389" w:rsidP="0024501A">
      <w:r w:rsidRPr="00BC587F">
        <w:t>A voluntary scheme was supported because it provided flexibility (easier to review and revise) and was considered to be easier for industry as they can choose whether to label or not (</w:t>
      </w:r>
      <w:proofErr w:type="gramStart"/>
      <w:r w:rsidRPr="00BC587F">
        <w:t>e.g.</w:t>
      </w:r>
      <w:proofErr w:type="gramEnd"/>
      <w:r w:rsidRPr="00BC587F">
        <w:t xml:space="preserve"> for imports and exports and for small businesses). A disadvantage identified by submitters (industry and public health) with respect to a voluntary scheme was that it may not be implemented by all companies, leading to a lack of standardisation in labelling and confusion for consumers</w:t>
      </w:r>
      <w:r w:rsidR="00AC4FA7" w:rsidRPr="00BC587F">
        <w:t>.</w:t>
      </w:r>
    </w:p>
    <w:p w14:paraId="39A4468F" w14:textId="61F0E28C" w:rsidR="003A3A68" w:rsidRPr="00BC587F" w:rsidRDefault="008D0389" w:rsidP="0024501A">
      <w:r w:rsidRPr="00BC587F">
        <w:t xml:space="preserve">Evidence that self-regulation of advertising to children is not effective was provided by some </w:t>
      </w:r>
      <w:r w:rsidR="003A3A68" w:rsidRPr="00BC587F">
        <w:t xml:space="preserve">public health </w:t>
      </w:r>
      <w:r w:rsidRPr="00BC587F">
        <w:t>submitters</w:t>
      </w:r>
      <w:r w:rsidRPr="00282CFC">
        <w:rPr>
          <w:vertAlign w:val="superscript"/>
        </w:rPr>
        <w:footnoteReference w:id="247"/>
      </w:r>
      <w:r w:rsidRPr="00282CFC">
        <w:rPr>
          <w:vertAlign w:val="superscript"/>
        </w:rPr>
        <w:t>,</w:t>
      </w:r>
      <w:r w:rsidRPr="00282CFC">
        <w:rPr>
          <w:vertAlign w:val="superscript"/>
        </w:rPr>
        <w:footnoteReference w:id="248"/>
      </w:r>
      <w:r w:rsidRPr="00282CFC">
        <w:rPr>
          <w:vertAlign w:val="superscript"/>
        </w:rPr>
        <w:t>,</w:t>
      </w:r>
      <w:r w:rsidRPr="00282CFC">
        <w:rPr>
          <w:vertAlign w:val="superscript"/>
        </w:rPr>
        <w:footnoteReference w:id="249"/>
      </w:r>
      <w:r w:rsidRPr="00282CFC">
        <w:rPr>
          <w:vertAlign w:val="superscript"/>
        </w:rPr>
        <w:t>,</w:t>
      </w:r>
      <w:r w:rsidRPr="00282CFC">
        <w:rPr>
          <w:vertAlign w:val="superscript"/>
        </w:rPr>
        <w:footnoteReference w:id="250"/>
      </w:r>
      <w:r w:rsidRPr="00282CFC">
        <w:rPr>
          <w:vertAlign w:val="superscript"/>
        </w:rPr>
        <w:t>,</w:t>
      </w:r>
      <w:r w:rsidRPr="00282CFC">
        <w:rPr>
          <w:vertAlign w:val="superscript"/>
        </w:rPr>
        <w:footnoteReference w:id="251"/>
      </w:r>
      <w:r w:rsidRPr="00282CFC">
        <w:rPr>
          <w:vertAlign w:val="superscript"/>
        </w:rPr>
        <w:t>,</w:t>
      </w:r>
      <w:r w:rsidRPr="00282CFC">
        <w:rPr>
          <w:vertAlign w:val="superscript"/>
        </w:rPr>
        <w:footnoteReference w:id="252"/>
      </w:r>
      <w:r w:rsidRPr="00282CFC">
        <w:rPr>
          <w:vertAlign w:val="superscript"/>
        </w:rPr>
        <w:t>,</w:t>
      </w:r>
      <w:r w:rsidRPr="00282CFC">
        <w:rPr>
          <w:vertAlign w:val="superscript"/>
        </w:rPr>
        <w:footnoteReference w:id="253"/>
      </w:r>
      <w:r w:rsidRPr="00282CFC">
        <w:rPr>
          <w:vertAlign w:val="superscript"/>
        </w:rPr>
        <w:t>,</w:t>
      </w:r>
      <w:r w:rsidRPr="00282CFC">
        <w:rPr>
          <w:vertAlign w:val="superscript"/>
        </w:rPr>
        <w:footnoteReference w:id="254"/>
      </w:r>
      <w:r w:rsidR="003A3A68" w:rsidRPr="00BC587F">
        <w:t>.</w:t>
      </w:r>
    </w:p>
    <w:p w14:paraId="6E33BDE1" w14:textId="5DEA2C1D" w:rsidR="008D0389" w:rsidRPr="00C71F51" w:rsidRDefault="008D0389" w:rsidP="00314A5D">
      <w:pPr>
        <w:pStyle w:val="Heading3"/>
      </w:pPr>
      <w:bookmarkStart w:id="406" w:name="_Toc1121376"/>
      <w:bookmarkStart w:id="407" w:name="_Toc1122402"/>
      <w:bookmarkStart w:id="408" w:name="_Toc1122413"/>
      <w:bookmarkStart w:id="409" w:name="_Toc1122430"/>
      <w:bookmarkStart w:id="410" w:name="_Toc1122606"/>
      <w:bookmarkStart w:id="411" w:name="_Toc1122645"/>
      <w:bookmarkStart w:id="412" w:name="_Toc1122685"/>
      <w:bookmarkStart w:id="413" w:name="_Toc1475649"/>
      <w:bookmarkStart w:id="414" w:name="_Toc1634548"/>
      <w:bookmarkStart w:id="415" w:name="_Toc2252953"/>
      <w:bookmarkStart w:id="416" w:name="_Toc3905626"/>
      <w:r w:rsidRPr="00E93347">
        <w:t xml:space="preserve">Option 4 – Added sugars quantified in the </w:t>
      </w:r>
      <w:proofErr w:type="gramStart"/>
      <w:r w:rsidRPr="00E93347">
        <w:t>NIP</w:t>
      </w:r>
      <w:bookmarkEnd w:id="406"/>
      <w:bookmarkEnd w:id="407"/>
      <w:bookmarkEnd w:id="408"/>
      <w:bookmarkEnd w:id="409"/>
      <w:bookmarkEnd w:id="410"/>
      <w:bookmarkEnd w:id="411"/>
      <w:bookmarkEnd w:id="412"/>
      <w:bookmarkEnd w:id="413"/>
      <w:bookmarkEnd w:id="414"/>
      <w:bookmarkEnd w:id="415"/>
      <w:bookmarkEnd w:id="416"/>
      <w:proofErr w:type="gramEnd"/>
    </w:p>
    <w:p w14:paraId="52084A16" w14:textId="77777777" w:rsidR="008D0389" w:rsidRPr="005D54E6" w:rsidRDefault="008D0389" w:rsidP="00314A5D">
      <w:pPr>
        <w:pStyle w:val="Heading4"/>
      </w:pPr>
      <w:bookmarkStart w:id="417" w:name="_Toc1475650"/>
      <w:bookmarkStart w:id="418" w:name="_Toc1634549"/>
      <w:bookmarkStart w:id="419" w:name="_Toc2252954"/>
      <w:bookmarkStart w:id="420" w:name="_Toc3905627"/>
      <w:r>
        <w:t>F</w:t>
      </w:r>
      <w:r w:rsidRPr="005D54E6">
        <w:t>eedback on this option</w:t>
      </w:r>
      <w:bookmarkEnd w:id="417"/>
      <w:bookmarkEnd w:id="418"/>
      <w:bookmarkEnd w:id="419"/>
      <w:bookmarkEnd w:id="420"/>
    </w:p>
    <w:p w14:paraId="230F16D2" w14:textId="77777777" w:rsidR="008D0389" w:rsidRPr="00472126" w:rsidRDefault="008D0389" w:rsidP="00314A5D">
      <w:pPr>
        <w:pStyle w:val="Heading5"/>
      </w:pPr>
      <w:r w:rsidRPr="00472126">
        <w:t>Food industry</w:t>
      </w:r>
      <w:r w:rsidRPr="00DB3BF5">
        <w:rPr>
          <w:rStyle w:val="FootnoteReference"/>
        </w:rPr>
        <w:footnoteReference w:id="255"/>
      </w:r>
    </w:p>
    <w:p w14:paraId="14EB2E30" w14:textId="77777777" w:rsidR="008D0389" w:rsidRPr="00BC587F" w:rsidRDefault="008D0389" w:rsidP="0024501A">
      <w:r w:rsidRPr="00BC587F">
        <w:t>Most (16) industry submissions offered support for this option (particularly if it could be implemented on a voluntary basis). Some submitters commented they were already providing added sugars information in the NIP. Reasons for supporting this option were:</w:t>
      </w:r>
    </w:p>
    <w:p w14:paraId="1D57AE3F" w14:textId="72473DF1" w:rsidR="008D0389" w:rsidRPr="00AC4FA7" w:rsidRDefault="008D0389" w:rsidP="0024501A">
      <w:pPr>
        <w:pStyle w:val="Bullets"/>
      </w:pPr>
      <w:r>
        <w:t>it would quantify the amount of added sugar in a product in a format that consumers were familiar with and frequently used</w:t>
      </w:r>
      <w:r>
        <w:rPr>
          <w:rStyle w:val="FootnoteReference"/>
        </w:rPr>
        <w:footnoteReference w:id="256"/>
      </w:r>
      <w:r w:rsidR="00AC4FA7">
        <w:t>;</w:t>
      </w:r>
    </w:p>
    <w:p w14:paraId="47C47350" w14:textId="77777777" w:rsidR="008D0389" w:rsidRPr="00AC4FA7" w:rsidRDefault="008D0389" w:rsidP="0024501A">
      <w:pPr>
        <w:pStyle w:val="Bullets"/>
      </w:pPr>
      <w:r>
        <w:t xml:space="preserve">it would involve a minimal change to the existing food label (only one additional line in the </w:t>
      </w:r>
      <w:r w:rsidRPr="00AC4FA7">
        <w:t>NIP</w:t>
      </w:r>
      <w:proofErr w:type="gramStart"/>
      <w:r w:rsidRPr="00AC4FA7">
        <w:t>);</w:t>
      </w:r>
      <w:proofErr w:type="gramEnd"/>
      <w:r w:rsidRPr="00AC4FA7">
        <w:t xml:space="preserve"> </w:t>
      </w:r>
    </w:p>
    <w:p w14:paraId="5688A864" w14:textId="77777777" w:rsidR="008D0389" w:rsidRPr="00AC4FA7" w:rsidRDefault="008D0389" w:rsidP="0024501A">
      <w:pPr>
        <w:pStyle w:val="Bullets"/>
      </w:pPr>
      <w:r>
        <w:t xml:space="preserve">it would enable consumers to make an informed </w:t>
      </w:r>
      <w:proofErr w:type="gramStart"/>
      <w:r>
        <w:t>choice</w:t>
      </w:r>
      <w:r w:rsidRPr="00AC4FA7">
        <w:t>;</w:t>
      </w:r>
      <w:proofErr w:type="gramEnd"/>
      <w:r w:rsidRPr="00AC4FA7">
        <w:t xml:space="preserve"> </w:t>
      </w:r>
    </w:p>
    <w:p w14:paraId="53B0E67C" w14:textId="77777777" w:rsidR="008D0389" w:rsidRPr="00AC4FA7" w:rsidRDefault="008D0389" w:rsidP="0024501A">
      <w:pPr>
        <w:pStyle w:val="Bullets"/>
      </w:pPr>
      <w:r>
        <w:t xml:space="preserve">it would support industry transparency with consumers; and </w:t>
      </w:r>
    </w:p>
    <w:p w14:paraId="0955A581" w14:textId="6DF4A386" w:rsidR="008D0389" w:rsidRPr="00AC4FA7" w:rsidRDefault="008D0389" w:rsidP="0024501A">
      <w:pPr>
        <w:pStyle w:val="Bullets"/>
      </w:pPr>
      <w:r>
        <w:t>it would not over-emphasise added sugars on the food label because the added sugars would be placed on the NIP alongside other nutrients which should be limited su</w:t>
      </w:r>
      <w:r w:rsidR="00AC4FA7">
        <w:t>ch as sodium and saturated fat.</w:t>
      </w:r>
    </w:p>
    <w:p w14:paraId="35BAF0F3" w14:textId="2961D7A2" w:rsidR="008D0389" w:rsidRPr="00BC587F" w:rsidRDefault="008D0389" w:rsidP="0024501A">
      <w:r w:rsidRPr="00BC587F">
        <w:t>Industry submissions noted that implementation details such as definitions of added sugars and an approach for calculating a food’s added sugars content would be required. Concern was raised about complexities involved in quantifying a food’s added sugars content, noting the need for industry to rely on ingredient suppliers for accurate information</w:t>
      </w:r>
      <w:r w:rsidR="00AC4FA7" w:rsidRPr="00BC587F">
        <w:t>.</w:t>
      </w:r>
    </w:p>
    <w:p w14:paraId="5FBA5EC3" w14:textId="4EF9DAB4" w:rsidR="008D0389" w:rsidRPr="00BC587F" w:rsidRDefault="008D0389" w:rsidP="0024501A">
      <w:r w:rsidRPr="00BC587F">
        <w:t>Some industry submissions supported implementing this option in combination with another of the proposed options, with most indicating that the changes to the NIP should be supported by consumer education (option 2), and one proposing that the information in the NIP should be linked with further online information (option 7)</w:t>
      </w:r>
      <w:r w:rsidR="00AC4FA7" w:rsidRPr="00BC587F">
        <w:t>.</w:t>
      </w:r>
    </w:p>
    <w:p w14:paraId="0BD2396F" w14:textId="3F90703E" w:rsidR="008D0389" w:rsidRPr="00BC587F" w:rsidRDefault="008D0389" w:rsidP="0024501A">
      <w:r w:rsidRPr="00BC587F">
        <w:t>Five (5) food industry submissions did not support this option. Reasons for this position were that added and intrinsic sugars behave the same physiologically</w:t>
      </w:r>
      <w:r w:rsidR="003A3A68" w:rsidRPr="00BC587F">
        <w:t xml:space="preserve"> and chemically</w:t>
      </w:r>
      <w:r w:rsidRPr="00BC587F">
        <w:t xml:space="preserve"> and there is no reason to separate these sugars in the NIP. These industry submitters also considered that the current information about sugars on food labels is sufficient for consumers, and raised concerns about how they could implement this </w:t>
      </w:r>
      <w:r w:rsidR="00AC4FA7" w:rsidRPr="00BC587F">
        <w:t>option due to technical issues.</w:t>
      </w:r>
    </w:p>
    <w:p w14:paraId="1AF1FB98" w14:textId="77777777" w:rsidR="008D0389" w:rsidRPr="00BC587F" w:rsidRDefault="008D0389" w:rsidP="0024501A">
      <w:r w:rsidRPr="00BC587F">
        <w:t>Three (3) industry submissions noted that added sugars labelling was considered by CODEX in 2010 but not perused because:</w:t>
      </w:r>
    </w:p>
    <w:p w14:paraId="504DA666" w14:textId="77777777" w:rsidR="008D0389" w:rsidRPr="00CF0C84" w:rsidRDefault="008D0389" w:rsidP="0024501A">
      <w:pPr>
        <w:pStyle w:val="Bullets"/>
      </w:pPr>
      <w:r>
        <w:t xml:space="preserve">there </w:t>
      </w:r>
      <w:r w:rsidRPr="00CF0C84">
        <w:t xml:space="preserve">were no analytical methods to differentiate between intrinsic and added sugars, which could create difficulties for enforcement, however added sugars could be addressed through other means than in a nutrient </w:t>
      </w:r>
      <w:proofErr w:type="gramStart"/>
      <w:r w:rsidRPr="00CF0C84">
        <w:t>declaration</w:t>
      </w:r>
      <w:r>
        <w:t>;</w:t>
      </w:r>
      <w:proofErr w:type="gramEnd"/>
    </w:p>
    <w:p w14:paraId="4DF56907" w14:textId="77777777" w:rsidR="008D0389" w:rsidRPr="00CF0C84" w:rsidRDefault="008D0389" w:rsidP="0024501A">
      <w:pPr>
        <w:pStyle w:val="Bullets"/>
      </w:pPr>
      <w:r w:rsidRPr="00CF0C84">
        <w:t>the human body did not differentiate between total sugars and added sugars; and</w:t>
      </w:r>
    </w:p>
    <w:p w14:paraId="5ACB0071" w14:textId="77777777" w:rsidR="008D0389" w:rsidRPr="00F16214" w:rsidRDefault="008D0389" w:rsidP="0024501A">
      <w:pPr>
        <w:pStyle w:val="Bullets"/>
      </w:pPr>
      <w:r w:rsidRPr="00C32755">
        <w:t>the joint FAO/WHO Update on Carbohydrates</w:t>
      </w:r>
      <w:r w:rsidRPr="00C32755">
        <w:rPr>
          <w:rStyle w:val="FootnoteReference"/>
        </w:rPr>
        <w:footnoteReference w:id="257"/>
      </w:r>
      <w:r w:rsidRPr="00C32755">
        <w:t xml:space="preserve"> recommended total sugars be used for the purposes of labelling.</w:t>
      </w:r>
    </w:p>
    <w:p w14:paraId="4EF56B14" w14:textId="77777777" w:rsidR="00AC4FA7" w:rsidRPr="00BC587F" w:rsidRDefault="008D0389" w:rsidP="0024501A">
      <w:proofErr w:type="gramStart"/>
      <w:r w:rsidRPr="00BC587F">
        <w:t>The majority of</w:t>
      </w:r>
      <w:proofErr w:type="gramEnd"/>
      <w:r w:rsidRPr="00BC587F">
        <w:t xml:space="preserve"> submissions from the food industry were not supportive of the suggestions for additional contextual labelling in the NIP for sugars in the form of HIGH/MEDIUM/ LOW descriptors or %DI labelling. Industry considered that this would draw more attention to sugars over other nutrients to be limited, and may confuse or mislead consumers or undermine the HSR as foods that are low in added sugars may not be a healthy choice (</w:t>
      </w:r>
      <w:proofErr w:type="gramStart"/>
      <w:r w:rsidRPr="00BC587F">
        <w:t>i.e.</w:t>
      </w:r>
      <w:proofErr w:type="gramEnd"/>
      <w:r w:rsidRPr="00BC587F">
        <w:t xml:space="preserve"> because they are high in saturated fat or sodium). The HSR was seen to perform the role of interpreting the overall healthfulness of a product. Some industry submissions expressed concern about providing a quantified daily intake value for added sugars, noting that the dietary guidelines do not make a quantified recommendation, and the WHO guidelines for added sugars are expressed as the contribution of energy from added sugars, rather than a wei</w:t>
      </w:r>
      <w:r w:rsidR="006F6BC6" w:rsidRPr="00BC587F">
        <w:t xml:space="preserve">ghed (grams per person) basis. </w:t>
      </w:r>
      <w:r w:rsidRPr="00BC587F">
        <w:t>These submitters considered there was insufficient evidence available for %DI or HIGH/MEDIUM/</w:t>
      </w:r>
      <w:r w:rsidR="00AC4FA7" w:rsidRPr="00BC587F">
        <w:t>LOW labelling for added sugars.</w:t>
      </w:r>
    </w:p>
    <w:p w14:paraId="554946E9" w14:textId="689C4AFB" w:rsidR="008D0389" w:rsidRPr="00472126" w:rsidRDefault="008D0389" w:rsidP="00314A5D">
      <w:pPr>
        <w:pStyle w:val="Heading5"/>
      </w:pPr>
      <w:r>
        <w:t>Public health</w:t>
      </w:r>
    </w:p>
    <w:p w14:paraId="773233D4" w14:textId="77777777" w:rsidR="008D0389" w:rsidRPr="00BC587F" w:rsidRDefault="008D0389" w:rsidP="0024501A">
      <w:r w:rsidRPr="00BC587F">
        <w:t xml:space="preserve">The majority (30) of submissions from this sector considered this option would be effective or partially effective in achieving the desired outcome. These submitters considered the option would be effective because it provided context to the </w:t>
      </w:r>
      <w:proofErr w:type="gramStart"/>
      <w:r w:rsidRPr="00BC587F">
        <w:t>sugars</w:t>
      </w:r>
      <w:proofErr w:type="gramEnd"/>
      <w:r w:rsidRPr="00BC587F">
        <w:t xml:space="preserve"> information in the NIP by clearly quantifying the amount of added sugars in the product. Submissions noted that the NIP is </w:t>
      </w:r>
      <w:proofErr w:type="gramStart"/>
      <w:r w:rsidRPr="00BC587F">
        <w:t>most commonly used</w:t>
      </w:r>
      <w:proofErr w:type="gramEnd"/>
      <w:r w:rsidRPr="00BC587F">
        <w:t xml:space="preserve"> by consumers</w:t>
      </w:r>
      <w:r w:rsidRPr="00282CFC">
        <w:rPr>
          <w:vertAlign w:val="superscript"/>
        </w:rPr>
        <w:footnoteReference w:id="258"/>
      </w:r>
      <w:r w:rsidRPr="00BC587F">
        <w:t>, and includes other key nutrients such as sodium and saturated fat which the dietary guidelines recommend should be limited. Public health submissions saw considerable value in separating added and total sugars in the NIP because added sugars specifically should be limited in the diet (rather than all sugars)</w:t>
      </w:r>
      <w:r w:rsidRPr="00282CFC">
        <w:rPr>
          <w:vertAlign w:val="superscript"/>
        </w:rPr>
        <w:footnoteReference w:id="259"/>
      </w:r>
      <w:r w:rsidRPr="00BC587F">
        <w:t>.</w:t>
      </w:r>
    </w:p>
    <w:p w14:paraId="52FB2E44" w14:textId="2894129D" w:rsidR="008D0389" w:rsidRPr="00BC587F" w:rsidRDefault="008D0389" w:rsidP="0024501A">
      <w:r w:rsidRPr="00BC587F">
        <w:t>Those submitters that considered this option would be partially effective raised concerns that and numeracy skills are required for label reading a NIP and having nutrition knowledge increases the likelihood that a consumer will use a nutrition label</w:t>
      </w:r>
      <w:r w:rsidRPr="00282CFC">
        <w:rPr>
          <w:vertAlign w:val="superscript"/>
        </w:rPr>
        <w:footnoteReference w:id="260"/>
      </w:r>
      <w:r w:rsidR="006F6BC6" w:rsidRPr="00BC587F">
        <w:t>.</w:t>
      </w:r>
    </w:p>
    <w:p w14:paraId="092ABBAD" w14:textId="7626013C" w:rsidR="008D0389" w:rsidRPr="00BC587F" w:rsidRDefault="008D0389" w:rsidP="0024501A">
      <w:r w:rsidRPr="00BC587F">
        <w:t>Eleven (11) public health submissions considered this option would be effective if combined with another option. The option(s) suggested to combine with added sugars in the NIP were va</w:t>
      </w:r>
      <w:r w:rsidR="006F6BC6" w:rsidRPr="00BC587F">
        <w:t>ried with no clear preference.</w:t>
      </w:r>
    </w:p>
    <w:p w14:paraId="07D4405C" w14:textId="43B05FB9" w:rsidR="00AC4FA7" w:rsidRPr="00BC587F" w:rsidRDefault="008D0389" w:rsidP="0024501A">
      <w:r w:rsidRPr="00BC587F">
        <w:t>Support was mixed for additional contextual labelling such as HIGH/MEDIUM/LOW or %DI for added sugars. Some public health submissions did not support this type of additional contextual information as it may confuse consumers</w:t>
      </w:r>
      <w:r w:rsidRPr="00282CFC">
        <w:rPr>
          <w:vertAlign w:val="superscript"/>
        </w:rPr>
        <w:footnoteReference w:id="261"/>
      </w:r>
      <w:r w:rsidRPr="00BC587F">
        <w:t xml:space="preserve"> and contradict other elements of the food label. Some submissions supported this type of labelling if it could be applied to other information in the NIP such as saturated fat and sodium. Other submissions were supportive of the additional contextual information but considered that defining cut-offs for HIGH/MEDIUM/LOW messaging or a daily intake for added sugars would take time and should not delay the introduction of quantified added sugars information in the NIP. Other submissions were supportive of this type of labelling to aid consumer understanding and ability to interpret the label information</w:t>
      </w:r>
      <w:r w:rsidRPr="00282CFC">
        <w:rPr>
          <w:vertAlign w:val="superscript"/>
        </w:rPr>
        <w:footnoteReference w:id="262"/>
      </w:r>
      <w:r w:rsidR="00282CFC" w:rsidRPr="00282CFC">
        <w:rPr>
          <w:vertAlign w:val="superscript"/>
        </w:rPr>
        <w:t>,</w:t>
      </w:r>
      <w:r w:rsidRPr="00282CFC">
        <w:rPr>
          <w:vertAlign w:val="superscript"/>
        </w:rPr>
        <w:footnoteReference w:id="263"/>
      </w:r>
      <w:r w:rsidR="00AC4FA7" w:rsidRPr="00BC587F">
        <w:t>.</w:t>
      </w:r>
    </w:p>
    <w:p w14:paraId="506E827C" w14:textId="6C36A7E7" w:rsidR="00EA7E1C" w:rsidRDefault="008D0389" w:rsidP="00314A5D">
      <w:pPr>
        <w:pStyle w:val="Heading5"/>
      </w:pPr>
      <w:r w:rsidRPr="00472126">
        <w:t>Government</w:t>
      </w:r>
      <w:r w:rsidRPr="00DB3BF5">
        <w:rPr>
          <w:rStyle w:val="FootnoteReference"/>
        </w:rPr>
        <w:footnoteReference w:id="264"/>
      </w:r>
    </w:p>
    <w:p w14:paraId="4AA03923" w14:textId="4B278EC5" w:rsidR="008D0389" w:rsidRPr="00BC587F" w:rsidRDefault="008D0389" w:rsidP="0024501A">
      <w:proofErr w:type="gramStart"/>
      <w:r w:rsidRPr="00BC587F">
        <w:t>The majority of</w:t>
      </w:r>
      <w:proofErr w:type="gramEnd"/>
      <w:r w:rsidRPr="00BC587F">
        <w:t xml:space="preserve"> Government (6) submissions considered this would be effective or partially effective in achieving the desired outcome. Reasons for this position were consistent</w:t>
      </w:r>
      <w:r w:rsidR="00AC4FA7" w:rsidRPr="00BC587F">
        <w:t xml:space="preserve"> with the public health sector.</w:t>
      </w:r>
    </w:p>
    <w:p w14:paraId="47A77204" w14:textId="77777777" w:rsidR="00AC4FA7" w:rsidRPr="00BC587F" w:rsidRDefault="008D0389" w:rsidP="0024501A">
      <w:r w:rsidRPr="00BC587F">
        <w:t xml:space="preserve">This sector held views </w:t>
      </w:r>
      <w:proofErr w:type="gramStart"/>
      <w:r w:rsidRPr="00BC587F">
        <w:t>similar to</w:t>
      </w:r>
      <w:proofErr w:type="gramEnd"/>
      <w:r w:rsidRPr="00BC587F">
        <w:t xml:space="preserve"> the public health sector in relation to additional contextual information such as HIGH/MED</w:t>
      </w:r>
      <w:r w:rsidR="00E6691C" w:rsidRPr="00BC587F">
        <w:t>IUM/LOW or %DI for added sugars.</w:t>
      </w:r>
    </w:p>
    <w:p w14:paraId="48F9214F" w14:textId="74D26CDE" w:rsidR="00EA7E1C" w:rsidRPr="00AC4FA7" w:rsidRDefault="008D0389" w:rsidP="00314A5D">
      <w:pPr>
        <w:pStyle w:val="Heading5"/>
      </w:pPr>
      <w:r w:rsidRPr="00472126">
        <w:t xml:space="preserve">Others </w:t>
      </w:r>
      <w:proofErr w:type="gramStart"/>
      <w:r w:rsidRPr="00472126">
        <w:t>e.g.</w:t>
      </w:r>
      <w:proofErr w:type="gramEnd"/>
      <w:r w:rsidRPr="00472126">
        <w:t xml:space="preserve"> consumer advocates</w:t>
      </w:r>
    </w:p>
    <w:p w14:paraId="1FF2DC01" w14:textId="77777777" w:rsidR="00AC4FA7" w:rsidRPr="00BC587F" w:rsidRDefault="008D0389" w:rsidP="0024501A">
      <w:r w:rsidRPr="00BC587F">
        <w:t xml:space="preserve">Most (4) submissions considered this option would be effective or partially effective in achieving the desired outcome. One </w:t>
      </w:r>
      <w:proofErr w:type="gramStart"/>
      <w:r w:rsidRPr="00BC587F">
        <w:t>submissions</w:t>
      </w:r>
      <w:proofErr w:type="gramEnd"/>
      <w:r w:rsidRPr="00BC587F">
        <w:t xml:space="preserve"> considered that the option would be effective if combined with option 3. Responses from this sector about this option were very similar to the Government and public health sector</w:t>
      </w:r>
      <w:r w:rsidR="005B2056" w:rsidRPr="00BC587F">
        <w:t>.</w:t>
      </w:r>
    </w:p>
    <w:p w14:paraId="23A38289" w14:textId="2BDEDDE1" w:rsidR="00AC4FA7" w:rsidRPr="00AC4FA7" w:rsidRDefault="008D0389" w:rsidP="00314A5D">
      <w:pPr>
        <w:pStyle w:val="Heading5"/>
      </w:pPr>
      <w:r>
        <w:t>Consumers</w:t>
      </w:r>
    </w:p>
    <w:p w14:paraId="5FB9D8F5" w14:textId="5BD8B4F8" w:rsidR="008D0389" w:rsidRPr="00BC587F" w:rsidRDefault="008D0389" w:rsidP="0024501A">
      <w:r w:rsidRPr="00BC587F">
        <w:t>Nineteen (19) members of the public considered this option could be effective in achieving the desired outcome. Comments from these submitters discussed access to additional inform</w:t>
      </w:r>
      <w:r w:rsidR="00AC4FA7" w:rsidRPr="00BC587F">
        <w:t>ation to make informed choices.</w:t>
      </w:r>
    </w:p>
    <w:p w14:paraId="77C50A57" w14:textId="77777777" w:rsidR="008D0389" w:rsidRPr="00BC587F" w:rsidRDefault="008D0389" w:rsidP="0024501A">
      <w:r w:rsidRPr="00BC587F">
        <w:t xml:space="preserve">Most members of the public (33) considered this option would be partially effective in achieving the desired outcome. Comments from these submitters was that the NIP can be </w:t>
      </w:r>
      <w:proofErr w:type="gramStart"/>
      <w:r w:rsidRPr="00BC587F">
        <w:t>confusing</w:t>
      </w:r>
      <w:proofErr w:type="gramEnd"/>
      <w:r w:rsidRPr="00BC587F">
        <w:t xml:space="preserve"> and they wanted simplified information. </w:t>
      </w:r>
    </w:p>
    <w:p w14:paraId="5D2A958D" w14:textId="056E30B5" w:rsidR="008D0389" w:rsidRPr="00BC587F" w:rsidRDefault="008D0389" w:rsidP="0024501A">
      <w:r w:rsidRPr="00BC587F">
        <w:t xml:space="preserve">Six (6) members of the public considered this option would be effective if combined with another option, with suggestions that this option be combined with </w:t>
      </w:r>
      <w:r w:rsidR="00AC4FA7" w:rsidRPr="00BC587F">
        <w:t>option 3, option 5 or option 6.</w:t>
      </w:r>
    </w:p>
    <w:p w14:paraId="45B83C6E" w14:textId="7CE1AAEE" w:rsidR="008D0389" w:rsidRPr="00BC587F" w:rsidRDefault="008D0389" w:rsidP="0024501A">
      <w:r w:rsidRPr="00BC587F">
        <w:t>Nine (9) members of the public considered this option would not be effective in achieving the desired outcome. These consumers saw this option as too complicated and wanted simpler food labe</w:t>
      </w:r>
      <w:r w:rsidR="00AC4FA7" w:rsidRPr="00BC587F">
        <w:t>lling for sugars.</w:t>
      </w:r>
    </w:p>
    <w:p w14:paraId="4CC0C3BF" w14:textId="77777777" w:rsidR="00AC4FA7" w:rsidRPr="00BC587F" w:rsidRDefault="008D0389" w:rsidP="0024501A">
      <w:r w:rsidRPr="00BC587F">
        <w:t>Some stakeholders undertook their own consultations on the policy options. CHOICE and Nutrition Australia both reported this option was strongly supported in their own consultations. CHOICE reported that 80% of respondents its consultation supported including added sugars in the NIP. Consumer NZ noted it had undertaken a consultation in 2016 where 68% of Australians and 71% of New Zealanders wanted ad</w:t>
      </w:r>
      <w:r w:rsidR="00AC4FA7" w:rsidRPr="00BC587F">
        <w:t>ded sugars included in the NIP.</w:t>
      </w:r>
    </w:p>
    <w:p w14:paraId="56DD1634" w14:textId="5D1D6BE3" w:rsidR="008D0389" w:rsidRPr="00472126" w:rsidRDefault="008D0389" w:rsidP="00314A5D">
      <w:pPr>
        <w:pStyle w:val="Heading5"/>
      </w:pPr>
      <w:r>
        <w:t>Preferred i</w:t>
      </w:r>
      <w:r w:rsidRPr="00472126">
        <w:t>mplementation mechanism</w:t>
      </w:r>
    </w:p>
    <w:p w14:paraId="7AA99F81" w14:textId="3626410C" w:rsidR="008D0389" w:rsidRPr="00BC587F" w:rsidRDefault="008D0389" w:rsidP="0024501A">
      <w:r w:rsidRPr="00BC587F">
        <w:t>A strong majority of submissions from the public health sector, researchers and academics, members of the public, Governments, others (</w:t>
      </w:r>
      <w:proofErr w:type="gramStart"/>
      <w:r w:rsidRPr="00BC587F">
        <w:t>e.g.</w:t>
      </w:r>
      <w:proofErr w:type="gramEnd"/>
      <w:r w:rsidRPr="00BC587F">
        <w:t xml:space="preserve"> consumer advocates) all supported of this option being implemented on a mandatory basis through the Code. Reasons for supporting a mandatory approach were:</w:t>
      </w:r>
    </w:p>
    <w:p w14:paraId="5859172A" w14:textId="7E20030C" w:rsidR="008D0389" w:rsidRDefault="008D0389" w:rsidP="0024501A">
      <w:pPr>
        <w:pStyle w:val="Bullets"/>
      </w:pPr>
      <w:r>
        <w:t>draws on existing regulatory systems (</w:t>
      </w:r>
      <w:proofErr w:type="gramStart"/>
      <w:r>
        <w:t>i.e.</w:t>
      </w:r>
      <w:proofErr w:type="gramEnd"/>
      <w:r>
        <w:t xml:space="preserve"> the Code and associated enforcement infrastructure);</w:t>
      </w:r>
    </w:p>
    <w:p w14:paraId="6CDA9779" w14:textId="77777777" w:rsidR="008D0389" w:rsidRDefault="008D0389" w:rsidP="0024501A">
      <w:pPr>
        <w:pStyle w:val="Bullets"/>
      </w:pPr>
      <w:r>
        <w:t xml:space="preserve">enables coverage of labelling across all product categories to enable product </w:t>
      </w:r>
      <w:proofErr w:type="gramStart"/>
      <w:r>
        <w:t>comparison;</w:t>
      </w:r>
      <w:proofErr w:type="gramEnd"/>
    </w:p>
    <w:p w14:paraId="18F1E868" w14:textId="75274B65" w:rsidR="008D0389" w:rsidRDefault="008D0389" w:rsidP="0024501A">
      <w:pPr>
        <w:pStyle w:val="Bullets"/>
      </w:pPr>
      <w:r>
        <w:t>allows for effect</w:t>
      </w:r>
      <w:r w:rsidR="00AC4FA7">
        <w:t xml:space="preserve">ive compliance and </w:t>
      </w:r>
      <w:proofErr w:type="gramStart"/>
      <w:r w:rsidR="00AC4FA7">
        <w:t>enforcement;</w:t>
      </w:r>
      <w:proofErr w:type="gramEnd"/>
    </w:p>
    <w:p w14:paraId="136DA38B" w14:textId="77777777" w:rsidR="008D0389" w:rsidRDefault="008D0389" w:rsidP="0024501A">
      <w:pPr>
        <w:pStyle w:val="Bullets"/>
      </w:pPr>
      <w:r>
        <w:t>supports consumer trust; and</w:t>
      </w:r>
    </w:p>
    <w:p w14:paraId="7027C317" w14:textId="77777777" w:rsidR="008D0389" w:rsidRDefault="008D0389" w:rsidP="0024501A">
      <w:pPr>
        <w:pStyle w:val="Bullets"/>
      </w:pPr>
      <w:r>
        <w:t>creates a level playing field for industry.</w:t>
      </w:r>
    </w:p>
    <w:p w14:paraId="40744104" w14:textId="7EC2FEFA" w:rsidR="008D0389" w:rsidRPr="00BC587F" w:rsidRDefault="008D0389" w:rsidP="0024501A">
      <w:r w:rsidRPr="00BC587F">
        <w:t xml:space="preserve">Concerns were </w:t>
      </w:r>
      <w:r w:rsidR="006F6BC6" w:rsidRPr="00BC587F">
        <w:t xml:space="preserve">again </w:t>
      </w:r>
      <w:r w:rsidRPr="00BC587F">
        <w:t>raised that voluntary approaches may be applied inconsistently by industry and predominantly only to products that were low/lower in added sugars</w:t>
      </w:r>
      <w:r w:rsidR="006F6BC6" w:rsidRPr="00BC587F">
        <w:t>.</w:t>
      </w:r>
    </w:p>
    <w:p w14:paraId="46EF1370" w14:textId="77777777" w:rsidR="008D0389" w:rsidRPr="00BC587F" w:rsidRDefault="008D0389" w:rsidP="0024501A">
      <w:r w:rsidRPr="00BC587F">
        <w:t>Submissions from the food industry were mixed in relation to a preferred implementation mechanism for this option. Eleven (11) responses from the food industry were supportive of a voluntary approach for implementing this option. Support for a voluntary approach was on the basis that it allows for industry flexibility, time to adopt new labelling, does not affect trade and can provide a market advantage for products that adopt the proposed labelling. Some industry responses argued that a voluntary approach was an appropriate proportionate response to the issue as they viewed added sugar information to be about allowing consumers to make informed choices, rather than about public health.</w:t>
      </w:r>
    </w:p>
    <w:p w14:paraId="5CC9997C" w14:textId="48F43030" w:rsidR="008D0389" w:rsidRPr="00BC587F" w:rsidRDefault="008D0389" w:rsidP="0024501A">
      <w:r w:rsidRPr="00BC587F">
        <w:t xml:space="preserve">Of the industry submissions that favoured a voluntary approach, ten (10) supported a voluntary Government led code of practice </w:t>
      </w:r>
      <w:proofErr w:type="gramStart"/>
      <w:r w:rsidRPr="00BC587F">
        <w:t>similar to</w:t>
      </w:r>
      <w:proofErr w:type="gramEnd"/>
      <w:r w:rsidRPr="00BC587F">
        <w:t xml:space="preserve"> that used for the HSR as it provided flexibility while ensuring the proposed labelling was applied on a consistent and comparable basis. One (1) industry submission supported an industry-led voluntary initiative to provide industry </w:t>
      </w:r>
      <w:r w:rsidR="00AC4FA7" w:rsidRPr="00BC587F">
        <w:t>flexibility and minimise costs.</w:t>
      </w:r>
    </w:p>
    <w:p w14:paraId="3D12162B" w14:textId="77777777" w:rsidR="008D0389" w:rsidRPr="00BC587F" w:rsidRDefault="008D0389" w:rsidP="0024501A">
      <w:r w:rsidRPr="00BC587F">
        <w:t>Four (4) industry submissions were supportive of a regulatory approach on the basis that the NIP is already a mandatory element of the food label and therefore including added sugars in the NIP through a mandatory approach was logical and efficient. These submitters also cited consistent implementation, industry transparency with consumers, ability for consumers to compare products and a level-playing field for industry as reasons for supporting the regulatory approach.</w:t>
      </w:r>
    </w:p>
    <w:p w14:paraId="79739802" w14:textId="471B39D1" w:rsidR="008D0389" w:rsidRPr="008D0389" w:rsidRDefault="008D0389" w:rsidP="00314A5D">
      <w:pPr>
        <w:pStyle w:val="Heading3"/>
      </w:pPr>
      <w:bookmarkStart w:id="421" w:name="_Toc1121377"/>
      <w:bookmarkStart w:id="422" w:name="_Toc1122403"/>
      <w:bookmarkStart w:id="423" w:name="_Toc1122414"/>
      <w:bookmarkStart w:id="424" w:name="_Toc1122431"/>
      <w:bookmarkStart w:id="425" w:name="_Toc1122607"/>
      <w:bookmarkStart w:id="426" w:name="_Toc1122646"/>
      <w:bookmarkStart w:id="427" w:name="_Toc1122686"/>
      <w:bookmarkStart w:id="428" w:name="_Toc1475651"/>
      <w:bookmarkStart w:id="429" w:name="_Toc1634550"/>
      <w:bookmarkStart w:id="430" w:name="_Toc2252955"/>
      <w:bookmarkStart w:id="431" w:name="_Toc3905628"/>
      <w:r w:rsidRPr="008D0389">
        <w:t xml:space="preserve">Option 5 - Advisory labels for foods high in added </w:t>
      </w:r>
      <w:proofErr w:type="gramStart"/>
      <w:r w:rsidRPr="008D0389">
        <w:t>sugars</w:t>
      </w:r>
      <w:bookmarkEnd w:id="421"/>
      <w:bookmarkEnd w:id="422"/>
      <w:bookmarkEnd w:id="423"/>
      <w:bookmarkEnd w:id="424"/>
      <w:bookmarkEnd w:id="425"/>
      <w:bookmarkEnd w:id="426"/>
      <w:bookmarkEnd w:id="427"/>
      <w:bookmarkEnd w:id="428"/>
      <w:bookmarkEnd w:id="429"/>
      <w:bookmarkEnd w:id="430"/>
      <w:bookmarkEnd w:id="431"/>
      <w:proofErr w:type="gramEnd"/>
    </w:p>
    <w:p w14:paraId="42C9F5EE" w14:textId="77777777" w:rsidR="008D0389" w:rsidRDefault="008D0389" w:rsidP="00314A5D">
      <w:pPr>
        <w:pStyle w:val="Heading4"/>
        <w:rPr>
          <w:lang w:eastAsia="en-GB"/>
        </w:rPr>
      </w:pPr>
      <w:bookmarkStart w:id="432" w:name="_Toc1475652"/>
      <w:bookmarkStart w:id="433" w:name="_Toc1634551"/>
      <w:bookmarkStart w:id="434" w:name="_Toc2252956"/>
      <w:bookmarkStart w:id="435" w:name="_Toc3905629"/>
      <w:r>
        <w:rPr>
          <w:lang w:eastAsia="en-GB"/>
        </w:rPr>
        <w:t>F</w:t>
      </w:r>
      <w:r w:rsidRPr="005D54E6">
        <w:rPr>
          <w:lang w:eastAsia="en-GB"/>
        </w:rPr>
        <w:t>eedback on this option</w:t>
      </w:r>
      <w:bookmarkEnd w:id="432"/>
      <w:bookmarkEnd w:id="433"/>
      <w:bookmarkEnd w:id="434"/>
      <w:bookmarkEnd w:id="435"/>
    </w:p>
    <w:p w14:paraId="58EC7138" w14:textId="77777777" w:rsidR="008D0389" w:rsidRPr="0096559A" w:rsidRDefault="008D0389" w:rsidP="00314A5D">
      <w:pPr>
        <w:pStyle w:val="Heading5"/>
      </w:pPr>
      <w:r w:rsidRPr="00396D0B">
        <w:t>Food industry</w:t>
      </w:r>
    </w:p>
    <w:p w14:paraId="01C04F4F" w14:textId="72359BAB" w:rsidR="008D0389" w:rsidRPr="00BC587F" w:rsidRDefault="008D0389" w:rsidP="0024501A">
      <w:r w:rsidRPr="00BC587F">
        <w:t xml:space="preserve">The food industry overwhelmingly did not support this option, with no submissions </w:t>
      </w:r>
      <w:r w:rsidR="001F3D13" w:rsidRPr="00BC587F">
        <w:t>considering the option</w:t>
      </w:r>
      <w:r w:rsidRPr="00BC587F">
        <w:t xml:space="preserve"> would be effective in achieving the desired outcome.</w:t>
      </w:r>
    </w:p>
    <w:p w14:paraId="235087C0" w14:textId="0A7EEDA9" w:rsidR="00AC4FA7" w:rsidRPr="00BC587F" w:rsidRDefault="008D0389" w:rsidP="0024501A">
      <w:r w:rsidRPr="00BC587F">
        <w:t>Fourteen (14) submissions highlighted concerns relating to the disproportionate focus of this option on added sugars relative to the available evidence. Other concerns mentioned included the potential negative impact on trade, and concerns that this option may replace the HSR, resultin</w:t>
      </w:r>
      <w:r w:rsidR="00AC4FA7" w:rsidRPr="00BC587F">
        <w:t>g in less consumer information.</w:t>
      </w:r>
    </w:p>
    <w:p w14:paraId="7ACDBDAC" w14:textId="5A39AF6B" w:rsidR="008D0389" w:rsidRPr="00396D0B" w:rsidRDefault="008D0389" w:rsidP="00314A5D">
      <w:pPr>
        <w:pStyle w:val="Heading5"/>
      </w:pPr>
      <w:r w:rsidRPr="00396D0B">
        <w:t>Public health</w:t>
      </w:r>
    </w:p>
    <w:p w14:paraId="41F256A9" w14:textId="77777777" w:rsidR="008D0389" w:rsidRPr="00BC587F" w:rsidRDefault="008D0389" w:rsidP="0024501A">
      <w:r w:rsidRPr="00BC587F">
        <w:t>Public health submissions had mixed views on the merit of this option. While most submissions acknowledged that this option would be partially effective (15) or effective in combination with other options (13), some submitters were concerned that this option focused too heavily on added sugars, which may result in consumption behaviours not aligned with the wider dietary guidelines. Although, some submissions noted that this option could be expanded to include saturated fat and sodium to reduce emphasis on added sugars and provide a whole-of-diet approach.</w:t>
      </w:r>
    </w:p>
    <w:p w14:paraId="40D48162" w14:textId="77777777" w:rsidR="00AC4FA7" w:rsidRPr="00BC587F" w:rsidRDefault="008D0389" w:rsidP="0024501A">
      <w:r w:rsidRPr="00BC587F">
        <w:t>Those submissions that believed this option may be effective in combination with another option were varied in their sugges</w:t>
      </w:r>
      <w:r w:rsidR="00AC4FA7" w:rsidRPr="00BC587F">
        <w:t>ted option to be combined with.</w:t>
      </w:r>
    </w:p>
    <w:p w14:paraId="75F0B034" w14:textId="36C878F5" w:rsidR="008D0389" w:rsidRPr="00396D0B" w:rsidRDefault="00AC4FA7" w:rsidP="00314A5D">
      <w:pPr>
        <w:pStyle w:val="Heading5"/>
      </w:pPr>
      <w:r>
        <w:t>Government</w:t>
      </w:r>
    </w:p>
    <w:p w14:paraId="50BD623D" w14:textId="77777777" w:rsidR="00AC4FA7" w:rsidRPr="00BC587F" w:rsidRDefault="008D0389" w:rsidP="0024501A">
      <w:r w:rsidRPr="00BC587F">
        <w:t>Government submissions held some concerns regarding this option. The key concern was the potential for this option to undermine or compete with the HSR, which governments have invested significant</w:t>
      </w:r>
      <w:r w:rsidR="007978BF" w:rsidRPr="00BC587F">
        <w:t xml:space="preserve"> time and financial resources. As with other stakeholder groups, t</w:t>
      </w:r>
      <w:r w:rsidRPr="00BC587F">
        <w:t>here were considerable concerns about the overemphasis on added sugars relative to other risk nutrients, the growing competition for label space due to both regulatory and voluntary labelling initiatives and the quality of evidence to support this option.</w:t>
      </w:r>
    </w:p>
    <w:p w14:paraId="7F4BC982" w14:textId="234CB4B6" w:rsidR="008D0389" w:rsidRPr="00396D0B" w:rsidRDefault="008D0389" w:rsidP="00314A5D">
      <w:pPr>
        <w:pStyle w:val="Heading5"/>
      </w:pPr>
      <w:r w:rsidRPr="00396D0B">
        <w:t xml:space="preserve">Others </w:t>
      </w:r>
      <w:proofErr w:type="gramStart"/>
      <w:r w:rsidRPr="00396D0B">
        <w:t>e.g.</w:t>
      </w:r>
      <w:proofErr w:type="gramEnd"/>
      <w:r w:rsidRPr="00396D0B">
        <w:t xml:space="preserve"> consumer advocates</w:t>
      </w:r>
    </w:p>
    <w:p w14:paraId="197E84C7" w14:textId="77777777" w:rsidR="008D0389" w:rsidRPr="00BC587F" w:rsidRDefault="008D0389" w:rsidP="0024501A">
      <w:r w:rsidRPr="00BC587F">
        <w:t>Consumer advocates supported this option and felt that it would be effective in helping consumers make healthier food choices consistent with the dietary guidelines. This includes helping consumers understand excess nutrient intake in packaged foods, improve their ability to identify a healthier choice, increase their intention to buy a healthier choice, or increase their intention to not buy an unhealthy option</w:t>
      </w:r>
      <w:r w:rsidRPr="00282CFC">
        <w:rPr>
          <w:vertAlign w:val="superscript"/>
        </w:rPr>
        <w:footnoteReference w:id="265"/>
      </w:r>
      <w:r w:rsidRPr="00BC587F">
        <w:t>.</w:t>
      </w:r>
    </w:p>
    <w:p w14:paraId="25B88635" w14:textId="77777777" w:rsidR="008D0389" w:rsidRPr="00C06AA5" w:rsidRDefault="008D0389" w:rsidP="00314A5D">
      <w:pPr>
        <w:pStyle w:val="Heading5"/>
      </w:pPr>
      <w:r w:rsidRPr="00762D9A">
        <w:t>Consumers</w:t>
      </w:r>
    </w:p>
    <w:p w14:paraId="330176C5" w14:textId="77777777" w:rsidR="008D0389" w:rsidRPr="00BC587F" w:rsidRDefault="008D0389" w:rsidP="0024501A">
      <w:r w:rsidRPr="00BC587F">
        <w:t xml:space="preserve">Individual members of the public also held mixed views of this option. </w:t>
      </w:r>
      <w:proofErr w:type="gramStart"/>
      <w:r w:rsidRPr="00BC587F">
        <w:t>The majority of</w:t>
      </w:r>
      <w:proofErr w:type="gramEnd"/>
      <w:r w:rsidRPr="00BC587F">
        <w:t xml:space="preserve"> individuals supported this option and believed that it would be effective either implemented on its own (58) or in combination with another option (7). The main reasoning for this position was that it would be simple and easy to understand. </w:t>
      </w:r>
      <w:proofErr w:type="gramStart"/>
      <w:r w:rsidRPr="00BC587F">
        <w:t>However</w:t>
      </w:r>
      <w:proofErr w:type="gramEnd"/>
      <w:r w:rsidRPr="00BC587F">
        <w:t xml:space="preserve"> some individuals were concerned that this option did not provide sufficient information and did not help to identify foods that are high in other risk nutrients.</w:t>
      </w:r>
    </w:p>
    <w:p w14:paraId="6EC4861B" w14:textId="6B263D49" w:rsidR="008D0389" w:rsidRPr="00BC587F" w:rsidRDefault="008D0389" w:rsidP="0024501A">
      <w:r w:rsidRPr="00BC587F">
        <w:t xml:space="preserve">The </w:t>
      </w:r>
      <w:r w:rsidR="0075676E" w:rsidRPr="00BC587F">
        <w:t xml:space="preserve">2018 </w:t>
      </w:r>
      <w:r w:rsidRPr="00BC587F">
        <w:t>CHOICE survey reported that 73% of people surveyed for this consultation supported this option</w:t>
      </w:r>
      <w:r w:rsidR="0075676E" w:rsidRPr="00282CFC">
        <w:rPr>
          <w:vertAlign w:val="superscript"/>
        </w:rPr>
        <w:footnoteReference w:id="266"/>
      </w:r>
      <w:r w:rsidR="00AC4FA7" w:rsidRPr="00BC587F">
        <w:t>.</w:t>
      </w:r>
    </w:p>
    <w:p w14:paraId="7DC6BEED" w14:textId="77777777" w:rsidR="008D0389" w:rsidRPr="00C06AA5" w:rsidRDefault="008D0389" w:rsidP="00314A5D">
      <w:pPr>
        <w:pStyle w:val="Heading5"/>
      </w:pPr>
      <w:r>
        <w:t>Preferred i</w:t>
      </w:r>
      <w:r w:rsidRPr="00C06AA5">
        <w:t>mplementation mechanism</w:t>
      </w:r>
    </w:p>
    <w:p w14:paraId="4C9775FE" w14:textId="3F8DAC49" w:rsidR="008D0389" w:rsidRPr="00BC587F" w:rsidRDefault="008D0389" w:rsidP="0024501A">
      <w:r w:rsidRPr="00BC587F">
        <w:t xml:space="preserve">Most food industry submissions noted that they did not support this option, and as such, did not specify a preferred implementation approach. Of those that did specify a preferred mechanism, five (5) industry submissions </w:t>
      </w:r>
      <w:r w:rsidR="00AC4FA7" w:rsidRPr="00BC587F">
        <w:t>supported a voluntary approach.</w:t>
      </w:r>
    </w:p>
    <w:p w14:paraId="699680B1" w14:textId="7A1D9F3B" w:rsidR="008D0389" w:rsidRPr="00BC587F" w:rsidRDefault="008D0389" w:rsidP="0024501A">
      <w:proofErr w:type="gramStart"/>
      <w:r w:rsidRPr="00BC587F">
        <w:t>The majority of</w:t>
      </w:r>
      <w:proofErr w:type="gramEnd"/>
      <w:r w:rsidRPr="00BC587F">
        <w:t xml:space="preserve"> submissions from public health, research, government and members of the public indicated that a regulatory approach would be the pref</w:t>
      </w:r>
      <w:r w:rsidR="00AC4FA7" w:rsidRPr="00BC587F">
        <w:t>erred implementation mechanism.</w:t>
      </w:r>
    </w:p>
    <w:p w14:paraId="4DD3E3F6" w14:textId="4BD3A2A7" w:rsidR="008D0389" w:rsidRPr="00BC587F" w:rsidRDefault="008D0389" w:rsidP="0024501A">
      <w:r w:rsidRPr="00BC587F">
        <w:t>Submissions noted that a regulatory approach would be required to ensure sufficient coverage, given the undesirable nature of this option for food companies. It was also noted that voluntary mechanisms may struggle to achieve sufficient coverage, as demonstrated by the current uptake level of the HSR</w:t>
      </w:r>
      <w:r w:rsidRPr="00282CFC">
        <w:rPr>
          <w:vertAlign w:val="superscript"/>
        </w:rPr>
        <w:footnoteReference w:id="267"/>
      </w:r>
      <w:r w:rsidRPr="00BC587F">
        <w:t>. A regulatory approach would also be more likely to support consistent application of the advisory label, which may support greater consumer understanding</w:t>
      </w:r>
      <w:r w:rsidRPr="00282CFC">
        <w:rPr>
          <w:vertAlign w:val="superscript"/>
        </w:rPr>
        <w:footnoteReference w:id="268"/>
      </w:r>
      <w:r w:rsidRPr="00BC587F">
        <w:t xml:space="preserve">. Government endorsement under a regulatory approach may also support consumer trust in the system. This was further supported </w:t>
      </w:r>
      <w:r w:rsidR="007978BF" w:rsidRPr="00BC587F">
        <w:t xml:space="preserve">by comments from members of the </w:t>
      </w:r>
      <w:r w:rsidRPr="00BC587F">
        <w:t>public</w:t>
      </w:r>
      <w:r w:rsidR="001F3D13" w:rsidRPr="00BC587F">
        <w:t>.</w:t>
      </w:r>
    </w:p>
    <w:p w14:paraId="448D3590" w14:textId="77777777" w:rsidR="008D0389" w:rsidRPr="007530FE" w:rsidRDefault="008D0389" w:rsidP="00314A5D">
      <w:pPr>
        <w:pStyle w:val="Heading4"/>
      </w:pPr>
      <w:bookmarkStart w:id="436" w:name="_Toc1475653"/>
      <w:bookmarkStart w:id="437" w:name="_Toc1634552"/>
      <w:bookmarkStart w:id="438" w:name="_Toc2252957"/>
      <w:bookmarkStart w:id="439" w:name="_Toc3905630"/>
      <w:r w:rsidRPr="007530FE">
        <w:t>Impacts of this option</w:t>
      </w:r>
      <w:bookmarkEnd w:id="436"/>
      <w:bookmarkEnd w:id="437"/>
      <w:bookmarkEnd w:id="438"/>
      <w:bookmarkEnd w:id="439"/>
    </w:p>
    <w:p w14:paraId="7E573B44" w14:textId="77777777" w:rsidR="008212B0" w:rsidRPr="0070084E" w:rsidRDefault="008212B0" w:rsidP="00314A5D">
      <w:pPr>
        <w:pStyle w:val="Heading5"/>
      </w:pPr>
      <w:r w:rsidRPr="0070084E">
        <w:t>Impact</w:t>
      </w:r>
      <w:r>
        <w:t>s</w:t>
      </w:r>
      <w:r w:rsidRPr="0070084E">
        <w:t xml:space="preserve"> on the food </w:t>
      </w:r>
      <w:proofErr w:type="gramStart"/>
      <w:r w:rsidRPr="0070084E">
        <w:t>industry</w:t>
      </w:r>
      <w:proofErr w:type="gramEnd"/>
    </w:p>
    <w:p w14:paraId="738995DD" w14:textId="77777777" w:rsidR="008212B0" w:rsidRPr="00BC587F" w:rsidRDefault="008212B0" w:rsidP="0024501A">
      <w:r w:rsidRPr="00BC587F">
        <w:t>Two thirds (18) of food industry submissions stated that they would be significantly impacted by this option. Industry noted that cost impacts to industry included not only those associated with new packaging, but also for existing packaging write off and labour costs.</w:t>
      </w:r>
    </w:p>
    <w:p w14:paraId="4530D4A0" w14:textId="6D1F851C" w:rsidR="008212B0" w:rsidRPr="00BC587F" w:rsidRDefault="008212B0" w:rsidP="0024501A">
      <w:r w:rsidRPr="00BC587F">
        <w:t>Food industry submissions also noted that this option would have significant trade impacts. Few cost estimates for this option were provided by food industry. However, when provided, these estimates were consistent with feedback provided regarding label changes in option 3.</w:t>
      </w:r>
    </w:p>
    <w:p w14:paraId="7D59E9B8" w14:textId="77777777" w:rsidR="008212B0" w:rsidRPr="0070084E" w:rsidRDefault="008212B0" w:rsidP="00314A5D">
      <w:pPr>
        <w:pStyle w:val="Heading5"/>
      </w:pPr>
      <w:r>
        <w:t xml:space="preserve">Impacts on public </w:t>
      </w:r>
      <w:proofErr w:type="gramStart"/>
      <w:r>
        <w:t>health</w:t>
      </w:r>
      <w:proofErr w:type="gramEnd"/>
    </w:p>
    <w:p w14:paraId="23716824" w14:textId="46D2357D" w:rsidR="008212B0" w:rsidRPr="00BC587F" w:rsidRDefault="008212B0" w:rsidP="0024501A">
      <w:r w:rsidRPr="00BC587F">
        <w:t>Public health submissions, particularly those that provide health and nutritional advice to consumers, noted that due to the significant attention of this option</w:t>
      </w:r>
      <w:r w:rsidRPr="00BC587F" w:rsidDel="002B29A5">
        <w:t xml:space="preserve"> </w:t>
      </w:r>
      <w:r w:rsidRPr="00BC587F">
        <w:t>on sugar, that additional education may be required by health professionals to ensure there is not a distorted understanding of sugars in the diet. Education may also be required to ensure that consumers are aware of the importance to also reduce consumption of other risk nutrients such as saturated fat and sodium.</w:t>
      </w:r>
    </w:p>
    <w:p w14:paraId="50B4F66F" w14:textId="77777777" w:rsidR="008212B0" w:rsidRPr="0070084E" w:rsidRDefault="008212B0" w:rsidP="00314A5D">
      <w:pPr>
        <w:pStyle w:val="Heading5"/>
      </w:pPr>
      <w:r w:rsidRPr="0070084E">
        <w:t>Impacts o</w:t>
      </w:r>
      <w:r>
        <w:t>n</w:t>
      </w:r>
      <w:r w:rsidRPr="0070084E">
        <w:t xml:space="preserve"> </w:t>
      </w:r>
      <w:proofErr w:type="gramStart"/>
      <w:r>
        <w:t>government</w:t>
      </w:r>
      <w:proofErr w:type="gramEnd"/>
    </w:p>
    <w:p w14:paraId="3166CBCA" w14:textId="77777777" w:rsidR="00AC4FA7" w:rsidRPr="00BC587F" w:rsidRDefault="008212B0" w:rsidP="0024501A">
      <w:r w:rsidRPr="00BC587F">
        <w:t>Government submissions commented that additional resources would be required to support compliance and enforcement of this option. Additionally, one government submission stated that some resources would also be required to support consumer understanding of a new</w:t>
      </w:r>
      <w:r w:rsidR="00EA7E1C" w:rsidRPr="00BC587F">
        <w:t xml:space="preserve"> </w:t>
      </w:r>
      <w:r w:rsidRPr="00BC587F">
        <w:t>label element, such as advisory labels.</w:t>
      </w:r>
    </w:p>
    <w:p w14:paraId="784CB6A4" w14:textId="0A852846" w:rsidR="008D0389" w:rsidRPr="00AC4FA7" w:rsidRDefault="008D0389" w:rsidP="00314A5D">
      <w:pPr>
        <w:pStyle w:val="Heading5"/>
      </w:pPr>
      <w:r w:rsidRPr="0070084E">
        <w:t>Impact</w:t>
      </w:r>
      <w:r>
        <w:t>s</w:t>
      </w:r>
      <w:r w:rsidRPr="0070084E">
        <w:t xml:space="preserve"> on </w:t>
      </w:r>
      <w:proofErr w:type="gramStart"/>
      <w:r w:rsidRPr="0070084E">
        <w:t>consumers</w:t>
      </w:r>
      <w:proofErr w:type="gramEnd"/>
    </w:p>
    <w:p w14:paraId="3207AFE9" w14:textId="7B7CB941" w:rsidR="008D0389" w:rsidRPr="00BC587F" w:rsidRDefault="008D0389" w:rsidP="0024501A">
      <w:r w:rsidRPr="00BC587F">
        <w:t>Members of the public held mixed views on how this option would impact their ability to make informed food choices. Several individuals commented that this option would be easy to identify and simple to understand. However, other members of the public considered that this option would not provide sufficient information, and that there was limited abili</w:t>
      </w:r>
      <w:r w:rsidR="00282CFC">
        <w:t>ty to compare between products.</w:t>
      </w:r>
    </w:p>
    <w:p w14:paraId="6BF43AB5" w14:textId="77777777" w:rsidR="008D0389" w:rsidRPr="00BC587F" w:rsidRDefault="008D0389" w:rsidP="0024501A">
      <w:r w:rsidRPr="00BC587F">
        <w:t xml:space="preserve">Public health and researcher submissions noted that this option was clear, did not require interpretation and would likely have the impact of being readily understood and time saving for consumers. It was also noted by several submissions that due to the simple and interpretive nature of this </w:t>
      </w:r>
      <w:proofErr w:type="gramStart"/>
      <w:r w:rsidRPr="00BC587F">
        <w:t>option,</w:t>
      </w:r>
      <w:proofErr w:type="gramEnd"/>
      <w:r w:rsidRPr="00BC587F">
        <w:t xml:space="preserve"> the impact would likely be more equitable and better understood by a wider proportion of the population including children and disadvantaged individuals with lower literacy and numeracy.</w:t>
      </w:r>
    </w:p>
    <w:p w14:paraId="137D3362" w14:textId="5A6643FA" w:rsidR="008D0389" w:rsidRPr="00BC587F" w:rsidRDefault="008D0389" w:rsidP="0024501A">
      <w:r w:rsidRPr="00BC587F">
        <w:t>Several studies</w:t>
      </w:r>
      <w:r w:rsidRPr="00282CFC">
        <w:rPr>
          <w:vertAlign w:val="superscript"/>
        </w:rPr>
        <w:footnoteReference w:id="269"/>
      </w:r>
      <w:r w:rsidRPr="00282CFC">
        <w:rPr>
          <w:vertAlign w:val="superscript"/>
        </w:rPr>
        <w:t>,</w:t>
      </w:r>
      <w:r w:rsidRPr="00282CFC">
        <w:rPr>
          <w:vertAlign w:val="superscript"/>
        </w:rPr>
        <w:footnoteReference w:id="270"/>
      </w:r>
      <w:r w:rsidRPr="00282CFC">
        <w:rPr>
          <w:vertAlign w:val="superscript"/>
        </w:rPr>
        <w:t>,</w:t>
      </w:r>
      <w:r w:rsidRPr="00282CFC">
        <w:rPr>
          <w:vertAlign w:val="superscript"/>
        </w:rPr>
        <w:footnoteReference w:id="271"/>
      </w:r>
      <w:r w:rsidRPr="00282CFC">
        <w:rPr>
          <w:vertAlign w:val="superscript"/>
        </w:rPr>
        <w:t>,</w:t>
      </w:r>
      <w:r w:rsidRPr="00282CFC">
        <w:rPr>
          <w:vertAlign w:val="superscript"/>
        </w:rPr>
        <w:footnoteReference w:id="272"/>
      </w:r>
      <w:r w:rsidRPr="00282CFC">
        <w:rPr>
          <w:vertAlign w:val="superscript"/>
        </w:rPr>
        <w:t>,</w:t>
      </w:r>
      <w:r w:rsidRPr="00282CFC">
        <w:rPr>
          <w:vertAlign w:val="superscript"/>
        </w:rPr>
        <w:footnoteReference w:id="273"/>
      </w:r>
      <w:r w:rsidRPr="00282CFC">
        <w:rPr>
          <w:vertAlign w:val="superscript"/>
        </w:rPr>
        <w:t>,</w:t>
      </w:r>
      <w:r w:rsidRPr="00282CFC">
        <w:rPr>
          <w:vertAlign w:val="superscript"/>
        </w:rPr>
        <w:footnoteReference w:id="274"/>
      </w:r>
      <w:r w:rsidRPr="00282CFC">
        <w:rPr>
          <w:vertAlign w:val="superscript"/>
        </w:rPr>
        <w:t>,</w:t>
      </w:r>
      <w:r w:rsidRPr="00282CFC">
        <w:rPr>
          <w:vertAlign w:val="superscript"/>
        </w:rPr>
        <w:footnoteReference w:id="275"/>
      </w:r>
      <w:r w:rsidRPr="00BC587F">
        <w:t xml:space="preserve"> were cited, which demonstrated advisory or warning labels, particularly those with a graphic element, were effective in informing </w:t>
      </w:r>
      <w:r w:rsidR="00F97D5F" w:rsidRPr="00BC587F">
        <w:t>about</w:t>
      </w:r>
      <w:r w:rsidRPr="00BC587F">
        <w:t xml:space="preserve"> the health risks associated with excess sugar consumption and in infl</w:t>
      </w:r>
      <w:r w:rsidR="00AC4FA7" w:rsidRPr="00BC587F">
        <w:t>uencing healthier food choices.</w:t>
      </w:r>
    </w:p>
    <w:p w14:paraId="4528F35E" w14:textId="15611A13" w:rsidR="008D0389" w:rsidRPr="00BC587F" w:rsidRDefault="008D0389" w:rsidP="0024501A">
      <w:r w:rsidRPr="00BC587F">
        <w:t xml:space="preserve">Some food industry submissions noted that evidence for the impact of advisory labels on consumer behaviour is limited to </w:t>
      </w:r>
      <w:r w:rsidR="009D7CAD" w:rsidRPr="00BC587F">
        <w:t xml:space="preserve">sugary </w:t>
      </w:r>
      <w:r w:rsidR="00224E44" w:rsidRPr="00BC587F">
        <w:t>beverages</w:t>
      </w:r>
      <w:r w:rsidR="009D7CAD" w:rsidRPr="00BC587F">
        <w:t xml:space="preserve"> / sugar-sweetened beverage</w:t>
      </w:r>
      <w:r w:rsidRPr="00BC587F">
        <w:t xml:space="preserve"> consumption, and that the impact on other foods is unknown. </w:t>
      </w:r>
      <w:r w:rsidR="0082427C" w:rsidRPr="00BC587F">
        <w:t>Some submissions</w:t>
      </w:r>
      <w:r w:rsidRPr="00BC587F">
        <w:t xml:space="preserve"> noted that while advisory labels on food products had been introduced in several countries, an evaluation of the impact of any of these initiatives had not been complete</w:t>
      </w:r>
      <w:r w:rsidR="007978BF" w:rsidRPr="00BC587F">
        <w:t>d.</w:t>
      </w:r>
    </w:p>
    <w:p w14:paraId="4ACC6505" w14:textId="0BCF7B9F" w:rsidR="008D0389" w:rsidRPr="00BC587F" w:rsidRDefault="008D0389" w:rsidP="0024501A">
      <w:r w:rsidRPr="00BC587F">
        <w:t>Both food industry and government submissions noted that advisory labels for added sugars (which are related to long-term negative health outcomes), may impact consumers’ perception of the importance of other advisory labels related to more acute threats, such as allergens. Submissions raised concerns that consumers may ignore or place less importance on existing acute risk advisory statements due to the association with less immediate threats.</w:t>
      </w:r>
    </w:p>
    <w:p w14:paraId="5414FFFE" w14:textId="5AC254AF" w:rsidR="008D0389" w:rsidRPr="00AC4FA7" w:rsidRDefault="008D0389" w:rsidP="00314A5D">
      <w:pPr>
        <w:pStyle w:val="Heading3"/>
      </w:pPr>
      <w:bookmarkStart w:id="440" w:name="_Toc1121378"/>
      <w:bookmarkStart w:id="441" w:name="_Toc1122404"/>
      <w:bookmarkStart w:id="442" w:name="_Toc1122415"/>
      <w:bookmarkStart w:id="443" w:name="_Toc1122432"/>
      <w:bookmarkStart w:id="444" w:name="_Toc1122608"/>
      <w:bookmarkStart w:id="445" w:name="_Toc1122647"/>
      <w:bookmarkStart w:id="446" w:name="_Toc1122687"/>
      <w:bookmarkStart w:id="447" w:name="_Toc1475654"/>
      <w:bookmarkStart w:id="448" w:name="_Toc1634553"/>
      <w:bookmarkStart w:id="449" w:name="_Toc2252958"/>
      <w:bookmarkStart w:id="450" w:name="_Toc3905631"/>
      <w:r w:rsidRPr="008D0389">
        <w:t xml:space="preserve">Option 6 - Pictorial approaches to convey the amount or types of sugars in a serving of </w:t>
      </w:r>
      <w:proofErr w:type="gramStart"/>
      <w:r w:rsidRPr="008D0389">
        <w:t>food</w:t>
      </w:r>
      <w:bookmarkEnd w:id="440"/>
      <w:bookmarkEnd w:id="441"/>
      <w:bookmarkEnd w:id="442"/>
      <w:bookmarkEnd w:id="443"/>
      <w:bookmarkEnd w:id="444"/>
      <w:bookmarkEnd w:id="445"/>
      <w:bookmarkEnd w:id="446"/>
      <w:bookmarkEnd w:id="447"/>
      <w:bookmarkEnd w:id="448"/>
      <w:bookmarkEnd w:id="449"/>
      <w:bookmarkEnd w:id="450"/>
      <w:proofErr w:type="gramEnd"/>
    </w:p>
    <w:p w14:paraId="44AD9DBF" w14:textId="77777777" w:rsidR="008D0389" w:rsidRPr="00C44599" w:rsidRDefault="008D0389" w:rsidP="00314A5D">
      <w:pPr>
        <w:pStyle w:val="Heading4"/>
        <w:rPr>
          <w:lang w:eastAsia="en-GB"/>
        </w:rPr>
      </w:pPr>
      <w:bookmarkStart w:id="451" w:name="_Toc1475655"/>
      <w:bookmarkStart w:id="452" w:name="_Toc1634554"/>
      <w:bookmarkStart w:id="453" w:name="_Toc2252959"/>
      <w:bookmarkStart w:id="454" w:name="_Toc3905632"/>
      <w:r>
        <w:rPr>
          <w:lang w:eastAsia="en-GB"/>
        </w:rPr>
        <w:t>F</w:t>
      </w:r>
      <w:r w:rsidRPr="00C44599">
        <w:rPr>
          <w:lang w:eastAsia="en-GB"/>
        </w:rPr>
        <w:t>eedback on this option</w:t>
      </w:r>
      <w:bookmarkEnd w:id="451"/>
      <w:bookmarkEnd w:id="452"/>
      <w:bookmarkEnd w:id="453"/>
      <w:bookmarkEnd w:id="454"/>
    </w:p>
    <w:p w14:paraId="5389867F" w14:textId="77777777" w:rsidR="008D0389" w:rsidRPr="009753AC" w:rsidRDefault="008D0389" w:rsidP="00314A5D">
      <w:pPr>
        <w:pStyle w:val="Heading5"/>
      </w:pPr>
      <w:r w:rsidRPr="009753AC">
        <w:t>Food industry</w:t>
      </w:r>
    </w:p>
    <w:p w14:paraId="5DF9955E" w14:textId="77777777" w:rsidR="008D0389" w:rsidRPr="00BC587F" w:rsidRDefault="008D0389" w:rsidP="0024501A">
      <w:r w:rsidRPr="00BC587F">
        <w:t xml:space="preserve">The food industry </w:t>
      </w:r>
      <w:proofErr w:type="gramStart"/>
      <w:r w:rsidRPr="00BC587F">
        <w:t>were</w:t>
      </w:r>
      <w:proofErr w:type="gramEnd"/>
      <w:r w:rsidRPr="00BC587F">
        <w:t xml:space="preserve"> the least favourable towards this option, with no industry submissions saying it would be effective, and seventeen (17) saying it would be not effective.</w:t>
      </w:r>
    </w:p>
    <w:p w14:paraId="4AE4322E" w14:textId="7B3A7BBE" w:rsidR="008D0389" w:rsidRPr="00BC587F" w:rsidRDefault="008D0389" w:rsidP="0024501A">
      <w:r w:rsidRPr="00BC587F">
        <w:t xml:space="preserve">Issues raised by </w:t>
      </w:r>
      <w:r w:rsidR="00AC4FA7" w:rsidRPr="00BC587F">
        <w:t>food industry submissions were:</w:t>
      </w:r>
    </w:p>
    <w:p w14:paraId="2F65F24B" w14:textId="77777777" w:rsidR="008D0389" w:rsidRPr="00E170DA" w:rsidRDefault="008D0389" w:rsidP="0024501A">
      <w:pPr>
        <w:pStyle w:val="Bullets"/>
      </w:pPr>
      <w:r w:rsidRPr="00E170DA">
        <w:t xml:space="preserve">the potential confusion another labelling element could cause, especially when combined with the </w:t>
      </w:r>
      <w:proofErr w:type="gramStart"/>
      <w:r w:rsidRPr="00E170DA">
        <w:t>HSR;</w:t>
      </w:r>
      <w:proofErr w:type="gramEnd"/>
    </w:p>
    <w:p w14:paraId="750CEA14" w14:textId="007BCAE1" w:rsidR="008D0389" w:rsidRPr="00E170DA" w:rsidRDefault="008D0389" w:rsidP="0024501A">
      <w:pPr>
        <w:pStyle w:val="Bullets"/>
      </w:pPr>
      <w:r w:rsidRPr="00E170DA">
        <w:t>the</w:t>
      </w:r>
      <w:r w:rsidR="00282CFC">
        <w:t xml:space="preserve"> lack of space for a new </w:t>
      </w:r>
      <w:proofErr w:type="gramStart"/>
      <w:r w:rsidR="00282CFC">
        <w:t>label;</w:t>
      </w:r>
      <w:proofErr w:type="gramEnd"/>
    </w:p>
    <w:p w14:paraId="0B7D025F" w14:textId="77777777" w:rsidR="008D0389" w:rsidRPr="00E170DA" w:rsidRDefault="008D0389" w:rsidP="0024501A">
      <w:pPr>
        <w:pStyle w:val="Bullets"/>
      </w:pPr>
      <w:r w:rsidRPr="00E170DA">
        <w:t xml:space="preserve">no agreed daily intake reference amount for added </w:t>
      </w:r>
      <w:proofErr w:type="gramStart"/>
      <w:r w:rsidRPr="00E170DA">
        <w:t>sugars;</w:t>
      </w:r>
      <w:proofErr w:type="gramEnd"/>
    </w:p>
    <w:p w14:paraId="55D0A8CA" w14:textId="77777777" w:rsidR="008D0389" w:rsidRPr="00E170DA" w:rsidRDefault="008D0389" w:rsidP="0024501A">
      <w:pPr>
        <w:pStyle w:val="Bullets"/>
      </w:pPr>
      <w:r w:rsidRPr="00E170DA">
        <w:t xml:space="preserve">the lower level of accuracy of teaspoons compared to </w:t>
      </w:r>
      <w:proofErr w:type="gramStart"/>
      <w:r w:rsidRPr="00E170DA">
        <w:t>grams;</w:t>
      </w:r>
      <w:proofErr w:type="gramEnd"/>
    </w:p>
    <w:p w14:paraId="3C33ACCB" w14:textId="77777777" w:rsidR="00E170DA" w:rsidRPr="00E170DA" w:rsidRDefault="008D0389" w:rsidP="0024501A">
      <w:pPr>
        <w:pStyle w:val="Bullets"/>
      </w:pPr>
      <w:r w:rsidRPr="00E170DA">
        <w:t xml:space="preserve">the focus on added sugars may negatively impact on </w:t>
      </w:r>
      <w:r w:rsidR="00AC4FA7" w:rsidRPr="00E170DA">
        <w:t>the whole-of-diet approach; and</w:t>
      </w:r>
    </w:p>
    <w:p w14:paraId="73C69B21" w14:textId="570FB194" w:rsidR="00FC5BA7" w:rsidRPr="00E170DA" w:rsidRDefault="008D0389" w:rsidP="0024501A">
      <w:pPr>
        <w:pStyle w:val="Bullets"/>
      </w:pPr>
      <w:r w:rsidRPr="00E170DA">
        <w:t xml:space="preserve">the lack of evidence on effectiveness other than for </w:t>
      </w:r>
      <w:r w:rsidR="009D7CAD" w:rsidRPr="00E170DA">
        <w:t xml:space="preserve">sugary </w:t>
      </w:r>
      <w:r w:rsidR="00224E44" w:rsidRPr="00E170DA">
        <w:t>beverages</w:t>
      </w:r>
      <w:r w:rsidR="009D7CAD" w:rsidRPr="00E170DA">
        <w:t xml:space="preserve"> / sugar</w:t>
      </w:r>
      <w:r w:rsidR="00D10848">
        <w:noBreakHyphen/>
      </w:r>
      <w:r w:rsidR="009D7CAD" w:rsidRPr="00E170DA">
        <w:t>sweetened beverages</w:t>
      </w:r>
      <w:r w:rsidR="00AC4FA7" w:rsidRPr="00E170DA">
        <w:t>.</w:t>
      </w:r>
    </w:p>
    <w:p w14:paraId="52762F7B" w14:textId="1421E7CF" w:rsidR="008D0389" w:rsidRPr="00FC5BA7" w:rsidRDefault="008D0389" w:rsidP="00314A5D">
      <w:pPr>
        <w:pStyle w:val="Heading5"/>
      </w:pPr>
      <w:r w:rsidRPr="009753AC">
        <w:t>Public health</w:t>
      </w:r>
    </w:p>
    <w:p w14:paraId="1B086365" w14:textId="64F3EAAD" w:rsidR="008D0389" w:rsidRPr="00BC587F" w:rsidRDefault="008D0389" w:rsidP="0024501A">
      <w:r w:rsidRPr="00BC587F">
        <w:t xml:space="preserve">Public health submissions were mixed in their support for this option, with the major positives being that it was easier to understand than other labelling </w:t>
      </w:r>
      <w:proofErr w:type="gramStart"/>
      <w:r w:rsidRPr="00BC587F">
        <w:t>options, and</w:t>
      </w:r>
      <w:proofErr w:type="gramEnd"/>
      <w:r w:rsidRPr="00BC587F">
        <w:t xml:space="preserve"> was potentially more effective at reaching those with lower numeracy and literacy. Twenty-two (22) respondents felt that this option would be effective or partially effective, and another fifteen (15) felt it would be effective in com</w:t>
      </w:r>
      <w:r w:rsidR="00AC4FA7" w:rsidRPr="00BC587F">
        <w:t>bination with another option.</w:t>
      </w:r>
    </w:p>
    <w:p w14:paraId="2BD9C7C6" w14:textId="738178FC" w:rsidR="008D0389" w:rsidRPr="00BC587F" w:rsidRDefault="008D0389" w:rsidP="0024501A">
      <w:r w:rsidRPr="00BC587F">
        <w:t>Disadvantages of this approach, as seen by some public health submissions, were that it could result in multiple icons on the packaging that could create confusion, as well as concerns around overemphasising one negative nutr</w:t>
      </w:r>
      <w:r w:rsidR="00AC4FA7" w:rsidRPr="00BC587F">
        <w:t>ient.</w:t>
      </w:r>
    </w:p>
    <w:p w14:paraId="404BF11C" w14:textId="77777777" w:rsidR="00AC4FA7" w:rsidRPr="00BC587F" w:rsidRDefault="008D0389" w:rsidP="0024501A">
      <w:r w:rsidRPr="00BC587F">
        <w:t xml:space="preserve">Several public health submissions indicated a preference for teaspoon labelling rather than sugar cubes or pie charts. The reasons for this include teaspoons are a more common measurement and instrument, which the </w:t>
      </w:r>
      <w:proofErr w:type="gramStart"/>
      <w:r w:rsidRPr="00BC587F">
        <w:t>general public</w:t>
      </w:r>
      <w:proofErr w:type="gramEnd"/>
      <w:r w:rsidRPr="00BC587F">
        <w:t xml:space="preserve"> is familiar with. Sugar cubes are less common, and the </w:t>
      </w:r>
      <w:proofErr w:type="gramStart"/>
      <w:r w:rsidRPr="00BC587F">
        <w:t>general public</w:t>
      </w:r>
      <w:proofErr w:type="gramEnd"/>
      <w:r w:rsidRPr="00BC587F">
        <w:t xml:space="preserve"> is less likely to have an instinctive concept of how much sugar that is. Pie charts require numerical skills to </w:t>
      </w:r>
      <w:proofErr w:type="gramStart"/>
      <w:r w:rsidRPr="00BC587F">
        <w:t>interpret, and</w:t>
      </w:r>
      <w:proofErr w:type="gramEnd"/>
      <w:r w:rsidRPr="00BC587F">
        <w:t xml:space="preserve"> lack the relatability of teaspoon labelling.</w:t>
      </w:r>
    </w:p>
    <w:p w14:paraId="7454893C" w14:textId="1514213D" w:rsidR="008D0389" w:rsidRPr="00AC4FA7" w:rsidRDefault="008D0389" w:rsidP="00314A5D">
      <w:pPr>
        <w:pStyle w:val="Heading5"/>
      </w:pPr>
      <w:r w:rsidRPr="009753AC">
        <w:t>Government</w:t>
      </w:r>
    </w:p>
    <w:p w14:paraId="6A21A88C" w14:textId="4832BFC4" w:rsidR="008D0389" w:rsidRPr="00BC587F" w:rsidRDefault="008D0389" w:rsidP="0024501A">
      <w:r w:rsidRPr="00BC587F">
        <w:t>Of the seven (7) government submissions, only one (1) felt this option would be effective, three (3) felt it would be partially effective, and three (3) explicit</w:t>
      </w:r>
      <w:r w:rsidR="00AC4FA7" w:rsidRPr="00BC587F">
        <w:t>ly did not support this option.</w:t>
      </w:r>
    </w:p>
    <w:p w14:paraId="284BF67A" w14:textId="4A330DB9" w:rsidR="008D0389" w:rsidRPr="00BC587F" w:rsidRDefault="008D0389" w:rsidP="0024501A">
      <w:r w:rsidRPr="00BC587F">
        <w:t>The most significant theme in concerns for this option from government, was that it could conflict with the HSR, creating confusion or resulting in the HSR being pushed from the label. Submissions showed a clear preference for the HSR, due to it enabling</w:t>
      </w:r>
      <w:r w:rsidR="00AC4FA7" w:rsidRPr="00BC587F">
        <w:t xml:space="preserve"> a more whole-of-diet approach.</w:t>
      </w:r>
    </w:p>
    <w:p w14:paraId="3AFFEAC6" w14:textId="28C72E42" w:rsidR="00AC4FA7" w:rsidRPr="00BC587F" w:rsidRDefault="008D0389" w:rsidP="0024501A">
      <w:r w:rsidRPr="00BC587F">
        <w:t>A common positive theme in submissions from government was that pictorial labelling of add</w:t>
      </w:r>
      <w:r w:rsidR="00FC5BA7" w:rsidRPr="00BC587F">
        <w:t>ed sugar was easy to understand.</w:t>
      </w:r>
    </w:p>
    <w:p w14:paraId="1E2928DA" w14:textId="03C34B9C" w:rsidR="008D0389" w:rsidRDefault="008D0389" w:rsidP="00314A5D">
      <w:pPr>
        <w:pStyle w:val="Heading5"/>
      </w:pPr>
      <w:r w:rsidRPr="00C13885">
        <w:t>Others- consumer advocates</w:t>
      </w:r>
    </w:p>
    <w:p w14:paraId="1FBEA28A" w14:textId="7C47685B" w:rsidR="008D0389" w:rsidRPr="00BC587F" w:rsidRDefault="008D0389" w:rsidP="0024501A">
      <w:r w:rsidRPr="00BC587F">
        <w:t xml:space="preserve">All consumer advocates believed this option would be effective (1) or effective in combination with another option (3). Overall, these submissions felt that this option would provide additional contextual information to allow </w:t>
      </w:r>
      <w:proofErr w:type="gramStart"/>
      <w:r w:rsidRPr="00BC587F">
        <w:t>at a glance</w:t>
      </w:r>
      <w:proofErr w:type="gramEnd"/>
      <w:r w:rsidRPr="00BC587F">
        <w:t xml:space="preserve"> judgement of whether a p</w:t>
      </w:r>
      <w:r w:rsidR="00AC4FA7" w:rsidRPr="00BC587F">
        <w:t>roduct is high in added sugars.</w:t>
      </w:r>
    </w:p>
    <w:p w14:paraId="6F6E3ADB" w14:textId="77777777" w:rsidR="008D0389" w:rsidRPr="009753AC" w:rsidRDefault="008D0389" w:rsidP="00314A5D">
      <w:pPr>
        <w:pStyle w:val="Heading5"/>
      </w:pPr>
      <w:r w:rsidRPr="009753AC">
        <w:t>Consumers</w:t>
      </w:r>
    </w:p>
    <w:p w14:paraId="72D4E2A2" w14:textId="5EF0AAB8" w:rsidR="008D0389" w:rsidRPr="00BC587F" w:rsidRDefault="008D0389" w:rsidP="0024501A">
      <w:r w:rsidRPr="00BC587F">
        <w:t>Individual members of the public were mostly positive about this option. Many (51) indicated that this option would be effective in achieving the desired outcome and a further seven (7) felt it would be partially effective. Comments from these submissions raised that this option was quicker and easier to understand</w:t>
      </w:r>
      <w:r w:rsidR="00FC5BA7" w:rsidRPr="00BC587F">
        <w:t xml:space="preserve">, particularly for children and </w:t>
      </w:r>
      <w:r w:rsidRPr="00BC587F">
        <w:t>those with low</w:t>
      </w:r>
      <w:r w:rsidR="00FC5BA7" w:rsidRPr="00BC587F">
        <w:t>er literacy and numeracy skills</w:t>
      </w:r>
      <w:r w:rsidR="00282CFC">
        <w:t>.</w:t>
      </w:r>
    </w:p>
    <w:p w14:paraId="40A2FD5F" w14:textId="4A47DC3D" w:rsidR="001F3D13" w:rsidRPr="00BC587F" w:rsidRDefault="008D0389" w:rsidP="0024501A">
      <w:r w:rsidRPr="00BC587F">
        <w:t xml:space="preserve">Many submissions cited the </w:t>
      </w:r>
      <w:r w:rsidR="001F3D13" w:rsidRPr="00BC587F">
        <w:t xml:space="preserve">2018 </w:t>
      </w:r>
      <w:r w:rsidRPr="00BC587F">
        <w:t xml:space="preserve">CHOICE survey, which showed 75% of surveyed consumers supported providing images of teaspoons of sugar reflecting </w:t>
      </w:r>
      <w:proofErr w:type="gramStart"/>
      <w:r w:rsidRPr="00BC587F">
        <w:t>amount</w:t>
      </w:r>
      <w:proofErr w:type="gramEnd"/>
      <w:r w:rsidRPr="00BC587F">
        <w:t xml:space="preserve"> of added sugars within products</w:t>
      </w:r>
      <w:r w:rsidRPr="00282CFC">
        <w:rPr>
          <w:vertAlign w:val="superscript"/>
        </w:rPr>
        <w:footnoteReference w:id="276"/>
      </w:r>
      <w:r w:rsidRPr="00BC587F">
        <w:t xml:space="preserve">. A few consumers (3) felt that this option would not be effective. These submissions commented that they felt it took too much room on the </w:t>
      </w:r>
      <w:proofErr w:type="gramStart"/>
      <w:r w:rsidRPr="00BC587F">
        <w:t>label, or</w:t>
      </w:r>
      <w:proofErr w:type="gramEnd"/>
      <w:r w:rsidRPr="00BC587F">
        <w:t xml:space="preserve"> was ‘condescending’.</w:t>
      </w:r>
    </w:p>
    <w:p w14:paraId="12893351" w14:textId="77777777" w:rsidR="008D0389" w:rsidRPr="007B74A5" w:rsidRDefault="008D0389" w:rsidP="00314A5D">
      <w:pPr>
        <w:pStyle w:val="Heading5"/>
      </w:pPr>
      <w:r>
        <w:t>Preferred i</w:t>
      </w:r>
      <w:r w:rsidRPr="007B74A5">
        <w:t>mplementation mechanism</w:t>
      </w:r>
    </w:p>
    <w:p w14:paraId="34826133" w14:textId="1561FC39" w:rsidR="008D0389" w:rsidRPr="00BC587F" w:rsidRDefault="008D0389" w:rsidP="0024501A">
      <w:r w:rsidRPr="00BC587F">
        <w:t>A strong majority (93) of submissions coming from the public health sector, researchers, members of the public, and governments preferred this option being implemented on a mandatory basis. Reasons for supporting a mandatory approach were</w:t>
      </w:r>
      <w:r w:rsidR="00FC5BA7" w:rsidRPr="00BC587F">
        <w:t xml:space="preserve"> consistent with reasoning in other options.</w:t>
      </w:r>
      <w:r w:rsidR="008175C1" w:rsidRPr="00BC587F">
        <w:t xml:space="preserve"> Likewise concerns with a voluntary approach was consistent with reasoning in other options.</w:t>
      </w:r>
    </w:p>
    <w:p w14:paraId="3E888F0E" w14:textId="593BBDA6" w:rsidR="008D0389" w:rsidRPr="00BC587F" w:rsidRDefault="008D0389" w:rsidP="0024501A">
      <w:r w:rsidRPr="00BC587F">
        <w:t>In contrast, submissions from the food industry generally preferred voluntary implementation with fourteen (14) respondents preferring a voluntary implementation. This is indicative of the general lack of support this option has from industry, with many respondent’s comments generally stating they would prefer this opt</w:t>
      </w:r>
      <w:r w:rsidR="008175C1" w:rsidRPr="00BC587F">
        <w:t>ion was not implemented at all.</w:t>
      </w:r>
    </w:p>
    <w:p w14:paraId="4463BA9D" w14:textId="6651CA2C" w:rsidR="008D0389" w:rsidRPr="00BC587F" w:rsidRDefault="008D0389" w:rsidP="0024501A">
      <w:r w:rsidRPr="00BC587F">
        <w:t xml:space="preserve">A voluntary government-led code of practice </w:t>
      </w:r>
      <w:proofErr w:type="gramStart"/>
      <w:r w:rsidRPr="00BC587F">
        <w:t>similar to</w:t>
      </w:r>
      <w:proofErr w:type="gramEnd"/>
      <w:r w:rsidRPr="00BC587F">
        <w:t xml:space="preserve"> that used for the HSR was supported by some industry submissions, as it provided flexibility while ensuring the proposed labelling was applied on a consistent and comparable basis. One industry submission supported an industry-led voluntary initiative to provide industry </w:t>
      </w:r>
      <w:r w:rsidR="00AC4FA7" w:rsidRPr="00BC587F">
        <w:t>flexibility and minimise costs.</w:t>
      </w:r>
    </w:p>
    <w:p w14:paraId="37789777" w14:textId="717AA677" w:rsidR="00B27072" w:rsidRPr="00C71F51" w:rsidRDefault="00246FBF" w:rsidP="00314A5D">
      <w:pPr>
        <w:pStyle w:val="Heading3"/>
      </w:pPr>
      <w:bookmarkStart w:id="455" w:name="_Toc1121379"/>
      <w:bookmarkStart w:id="456" w:name="_Toc1122405"/>
      <w:bookmarkStart w:id="457" w:name="_Toc1122416"/>
      <w:bookmarkStart w:id="458" w:name="_Toc1122433"/>
      <w:bookmarkStart w:id="459" w:name="_Toc1122609"/>
      <w:bookmarkStart w:id="460" w:name="_Toc1122648"/>
      <w:bookmarkStart w:id="461" w:name="_Toc1122688"/>
      <w:bookmarkStart w:id="462" w:name="_Toc1475656"/>
      <w:bookmarkStart w:id="463" w:name="_Toc1634555"/>
      <w:bookmarkStart w:id="464" w:name="_Toc2252960"/>
      <w:bookmarkStart w:id="465" w:name="_Toc3905633"/>
      <w:r w:rsidRPr="00C71F51">
        <w:t>O</w:t>
      </w:r>
      <w:r w:rsidR="00B27072" w:rsidRPr="00C71F51">
        <w:t xml:space="preserve">ption 7 - Digital linking to off label web-based information about added sugars </w:t>
      </w:r>
      <w:proofErr w:type="gramStart"/>
      <w:r w:rsidR="00B27072" w:rsidRPr="00C71F51">
        <w:t>content</w:t>
      </w:r>
      <w:bookmarkEnd w:id="455"/>
      <w:bookmarkEnd w:id="456"/>
      <w:bookmarkEnd w:id="457"/>
      <w:bookmarkEnd w:id="458"/>
      <w:bookmarkEnd w:id="459"/>
      <w:bookmarkEnd w:id="460"/>
      <w:bookmarkEnd w:id="461"/>
      <w:bookmarkEnd w:id="462"/>
      <w:bookmarkEnd w:id="463"/>
      <w:bookmarkEnd w:id="464"/>
      <w:bookmarkEnd w:id="465"/>
      <w:proofErr w:type="gramEnd"/>
    </w:p>
    <w:p w14:paraId="1EC16EB3" w14:textId="54030DBA" w:rsidR="008D0389" w:rsidRPr="00BC587F" w:rsidRDefault="008D0389" w:rsidP="0024501A">
      <w:r w:rsidRPr="00BC587F">
        <w:t xml:space="preserve">Submissions took a range of interpretations on what the option may ultimately look like when implemented. Submitters responded as though the digital link was in the form of a barcode, a QR code, or a website address (with or without a line of text such as ‘scan here for more information’) and that the ‘landing page’ was either a food company website, a government website or a </w:t>
      </w:r>
      <w:proofErr w:type="gramStart"/>
      <w:r w:rsidRPr="00BC587F">
        <w:t>third party</w:t>
      </w:r>
      <w:proofErr w:type="gramEnd"/>
      <w:r w:rsidRPr="00BC587F">
        <w:t xml:space="preserve"> independent app such as the George Institute’s </w:t>
      </w:r>
      <w:proofErr w:type="spellStart"/>
      <w:r w:rsidRPr="00BC587F">
        <w:t>FoodSwitch</w:t>
      </w:r>
      <w:proofErr w:type="spellEnd"/>
      <w:r w:rsidRPr="00BC587F">
        <w:t>. This interpretation had an impact on how the consultation questions were answered. Because of this variation the responses regarding option 7 should be interpreted with caution.</w:t>
      </w:r>
    </w:p>
    <w:p w14:paraId="5C331582" w14:textId="77777777" w:rsidR="008D0389" w:rsidRPr="00C44599" w:rsidRDefault="008D0389" w:rsidP="00314A5D">
      <w:pPr>
        <w:pStyle w:val="Heading4"/>
      </w:pPr>
      <w:bookmarkStart w:id="466" w:name="_Toc1475657"/>
      <w:bookmarkStart w:id="467" w:name="_Toc1634556"/>
      <w:bookmarkStart w:id="468" w:name="_Toc2252961"/>
      <w:bookmarkStart w:id="469" w:name="_Toc3905634"/>
      <w:r>
        <w:t>F</w:t>
      </w:r>
      <w:r w:rsidRPr="00C44599">
        <w:t>eedback on this option</w:t>
      </w:r>
      <w:bookmarkEnd w:id="466"/>
      <w:bookmarkEnd w:id="467"/>
      <w:bookmarkEnd w:id="468"/>
      <w:bookmarkEnd w:id="469"/>
    </w:p>
    <w:p w14:paraId="2ECD07C0" w14:textId="77777777" w:rsidR="008D0389" w:rsidRPr="00D00141" w:rsidRDefault="008D0389" w:rsidP="00314A5D">
      <w:pPr>
        <w:pStyle w:val="Heading5"/>
      </w:pPr>
      <w:r w:rsidRPr="00D00141">
        <w:t>Food industry</w:t>
      </w:r>
    </w:p>
    <w:p w14:paraId="7B04EB6A" w14:textId="4721DB37" w:rsidR="008D0389" w:rsidRPr="00BC587F" w:rsidRDefault="008D0389" w:rsidP="0024501A">
      <w:r w:rsidRPr="00BC587F">
        <w:t>This stakeholder group</w:t>
      </w:r>
      <w:r w:rsidR="00166D40" w:rsidRPr="00BC587F">
        <w:t xml:space="preserve"> </w:t>
      </w:r>
      <w:r w:rsidRPr="00BC587F">
        <w:t>was</w:t>
      </w:r>
      <w:r w:rsidR="00381011" w:rsidRPr="00BC587F">
        <w:t xml:space="preserve"> </w:t>
      </w:r>
      <w:r w:rsidRPr="00BC587F">
        <w:t>most likely to support digital linking to be either effective or partially effective in achieving the desired outcome. Responses frequently emphasised that digital linking could provide more information in context and more than could fit on a food label. One major food industry stakeholder provided evidence for consumer preference to use digital means (websites) as a first point of contact to find additional nutrition information over telephone contact.</w:t>
      </w:r>
    </w:p>
    <w:p w14:paraId="06C841CA" w14:textId="77777777" w:rsidR="008D0389" w:rsidRPr="00D00141" w:rsidRDefault="008D0389" w:rsidP="00314A5D">
      <w:pPr>
        <w:pStyle w:val="Heading5"/>
      </w:pPr>
      <w:r>
        <w:t>Public health</w:t>
      </w:r>
    </w:p>
    <w:p w14:paraId="04A3ECAB" w14:textId="7119E4A6" w:rsidR="008D0389" w:rsidRPr="00BC587F" w:rsidRDefault="008D0389" w:rsidP="0024501A">
      <w:r w:rsidRPr="00BC587F">
        <w:t>Most of this group did not support this option, stating that it does not address the policy problem at the point of sale for all consumers. A number of submissions mention that digital based solutions were considered for</w:t>
      </w:r>
      <w:r w:rsidR="0075676E" w:rsidRPr="00BC587F">
        <w:t xml:space="preserve"> </w:t>
      </w:r>
      <w:proofErr w:type="gramStart"/>
      <w:r w:rsidR="0075676E" w:rsidRPr="00BC587F">
        <w:t>Country of Origin</w:t>
      </w:r>
      <w:proofErr w:type="gramEnd"/>
      <w:r w:rsidR="0075676E" w:rsidRPr="00BC587F">
        <w:t xml:space="preserve"> Labelling</w:t>
      </w:r>
      <w:r w:rsidRPr="00BC587F">
        <w:t xml:space="preserve"> </w:t>
      </w:r>
      <w:r w:rsidR="0075676E" w:rsidRPr="00BC587F">
        <w:t>(</w:t>
      </w:r>
      <w:proofErr w:type="spellStart"/>
      <w:r w:rsidRPr="00BC587F">
        <w:t>CoOL</w:t>
      </w:r>
      <w:proofErr w:type="spellEnd"/>
      <w:r w:rsidR="0075676E" w:rsidRPr="00BC587F">
        <w:t>)</w:t>
      </w:r>
      <w:r w:rsidR="0075676E" w:rsidRPr="00282CFC">
        <w:rPr>
          <w:vertAlign w:val="superscript"/>
        </w:rPr>
        <w:footnoteReference w:id="277"/>
      </w:r>
      <w:r w:rsidRPr="00BC587F">
        <w:t xml:space="preserve"> work in 2016.</w:t>
      </w:r>
    </w:p>
    <w:p w14:paraId="1FBB045C" w14:textId="77777777" w:rsidR="008D0389" w:rsidRPr="00D00141" w:rsidRDefault="008D0389" w:rsidP="00314A5D">
      <w:pPr>
        <w:pStyle w:val="Heading5"/>
      </w:pPr>
      <w:r w:rsidRPr="00D00141">
        <w:t>Government</w:t>
      </w:r>
    </w:p>
    <w:p w14:paraId="20F066AE" w14:textId="491A6EE3" w:rsidR="00B27072" w:rsidRPr="00BC587F" w:rsidRDefault="008D0389" w:rsidP="0024501A">
      <w:r w:rsidRPr="00BC587F">
        <w:t>Government stakeholders considered digital linking to be not effective or partially effective in achieving the desired outcome. Commonly cited issues were technological barriers, unequal access and that it was unlikely to be used by consumers due to the</w:t>
      </w:r>
      <w:r w:rsidR="00DD5445" w:rsidRPr="00BC587F">
        <w:t>ir lack of time and motivation.</w:t>
      </w:r>
    </w:p>
    <w:p w14:paraId="3168132D" w14:textId="53DCB5BB" w:rsidR="008D0389" w:rsidRDefault="008D0389" w:rsidP="00314A5D">
      <w:pPr>
        <w:pStyle w:val="Heading5"/>
      </w:pPr>
      <w:r w:rsidRPr="009F5268">
        <w:t>Others- consumer advocates</w:t>
      </w:r>
    </w:p>
    <w:p w14:paraId="00B46843" w14:textId="5CC874D6" w:rsidR="008D0389" w:rsidRPr="00BC587F" w:rsidRDefault="008D0389" w:rsidP="0024501A">
      <w:r w:rsidRPr="00BC587F">
        <w:t>As with other stakeholder groups, consumer advocates were not supportive of this option as a standalone action. Some support was given to this option being a ‘bonus’ only if implemented with other label changes. Reasoning behind these views were very similar to public health and government submissions.</w:t>
      </w:r>
    </w:p>
    <w:p w14:paraId="2A184705" w14:textId="77777777" w:rsidR="008D0389" w:rsidRPr="00A8387E" w:rsidRDefault="008D0389" w:rsidP="00314A5D">
      <w:pPr>
        <w:pStyle w:val="Heading5"/>
      </w:pPr>
      <w:r w:rsidRPr="00A8387E">
        <w:t>Consumers</w:t>
      </w:r>
    </w:p>
    <w:p w14:paraId="006964FF" w14:textId="2B5F545A" w:rsidR="008D0389" w:rsidRPr="00BC587F" w:rsidRDefault="008D0389" w:rsidP="0024501A">
      <w:r w:rsidRPr="00BC587F">
        <w:t>Most consumers did not support this option and thought it would be not effective or only partially effective. Ten (10) respondents suggested that it may be effectiv</w:t>
      </w:r>
      <w:r w:rsidR="00323761" w:rsidRPr="00BC587F">
        <w:t>e in combination with option 6</w:t>
      </w:r>
      <w:r w:rsidR="00AC4FA7" w:rsidRPr="00BC587F">
        <w:t>.</w:t>
      </w:r>
    </w:p>
    <w:p w14:paraId="4C43564E" w14:textId="199CF225" w:rsidR="00F97D5F" w:rsidRPr="00BC587F" w:rsidRDefault="008D0389" w:rsidP="0024501A">
      <w:r w:rsidRPr="00BC587F">
        <w:t>Opposition to digital linking was mostly based on time required to access a website to find the required information, the motivation required and unequal access for the community. Some submissions raised concerns that webpages would include marketing information and that personal data would be collected by food businesses in the process of scanning/linking and this may be used for direct marketing purposes (cookies and consumer profiling)</w:t>
      </w:r>
      <w:r w:rsidRPr="00282CFC">
        <w:rPr>
          <w:vertAlign w:val="superscript"/>
        </w:rPr>
        <w:footnoteReference w:id="278"/>
      </w:r>
      <w:r w:rsidR="00E6691C" w:rsidRPr="00BC587F">
        <w:t>.</w:t>
      </w:r>
    </w:p>
    <w:p w14:paraId="26D95440" w14:textId="0463D748" w:rsidR="008D0389" w:rsidRPr="00D00141" w:rsidRDefault="008D0389" w:rsidP="00314A5D">
      <w:pPr>
        <w:pStyle w:val="Heading5"/>
      </w:pPr>
      <w:r>
        <w:t>Preferred i</w:t>
      </w:r>
      <w:r w:rsidRPr="00D00141">
        <w:t>mplementation mechanism</w:t>
      </w:r>
    </w:p>
    <w:p w14:paraId="7A81E7AC" w14:textId="70948FFC" w:rsidR="008D0389" w:rsidRPr="00BC587F" w:rsidRDefault="008D0389" w:rsidP="0024501A">
      <w:r w:rsidRPr="00BC587F">
        <w:t xml:space="preserve">Respondents predominantly supported this option being implemented on a voluntary basis. However, most respondents did not provide any evidence or justification for this view. In Citizen Space, a response to the question about the preferred implementation option was mandatory, and it is </w:t>
      </w:r>
      <w:r w:rsidR="008C39BC" w:rsidRPr="00BC587F">
        <w:t xml:space="preserve">thought </w:t>
      </w:r>
      <w:r w:rsidRPr="00BC587F">
        <w:t xml:space="preserve">that stakeholders </w:t>
      </w:r>
      <w:r w:rsidR="008C39BC" w:rsidRPr="00BC587F">
        <w:t xml:space="preserve">may have </w:t>
      </w:r>
      <w:r w:rsidRPr="00BC587F">
        <w:t xml:space="preserve">selected an implementation mechanism at random </w:t>
      </w:r>
      <w:proofErr w:type="gramStart"/>
      <w:r w:rsidRPr="00BC587F">
        <w:t>in order to</w:t>
      </w:r>
      <w:proofErr w:type="gramEnd"/>
      <w:r w:rsidRPr="00BC587F">
        <w:t xml:space="preserve"> progress in the </w:t>
      </w:r>
      <w:r w:rsidR="008C39BC" w:rsidRPr="00BC587F">
        <w:t xml:space="preserve">consultation </w:t>
      </w:r>
      <w:r w:rsidR="00DD5445" w:rsidRPr="00BC587F">
        <w:t>questionnaire.</w:t>
      </w:r>
    </w:p>
    <w:p w14:paraId="64A1BC2D" w14:textId="77777777" w:rsidR="008D0389" w:rsidRDefault="008D0389" w:rsidP="00314A5D">
      <w:pPr>
        <w:pStyle w:val="Heading4"/>
        <w:rPr>
          <w:lang w:eastAsia="en-GB"/>
        </w:rPr>
      </w:pPr>
      <w:bookmarkStart w:id="470" w:name="_Toc1475658"/>
      <w:bookmarkStart w:id="471" w:name="_Toc1634557"/>
      <w:bookmarkStart w:id="472" w:name="_Toc2252962"/>
      <w:bookmarkStart w:id="473" w:name="_Toc3905635"/>
      <w:r>
        <w:rPr>
          <w:lang w:eastAsia="en-GB"/>
        </w:rPr>
        <w:t>Impacts of this option</w:t>
      </w:r>
      <w:bookmarkEnd w:id="470"/>
      <w:bookmarkEnd w:id="471"/>
      <w:bookmarkEnd w:id="472"/>
      <w:bookmarkEnd w:id="473"/>
    </w:p>
    <w:p w14:paraId="208376CC" w14:textId="77777777" w:rsidR="008212B0" w:rsidRPr="0070084E" w:rsidRDefault="008212B0" w:rsidP="00314A5D">
      <w:pPr>
        <w:pStyle w:val="Heading5"/>
      </w:pPr>
      <w:r w:rsidRPr="0070084E">
        <w:t>Impact</w:t>
      </w:r>
      <w:r>
        <w:t>s</w:t>
      </w:r>
      <w:r w:rsidRPr="0070084E">
        <w:t xml:space="preserve"> on the food </w:t>
      </w:r>
      <w:proofErr w:type="gramStart"/>
      <w:r w:rsidRPr="0070084E">
        <w:t>industry</w:t>
      </w:r>
      <w:proofErr w:type="gramEnd"/>
    </w:p>
    <w:p w14:paraId="6E713677" w14:textId="77777777" w:rsidR="008212B0" w:rsidRPr="00BC587F" w:rsidRDefault="008212B0" w:rsidP="0024501A">
      <w:r w:rsidRPr="00BC587F">
        <w:t xml:space="preserve">Overall, industry submissions felt that this option would impact them ‘somewhat’ or ‘a lot’. A major impact included the labour costs required to gather, </w:t>
      </w:r>
      <w:proofErr w:type="gramStart"/>
      <w:r w:rsidRPr="00BC587F">
        <w:t>calculate</w:t>
      </w:r>
      <w:proofErr w:type="gramEnd"/>
      <w:r w:rsidRPr="00BC587F">
        <w:t xml:space="preserve"> and confirm data, then maintain the website. Some smaller businesses felt their IT systems were not equipped to disseminate this level of information and would require significant investment to do so. Furthermore, packaging may need to provide alternative ways to access information for those who do not have access to a smartphone or the internet such as a telephone number, text messaging service or website address (taking up further label real estate).</w:t>
      </w:r>
    </w:p>
    <w:p w14:paraId="6D0D059A" w14:textId="0A80944F" w:rsidR="008212B0" w:rsidRPr="00BC587F" w:rsidRDefault="008212B0" w:rsidP="0024501A">
      <w:r w:rsidRPr="00BC587F">
        <w:t xml:space="preserve">The ability to easily modify information for any future changes in requirements, guidelines, </w:t>
      </w:r>
      <w:proofErr w:type="gramStart"/>
      <w:r w:rsidRPr="00BC587F">
        <w:t>evidence</w:t>
      </w:r>
      <w:proofErr w:type="gramEnd"/>
      <w:r w:rsidRPr="00BC587F">
        <w:t xml:space="preserve"> and reformulation was considered an advantage of this option.</w:t>
      </w:r>
    </w:p>
    <w:p w14:paraId="79BD8E7B" w14:textId="77777777" w:rsidR="008212B0" w:rsidRPr="0070084E" w:rsidRDefault="008212B0" w:rsidP="00314A5D">
      <w:pPr>
        <w:pStyle w:val="Heading5"/>
      </w:pPr>
      <w:r>
        <w:t xml:space="preserve">Impacts on public </w:t>
      </w:r>
      <w:proofErr w:type="gramStart"/>
      <w:r>
        <w:t>health</w:t>
      </w:r>
      <w:proofErr w:type="gramEnd"/>
    </w:p>
    <w:p w14:paraId="780FF66C" w14:textId="6F738CC1" w:rsidR="008212B0" w:rsidRPr="00BC587F" w:rsidRDefault="008212B0" w:rsidP="0024501A">
      <w:proofErr w:type="gramStart"/>
      <w:r w:rsidRPr="00BC587F">
        <w:t>The majority of</w:t>
      </w:r>
      <w:proofErr w:type="gramEnd"/>
      <w:r w:rsidRPr="00BC587F">
        <w:t xml:space="preserve"> this groups’ submissions </w:t>
      </w:r>
      <w:r w:rsidR="00323761" w:rsidRPr="00BC587F">
        <w:t>(29)</w:t>
      </w:r>
      <w:r w:rsidRPr="00BC587F">
        <w:t xml:space="preserve"> felt that they would be impacted ‘somewhat’ or ‘not at all’ by this option as it did not address the policy objective.</w:t>
      </w:r>
    </w:p>
    <w:p w14:paraId="09EEB00B" w14:textId="5AB4A922" w:rsidR="008212B0" w:rsidRPr="00BC587F" w:rsidRDefault="008212B0" w:rsidP="0024501A">
      <w:r w:rsidRPr="00BC587F">
        <w:t>Some submissions stated that this option would not support the collection of data to monitor added sugars in the food supply, as the information would not be available on the food label.</w:t>
      </w:r>
    </w:p>
    <w:p w14:paraId="12429209" w14:textId="7D6EC172" w:rsidR="008212B0" w:rsidRPr="0070084E" w:rsidRDefault="008212B0" w:rsidP="00314A5D">
      <w:pPr>
        <w:pStyle w:val="Heading5"/>
      </w:pPr>
      <w:r>
        <w:t xml:space="preserve">Impacts on </w:t>
      </w:r>
      <w:proofErr w:type="gramStart"/>
      <w:r>
        <w:t>government</w:t>
      </w:r>
      <w:proofErr w:type="gramEnd"/>
    </w:p>
    <w:p w14:paraId="1EE921FD" w14:textId="18CC84AE" w:rsidR="008212B0" w:rsidRPr="00BC587F" w:rsidRDefault="008212B0" w:rsidP="0024501A">
      <w:r w:rsidRPr="00BC587F">
        <w:t>The nature of off-label information could make it difficult for regulators to both keep up with changing information and to gather evidence of breaches. This would be the first significant regulation of digital information in relation to food products and therefore would require wider consideration of the policy issues related to digital information regulation.</w:t>
      </w:r>
    </w:p>
    <w:p w14:paraId="2BBCEC95" w14:textId="1B28664D" w:rsidR="008D0389" w:rsidRPr="0070084E" w:rsidRDefault="008D0389" w:rsidP="00314A5D">
      <w:pPr>
        <w:pStyle w:val="Heading5"/>
      </w:pPr>
      <w:r w:rsidRPr="0070084E">
        <w:t>Impact</w:t>
      </w:r>
      <w:r>
        <w:t>s</w:t>
      </w:r>
      <w:r w:rsidRPr="0070084E">
        <w:t xml:space="preserve"> on </w:t>
      </w:r>
      <w:proofErr w:type="gramStart"/>
      <w:r w:rsidRPr="0070084E">
        <w:t>consumers</w:t>
      </w:r>
      <w:proofErr w:type="gramEnd"/>
    </w:p>
    <w:p w14:paraId="5E751433" w14:textId="177AC9D5" w:rsidR="0075676E" w:rsidRPr="00BC587F" w:rsidRDefault="0075676E" w:rsidP="00BC587F">
      <w:proofErr w:type="gramStart"/>
      <w:r w:rsidRPr="00BC587F">
        <w:t>The majority of</w:t>
      </w:r>
      <w:proofErr w:type="gramEnd"/>
      <w:r w:rsidRPr="00BC587F">
        <w:t xml:space="preserve"> members of the public (48) felt that this option would not impact them at all. </w:t>
      </w:r>
      <w:r w:rsidR="008D0389" w:rsidRPr="00BC587F">
        <w:t>Of those that provided any evidence or justification, the majority indicated there would be no or limited impact of adopting digital linking</w:t>
      </w:r>
      <w:r w:rsidRPr="00BC587F">
        <w:t>,</w:t>
      </w:r>
      <w:r w:rsidR="006A1E43" w:rsidRPr="00BC587F">
        <w:t xml:space="preserve"> </w:t>
      </w:r>
      <w:r w:rsidR="008D0389" w:rsidRPr="00BC587F">
        <w:t>explaining that they were unlikely to use this technology.</w:t>
      </w:r>
    </w:p>
    <w:p w14:paraId="10397A52" w14:textId="1605254F" w:rsidR="008D0389" w:rsidRPr="00BC587F" w:rsidRDefault="008D0389" w:rsidP="00BC587F">
      <w:r w:rsidRPr="00BC587F">
        <w:t>It was considered that consumers may also not be able to directly compare products at the point of purchase, use or consumption, due to the need to access multiple websites.</w:t>
      </w:r>
    </w:p>
    <w:p w14:paraId="08164740" w14:textId="71FC3901" w:rsidR="008D0389" w:rsidRPr="00BC587F" w:rsidRDefault="008D0389" w:rsidP="00BC587F">
      <w:r w:rsidRPr="00BC587F">
        <w:t xml:space="preserve">Many consumers, public health, </w:t>
      </w:r>
      <w:proofErr w:type="gramStart"/>
      <w:r w:rsidRPr="00BC587F">
        <w:t>government</w:t>
      </w:r>
      <w:proofErr w:type="gramEnd"/>
      <w:r w:rsidRPr="00BC587F">
        <w:t xml:space="preserve"> and research/academic </w:t>
      </w:r>
      <w:r w:rsidR="003112A1" w:rsidRPr="00BC587F">
        <w:t>referenced issues of unequal access</w:t>
      </w:r>
      <w:r w:rsidR="003112A1" w:rsidRPr="00282CFC">
        <w:rPr>
          <w:vertAlign w:val="superscript"/>
        </w:rPr>
        <w:footnoteReference w:id="279"/>
      </w:r>
      <w:r w:rsidR="003112A1" w:rsidRPr="00BC587F">
        <w:t xml:space="preserve"> and use of digital linking and the potential for it to contribute to health inequalities. </w:t>
      </w:r>
      <w:r w:rsidRPr="00BC587F">
        <w:t>This was also occasionally mentioned by industry represe</w:t>
      </w:r>
      <w:r w:rsidR="00DD5445" w:rsidRPr="00BC587F">
        <w:t>ntatives but not as frequently.</w:t>
      </w:r>
    </w:p>
    <w:p w14:paraId="629EF89C" w14:textId="40D267F9" w:rsidR="00003743" w:rsidRPr="00BC587F" w:rsidRDefault="008D0389" w:rsidP="00BC587F">
      <w:r w:rsidRPr="00BC587F">
        <w:t xml:space="preserve">Technological barriers were considered a major impact of this option </w:t>
      </w:r>
      <w:r w:rsidR="0082427C" w:rsidRPr="00BC587F">
        <w:t>and c</w:t>
      </w:r>
      <w:r w:rsidRPr="00BC587F">
        <w:t>onsumer confusion was a concern for many submissions</w:t>
      </w:r>
      <w:r w:rsidR="0082427C" w:rsidRPr="00BC587F">
        <w:t xml:space="preserve">. </w:t>
      </w:r>
      <w:r w:rsidRPr="00BC587F">
        <w:t>Submissions also considered the potential for consumer confusion as to the purpose and use of a QR code, with some considering this would be considered a marketing tool, rather t</w:t>
      </w:r>
      <w:r w:rsidR="00E6691C" w:rsidRPr="00BC587F">
        <w:t>han for informational purposes.</w:t>
      </w:r>
    </w:p>
    <w:sectPr w:rsidR="00003743" w:rsidRPr="00BC587F" w:rsidSect="008D0389">
      <w:pgSz w:w="11906" w:h="16838"/>
      <w:pgMar w:top="1276" w:right="1800" w:bottom="15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1BEDC" w14:textId="77777777" w:rsidR="00B3701B" w:rsidRDefault="00B3701B" w:rsidP="00316D3C">
      <w:r>
        <w:separator/>
      </w:r>
    </w:p>
  </w:endnote>
  <w:endnote w:type="continuationSeparator" w:id="0">
    <w:p w14:paraId="43C6266F" w14:textId="77777777" w:rsidR="00B3701B" w:rsidRDefault="00B3701B" w:rsidP="00316D3C">
      <w:r>
        <w:continuationSeparator/>
      </w:r>
    </w:p>
  </w:endnote>
  <w:endnote w:type="continuationNotice" w:id="1">
    <w:p w14:paraId="2F54849F" w14:textId="77777777" w:rsidR="00B3701B" w:rsidRDefault="00B37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Univers LT Std 55">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BD2D" w14:textId="77777777" w:rsidR="00AA37B6" w:rsidRPr="00AF690D" w:rsidRDefault="00AA37B6" w:rsidP="008B49B6">
    <w:pPr>
      <w:pStyle w:val="Footer"/>
      <w:jc w:val="center"/>
      <w:rPr>
        <w:rFonts w:ascii="Calibri" w:hAnsi="Calibri" w:cs="Calibri"/>
        <w:b/>
        <w:color w:val="F00000"/>
      </w:rPr>
    </w:pPr>
    <w:r>
      <w:fldChar w:fldCharType="begin" w:fldLock="1"/>
    </w:r>
    <w:r>
      <w:instrText xml:space="preserve"> DOCPROPERTY bjFooterEvenPageDocProperty \* MERGEFORMAT </w:instrText>
    </w:r>
    <w:r>
      <w:fldChar w:fldCharType="separate"/>
    </w:r>
  </w:p>
  <w:p w14:paraId="29313D5E" w14:textId="77777777" w:rsidR="00AA37B6" w:rsidRPr="00AF690D" w:rsidRDefault="00AA37B6" w:rsidP="008B49B6">
    <w:pPr>
      <w:pStyle w:val="Footer"/>
      <w:jc w:val="center"/>
    </w:pPr>
    <w:r w:rsidRPr="00AF690D">
      <w:rPr>
        <w:rFonts w:ascii="Calibri" w:hAnsi="Calibri" w:cs="Calibri"/>
        <w:b/>
        <w:color w:val="F00000"/>
      </w:rPr>
      <w:t>UNCLASSIFIED</w:t>
    </w:r>
    <w: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E5CF" w14:textId="77777777" w:rsidR="00AA37B6" w:rsidRPr="00AF690D" w:rsidRDefault="00AA37B6" w:rsidP="008B49B6">
    <w:pPr>
      <w:pStyle w:val="Footer"/>
      <w:jc w:val="center"/>
      <w:rPr>
        <w:rFonts w:ascii="Calibri" w:hAnsi="Calibri" w:cs="Calibri"/>
        <w:b/>
        <w:color w:val="F00000"/>
      </w:rPr>
    </w:pPr>
    <w:r>
      <w:fldChar w:fldCharType="begin" w:fldLock="1"/>
    </w:r>
    <w:r>
      <w:instrText xml:space="preserve"> DOCPROPERTY bjFooterFirstPageDocProperty \* MERGEFORMAT </w:instrText>
    </w:r>
    <w:r>
      <w:fldChar w:fldCharType="separate"/>
    </w:r>
  </w:p>
  <w:p w14:paraId="49723D12" w14:textId="77777777" w:rsidR="00AA37B6" w:rsidRPr="00AF690D" w:rsidRDefault="00AA37B6" w:rsidP="008B49B6">
    <w:pPr>
      <w:pStyle w:val="Footer"/>
      <w:jc w:val="center"/>
    </w:pPr>
    <w:r w:rsidRPr="00AF690D">
      <w:rPr>
        <w:rFonts w:ascii="Calibri" w:hAnsi="Calibri" w:cs="Calibri"/>
        <w:b/>
        <w:color w:val="F00000"/>
      </w:rPr>
      <w:t>UNCLASSIFIED</w:t>
    </w:r>
    <w:r>
      <w:t xml:space="preserve">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54220"/>
      <w:docPartObj>
        <w:docPartGallery w:val="Page Numbers (Bottom of Page)"/>
        <w:docPartUnique/>
      </w:docPartObj>
    </w:sdtPr>
    <w:sdtEndPr>
      <w:rPr>
        <w:noProof/>
        <w:sz w:val="20"/>
        <w:szCs w:val="20"/>
      </w:rPr>
    </w:sdtEndPr>
    <w:sdtContent>
      <w:p w14:paraId="14F166D7" w14:textId="3A02F1DF" w:rsidR="00AA37B6" w:rsidRPr="00241C0B" w:rsidRDefault="00AA37B6" w:rsidP="00241C0B">
        <w:pPr>
          <w:pStyle w:val="Footer"/>
          <w:jc w:val="right"/>
          <w:rPr>
            <w:sz w:val="20"/>
            <w:szCs w:val="20"/>
          </w:rPr>
        </w:pPr>
        <w:r w:rsidRPr="00A16691">
          <w:rPr>
            <w:sz w:val="20"/>
            <w:szCs w:val="20"/>
          </w:rPr>
          <w:fldChar w:fldCharType="begin"/>
        </w:r>
        <w:r w:rsidRPr="00A16691">
          <w:rPr>
            <w:sz w:val="20"/>
            <w:szCs w:val="20"/>
          </w:rPr>
          <w:instrText xml:space="preserve"> PAGE   \* MERGEFORMAT </w:instrText>
        </w:r>
        <w:r w:rsidRPr="00A16691">
          <w:rPr>
            <w:sz w:val="20"/>
            <w:szCs w:val="20"/>
          </w:rPr>
          <w:fldChar w:fldCharType="separate"/>
        </w:r>
        <w:r w:rsidR="00EE0B6E">
          <w:rPr>
            <w:noProof/>
            <w:sz w:val="20"/>
            <w:szCs w:val="20"/>
          </w:rPr>
          <w:t>18</w:t>
        </w:r>
        <w:r w:rsidRPr="00A16691">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F729" w14:textId="77777777" w:rsidR="00B3701B" w:rsidRDefault="00B3701B" w:rsidP="00316D3C">
      <w:r>
        <w:separator/>
      </w:r>
    </w:p>
  </w:footnote>
  <w:footnote w:type="continuationSeparator" w:id="0">
    <w:p w14:paraId="4979E314" w14:textId="77777777" w:rsidR="00B3701B" w:rsidRDefault="00B3701B" w:rsidP="00316D3C">
      <w:r>
        <w:continuationSeparator/>
      </w:r>
    </w:p>
  </w:footnote>
  <w:footnote w:type="continuationNotice" w:id="1">
    <w:p w14:paraId="540830D8" w14:textId="77777777" w:rsidR="00B3701B" w:rsidRDefault="00B3701B"/>
  </w:footnote>
  <w:footnote w:id="2">
    <w:p w14:paraId="289B952E" w14:textId="57D3F6DC" w:rsidR="00AA37B6" w:rsidRPr="00DC3857" w:rsidRDefault="00AA37B6" w:rsidP="00DC3857">
      <w:pPr>
        <w:rPr>
          <w:sz w:val="18"/>
          <w:szCs w:val="18"/>
        </w:rPr>
      </w:pPr>
      <w:r w:rsidRPr="006F058A">
        <w:rPr>
          <w:rStyle w:val="FootnoteReference"/>
          <w:sz w:val="18"/>
          <w:szCs w:val="18"/>
        </w:rPr>
        <w:footnoteRef/>
      </w:r>
      <w:r w:rsidRPr="006F058A">
        <w:rPr>
          <w:sz w:val="18"/>
          <w:szCs w:val="18"/>
        </w:rPr>
        <w:t xml:space="preserve"> For the purposes of this paper ‘added sugar(s)’ refers to any sugar</w:t>
      </w:r>
      <w:r w:rsidRPr="00CB626B">
        <w:rPr>
          <w:sz w:val="18"/>
          <w:szCs w:val="18"/>
        </w:rPr>
        <w:t>s</w:t>
      </w:r>
      <w:r w:rsidRPr="006F058A">
        <w:rPr>
          <w:sz w:val="18"/>
          <w:szCs w:val="18"/>
        </w:rPr>
        <w:t>-based ingredients added to foods by manufacturers during processing or manufacturing, or by consumers and cooks during food preparation or at the time of consumption. In this paper, ‘added sugars’ may include what are referred to as ‘free sugars’ such as honey.</w:t>
      </w:r>
    </w:p>
  </w:footnote>
  <w:footnote w:id="3">
    <w:p w14:paraId="3776B6DD" w14:textId="77777777" w:rsidR="00AA37B6" w:rsidRPr="000A796F" w:rsidRDefault="00AA37B6" w:rsidP="0054504F">
      <w:pPr>
        <w:pStyle w:val="FootnoteText"/>
        <w:spacing w:before="0" w:after="0"/>
        <w:rPr>
          <w:rFonts w:cstheme="minorHAnsi"/>
          <w:sz w:val="18"/>
          <w:szCs w:val="18"/>
        </w:rPr>
      </w:pPr>
      <w:r w:rsidRPr="000A796F">
        <w:rPr>
          <w:rStyle w:val="FootnoteReference"/>
          <w:rFonts w:eastAsiaTheme="majorEastAsia" w:cstheme="minorHAnsi"/>
          <w:sz w:val="18"/>
          <w:szCs w:val="18"/>
        </w:rPr>
        <w:footnoteRef/>
      </w:r>
      <w:r w:rsidRPr="000A796F">
        <w:rPr>
          <w:rFonts w:cstheme="minorHAnsi"/>
          <w:sz w:val="18"/>
          <w:szCs w:val="18"/>
        </w:rPr>
        <w:t xml:space="preserve"> Food Standards Australia New Zealand, 2017. </w:t>
      </w:r>
      <w:r>
        <w:rPr>
          <w:rFonts w:cstheme="minorHAnsi"/>
          <w:sz w:val="18"/>
          <w:szCs w:val="18"/>
        </w:rPr>
        <w:t>‘</w:t>
      </w:r>
      <w:r w:rsidRPr="000A796F">
        <w:rPr>
          <w:rFonts w:cstheme="minorHAnsi"/>
          <w:i/>
          <w:sz w:val="18"/>
          <w:szCs w:val="18"/>
        </w:rPr>
        <w:t>Consumer Label Survey 2015 – Food labelling Use and Understanding in Australia and New Zealand, Food Standards Australia New Zealand</w:t>
      </w:r>
      <w:r>
        <w:rPr>
          <w:rFonts w:cstheme="minorHAnsi"/>
          <w:i/>
          <w:sz w:val="18"/>
          <w:szCs w:val="18"/>
        </w:rPr>
        <w:t>’</w:t>
      </w:r>
      <w:r w:rsidRPr="000A796F">
        <w:rPr>
          <w:rFonts w:cstheme="minorHAnsi"/>
          <w:sz w:val="18"/>
          <w:szCs w:val="18"/>
        </w:rPr>
        <w:t xml:space="preserve">. Available at: </w:t>
      </w:r>
      <w:hyperlink r:id="rId1" w:history="1">
        <w:r w:rsidRPr="000A796F">
          <w:rPr>
            <w:rStyle w:val="Hyperlink"/>
            <w:rFonts w:cstheme="minorHAnsi"/>
            <w:sz w:val="18"/>
            <w:szCs w:val="18"/>
          </w:rPr>
          <w:t>FSANZ website</w:t>
        </w:r>
      </w:hyperlink>
      <w:r w:rsidRPr="000A796F">
        <w:rPr>
          <w:rFonts w:cstheme="minorHAnsi"/>
          <w:sz w:val="18"/>
          <w:szCs w:val="18"/>
        </w:rPr>
        <w:t xml:space="preserve"> (accessed 17 December 2018)</w:t>
      </w:r>
    </w:p>
  </w:footnote>
  <w:footnote w:id="4">
    <w:p w14:paraId="457B7A14" w14:textId="73B54914" w:rsidR="00AA37B6" w:rsidRPr="000A796F" w:rsidRDefault="00AA37B6" w:rsidP="0054504F">
      <w:pPr>
        <w:spacing w:before="0" w:after="0" w:line="256" w:lineRule="auto"/>
        <w:rPr>
          <w:rFonts w:cstheme="minorHAnsi"/>
          <w:sz w:val="18"/>
          <w:szCs w:val="18"/>
        </w:rPr>
      </w:pPr>
      <w:r w:rsidRPr="000A796F">
        <w:rPr>
          <w:rStyle w:val="FootnoteReference"/>
          <w:rFonts w:eastAsiaTheme="majorEastAsia" w:cstheme="minorHAnsi"/>
          <w:sz w:val="18"/>
          <w:szCs w:val="18"/>
        </w:rPr>
        <w:footnoteRef/>
      </w:r>
      <w:r>
        <w:rPr>
          <w:rFonts w:cstheme="minorHAnsi"/>
          <w:sz w:val="18"/>
          <w:szCs w:val="18"/>
        </w:rPr>
        <w:t xml:space="preserve"> Miller, L.</w:t>
      </w:r>
      <w:r w:rsidRPr="000A796F">
        <w:rPr>
          <w:rFonts w:cstheme="minorHAnsi"/>
          <w:sz w:val="18"/>
          <w:szCs w:val="18"/>
        </w:rPr>
        <w:t xml:space="preserve"> &amp; Cassidy, D.</w:t>
      </w:r>
      <w:r>
        <w:rPr>
          <w:rFonts w:cstheme="minorHAnsi"/>
          <w:sz w:val="18"/>
          <w:szCs w:val="18"/>
        </w:rPr>
        <w:t>,</w:t>
      </w:r>
      <w:r w:rsidRPr="000A796F">
        <w:rPr>
          <w:rFonts w:cstheme="minorHAnsi"/>
          <w:sz w:val="18"/>
          <w:szCs w:val="18"/>
        </w:rPr>
        <w:t xml:space="preserve"> 2015. ‘The effects of nutrition knowledge on food label use. A review of literature’. </w:t>
      </w:r>
      <w:r w:rsidRPr="000A796F">
        <w:rPr>
          <w:rFonts w:cstheme="minorHAnsi"/>
          <w:i/>
          <w:sz w:val="18"/>
          <w:szCs w:val="18"/>
        </w:rPr>
        <w:t>Appetite</w:t>
      </w:r>
      <w:r>
        <w:rPr>
          <w:rFonts w:cstheme="minorHAnsi"/>
          <w:sz w:val="18"/>
          <w:szCs w:val="18"/>
        </w:rPr>
        <w:t>, 92: p</w:t>
      </w:r>
      <w:r w:rsidRPr="000A796F">
        <w:rPr>
          <w:rFonts w:cstheme="minorHAnsi"/>
          <w:sz w:val="18"/>
          <w:szCs w:val="18"/>
        </w:rPr>
        <w:t>207-216</w:t>
      </w:r>
    </w:p>
  </w:footnote>
  <w:footnote w:id="5">
    <w:p w14:paraId="57268C9C" w14:textId="32990422" w:rsidR="00AA37B6" w:rsidRPr="00993032" w:rsidRDefault="00AA37B6" w:rsidP="0054504F">
      <w:pPr>
        <w:pStyle w:val="FootnoteText"/>
        <w:spacing w:before="0" w:after="0"/>
        <w:rPr>
          <w:rFonts w:cstheme="minorHAnsi"/>
          <w:sz w:val="18"/>
          <w:szCs w:val="18"/>
        </w:rPr>
      </w:pPr>
      <w:r w:rsidRPr="00993032">
        <w:rPr>
          <w:rStyle w:val="FootnoteReference"/>
          <w:rFonts w:eastAsiaTheme="majorEastAsia" w:cstheme="minorHAnsi"/>
          <w:sz w:val="18"/>
          <w:szCs w:val="18"/>
        </w:rPr>
        <w:footnoteRef/>
      </w:r>
      <w:r w:rsidRPr="00993032">
        <w:rPr>
          <w:rFonts w:cstheme="minorHAnsi"/>
          <w:sz w:val="18"/>
          <w:szCs w:val="18"/>
        </w:rPr>
        <w:t xml:space="preserve"> </w:t>
      </w:r>
      <w:r>
        <w:rPr>
          <w:rFonts w:cstheme="minorHAnsi"/>
          <w:sz w:val="18"/>
          <w:szCs w:val="18"/>
          <w:shd w:val="clear" w:color="auto" w:fill="FFFFFF"/>
        </w:rPr>
        <w:t>Vanderlee, L., et al,</w:t>
      </w:r>
      <w:r w:rsidRPr="00993032">
        <w:rPr>
          <w:rFonts w:cstheme="minorHAnsi"/>
          <w:sz w:val="18"/>
          <w:szCs w:val="18"/>
          <w:shd w:val="clear" w:color="auto" w:fill="FFFFFF"/>
        </w:rPr>
        <w:t xml:space="preserve"> 2015, ‘The efficacy of sugar labelling formats: Implications for labeling policy’. </w:t>
      </w:r>
      <w:r w:rsidRPr="00993032">
        <w:rPr>
          <w:rFonts w:cstheme="minorHAnsi"/>
          <w:i/>
          <w:sz w:val="18"/>
          <w:szCs w:val="18"/>
          <w:shd w:val="clear" w:color="auto" w:fill="FFFFFF"/>
        </w:rPr>
        <w:t>Obesity</w:t>
      </w:r>
      <w:r>
        <w:rPr>
          <w:rFonts w:cstheme="minorHAnsi"/>
          <w:sz w:val="18"/>
          <w:szCs w:val="18"/>
          <w:shd w:val="clear" w:color="auto" w:fill="FFFFFF"/>
        </w:rPr>
        <w:t>, 23: p</w:t>
      </w:r>
      <w:r w:rsidRPr="00993032">
        <w:rPr>
          <w:rFonts w:cstheme="minorHAnsi"/>
          <w:sz w:val="18"/>
          <w:szCs w:val="18"/>
          <w:shd w:val="clear" w:color="auto" w:fill="FFFFFF"/>
        </w:rPr>
        <w:t>2406-2413.</w:t>
      </w:r>
    </w:p>
  </w:footnote>
  <w:footnote w:id="6">
    <w:p w14:paraId="1C23B65C" w14:textId="6B275245" w:rsidR="00AA37B6" w:rsidRPr="00993032" w:rsidRDefault="00AA37B6" w:rsidP="0054504F">
      <w:pPr>
        <w:pStyle w:val="FootnoteText"/>
        <w:spacing w:before="0" w:after="0"/>
        <w:rPr>
          <w:rFonts w:cstheme="minorHAnsi"/>
          <w:sz w:val="18"/>
          <w:szCs w:val="18"/>
        </w:rPr>
      </w:pPr>
      <w:r w:rsidRPr="00993032">
        <w:rPr>
          <w:rStyle w:val="FootnoteReference"/>
          <w:rFonts w:eastAsiaTheme="majorEastAsia" w:cstheme="minorHAnsi"/>
          <w:sz w:val="18"/>
          <w:szCs w:val="18"/>
        </w:rPr>
        <w:footnoteRef/>
      </w:r>
      <w:r w:rsidRPr="00993032">
        <w:rPr>
          <w:rFonts w:cstheme="minorHAnsi"/>
          <w:sz w:val="18"/>
          <w:szCs w:val="18"/>
        </w:rPr>
        <w:t xml:space="preserve"> </w:t>
      </w:r>
      <w:r w:rsidRPr="00993032">
        <w:rPr>
          <w:rFonts w:cstheme="minorHAnsi"/>
          <w:sz w:val="18"/>
          <w:szCs w:val="18"/>
          <w:shd w:val="clear" w:color="auto" w:fill="FFFFFF"/>
        </w:rPr>
        <w:t>Laquatra, I.,</w:t>
      </w:r>
      <w:r>
        <w:rPr>
          <w:rFonts w:cstheme="minorHAnsi"/>
          <w:sz w:val="18"/>
          <w:szCs w:val="18"/>
          <w:shd w:val="clear" w:color="auto" w:fill="FFFFFF"/>
        </w:rPr>
        <w:t xml:space="preserve"> </w:t>
      </w:r>
      <w:r w:rsidRPr="00993032">
        <w:rPr>
          <w:rFonts w:cstheme="minorHAnsi"/>
          <w:sz w:val="18"/>
          <w:szCs w:val="18"/>
          <w:shd w:val="clear" w:color="auto" w:fill="FFFFFF"/>
        </w:rPr>
        <w:t>et a</w:t>
      </w:r>
      <w:r>
        <w:rPr>
          <w:rFonts w:cstheme="minorHAnsi"/>
          <w:sz w:val="18"/>
          <w:szCs w:val="18"/>
          <w:shd w:val="clear" w:color="auto" w:fill="FFFFFF"/>
        </w:rPr>
        <w:t>l,</w:t>
      </w:r>
      <w:r w:rsidRPr="00993032">
        <w:rPr>
          <w:rFonts w:cstheme="minorHAnsi"/>
          <w:sz w:val="18"/>
          <w:szCs w:val="18"/>
          <w:shd w:val="clear" w:color="auto" w:fill="FFFFFF"/>
        </w:rPr>
        <w:t xml:space="preserve"> 2015. ‘Including “added sugars” on the Nutrition Facts panel: how consumers perceive the proposed change’. </w:t>
      </w:r>
      <w:r w:rsidRPr="00993032">
        <w:rPr>
          <w:rFonts w:cstheme="minorHAnsi"/>
          <w:i/>
          <w:sz w:val="18"/>
          <w:szCs w:val="18"/>
          <w:shd w:val="clear" w:color="auto" w:fill="FFFFFF"/>
        </w:rPr>
        <w:t>Journal of the Academy of Nutrition and Dietetics</w:t>
      </w:r>
      <w:r>
        <w:rPr>
          <w:rFonts w:cstheme="minorHAnsi"/>
          <w:sz w:val="18"/>
          <w:szCs w:val="18"/>
          <w:shd w:val="clear" w:color="auto" w:fill="FFFFFF"/>
        </w:rPr>
        <w:t>, 115(11): p</w:t>
      </w:r>
      <w:r w:rsidRPr="00993032">
        <w:rPr>
          <w:rFonts w:cstheme="minorHAnsi"/>
          <w:sz w:val="18"/>
          <w:szCs w:val="18"/>
          <w:shd w:val="clear" w:color="auto" w:fill="FFFFFF"/>
        </w:rPr>
        <w:t>1758-1763</w:t>
      </w:r>
      <w:r>
        <w:rPr>
          <w:rFonts w:cstheme="minorHAnsi"/>
          <w:sz w:val="18"/>
          <w:szCs w:val="18"/>
          <w:shd w:val="clear" w:color="auto" w:fill="FFFFFF"/>
        </w:rPr>
        <w:t>.</w:t>
      </w:r>
    </w:p>
  </w:footnote>
  <w:footnote w:id="7">
    <w:p w14:paraId="2117A4B7" w14:textId="11AC3DA9" w:rsidR="00AA37B6" w:rsidRPr="00993032" w:rsidRDefault="00AA37B6" w:rsidP="0054504F">
      <w:pPr>
        <w:pStyle w:val="FootnoteText"/>
        <w:spacing w:before="0" w:after="0"/>
        <w:rPr>
          <w:rFonts w:cstheme="minorHAnsi"/>
          <w:sz w:val="18"/>
          <w:szCs w:val="18"/>
        </w:rPr>
      </w:pPr>
      <w:r w:rsidRPr="00993032">
        <w:rPr>
          <w:rStyle w:val="FootnoteReference"/>
          <w:rFonts w:eastAsiaTheme="majorEastAsia" w:cstheme="minorHAnsi"/>
          <w:sz w:val="18"/>
          <w:szCs w:val="18"/>
        </w:rPr>
        <w:footnoteRef/>
      </w:r>
      <w:r w:rsidRPr="00993032">
        <w:rPr>
          <w:rFonts w:cstheme="minorHAnsi"/>
          <w:sz w:val="18"/>
          <w:szCs w:val="18"/>
        </w:rPr>
        <w:t xml:space="preserve"> Food Standards Australia New Zealand</w:t>
      </w:r>
      <w:r>
        <w:rPr>
          <w:rFonts w:cstheme="minorHAnsi"/>
          <w:sz w:val="18"/>
          <w:szCs w:val="18"/>
        </w:rPr>
        <w:t>.</w:t>
      </w:r>
      <w:r w:rsidRPr="00993032">
        <w:rPr>
          <w:rFonts w:cstheme="minorHAnsi"/>
          <w:sz w:val="18"/>
          <w:szCs w:val="18"/>
        </w:rPr>
        <w:t xml:space="preserve"> 2017. ‘</w:t>
      </w:r>
      <w:r w:rsidRPr="00993032">
        <w:rPr>
          <w:rFonts w:cstheme="minorHAnsi"/>
          <w:i/>
          <w:sz w:val="18"/>
          <w:szCs w:val="18"/>
        </w:rPr>
        <w:t>Literature review on consumer knowledge, attitudes and behaviours relating to sugars and food labelling’</w:t>
      </w:r>
      <w:r>
        <w:rPr>
          <w:rFonts w:cstheme="minorHAnsi"/>
          <w:sz w:val="18"/>
          <w:szCs w:val="18"/>
        </w:rPr>
        <w:t xml:space="preserve">. </w:t>
      </w:r>
      <w:r w:rsidRPr="00993032">
        <w:rPr>
          <w:rFonts w:cstheme="minorHAnsi"/>
          <w:sz w:val="18"/>
          <w:szCs w:val="18"/>
        </w:rPr>
        <w:t xml:space="preserve">Available at: </w:t>
      </w:r>
      <w:hyperlink r:id="rId2" w:history="1">
        <w:r w:rsidRPr="00993032">
          <w:rPr>
            <w:rStyle w:val="Hyperlink"/>
            <w:rFonts w:eastAsiaTheme="majorEastAsia" w:cstheme="minorHAnsi"/>
            <w:sz w:val="18"/>
            <w:szCs w:val="18"/>
          </w:rPr>
          <w:t>Food Regulation website</w:t>
        </w:r>
      </w:hyperlink>
      <w:r w:rsidRPr="00993032">
        <w:rPr>
          <w:rFonts w:cstheme="minorHAnsi"/>
          <w:sz w:val="18"/>
          <w:szCs w:val="18"/>
        </w:rPr>
        <w:t xml:space="preserve"> (accessed 4 April 2018)</w:t>
      </w:r>
      <w:r>
        <w:rPr>
          <w:rFonts w:cstheme="minorHAnsi"/>
          <w:sz w:val="18"/>
          <w:szCs w:val="18"/>
        </w:rPr>
        <w:t>.</w:t>
      </w:r>
    </w:p>
  </w:footnote>
  <w:footnote w:id="8">
    <w:p w14:paraId="2316CA49" w14:textId="3893E207" w:rsidR="00AA37B6" w:rsidRPr="00993032" w:rsidRDefault="00AA37B6" w:rsidP="0054504F">
      <w:pPr>
        <w:pStyle w:val="FootnoteText"/>
        <w:spacing w:before="0" w:after="0"/>
        <w:rPr>
          <w:rFonts w:cstheme="minorHAnsi"/>
          <w:sz w:val="18"/>
          <w:szCs w:val="18"/>
        </w:rPr>
      </w:pPr>
      <w:r w:rsidRPr="00993032">
        <w:rPr>
          <w:rStyle w:val="FootnoteReference"/>
          <w:rFonts w:eastAsiaTheme="majorEastAsia" w:cstheme="minorHAnsi"/>
          <w:sz w:val="18"/>
          <w:szCs w:val="18"/>
        </w:rPr>
        <w:footnoteRef/>
      </w:r>
      <w:r w:rsidRPr="00993032">
        <w:rPr>
          <w:rFonts w:cstheme="minorHAnsi"/>
          <w:sz w:val="18"/>
          <w:szCs w:val="18"/>
        </w:rPr>
        <w:t xml:space="preserve"> </w:t>
      </w:r>
      <w:r w:rsidRPr="00993032">
        <w:rPr>
          <w:rFonts w:cstheme="minorHAnsi"/>
          <w:sz w:val="18"/>
          <w:szCs w:val="18"/>
          <w:shd w:val="clear" w:color="auto" w:fill="FFFFFF"/>
        </w:rPr>
        <w:t>Laquatra, I.,</w:t>
      </w:r>
      <w:r>
        <w:rPr>
          <w:rFonts w:cstheme="minorHAnsi"/>
          <w:sz w:val="18"/>
          <w:szCs w:val="18"/>
          <w:shd w:val="clear" w:color="auto" w:fill="FFFFFF"/>
        </w:rPr>
        <w:t xml:space="preserve"> </w:t>
      </w:r>
      <w:r w:rsidRPr="00993032">
        <w:rPr>
          <w:rFonts w:cstheme="minorHAnsi"/>
          <w:sz w:val="18"/>
          <w:szCs w:val="18"/>
          <w:shd w:val="clear" w:color="auto" w:fill="FFFFFF"/>
        </w:rPr>
        <w:t>et a</w:t>
      </w:r>
      <w:r>
        <w:rPr>
          <w:rFonts w:cstheme="minorHAnsi"/>
          <w:sz w:val="18"/>
          <w:szCs w:val="18"/>
          <w:shd w:val="clear" w:color="auto" w:fill="FFFFFF"/>
        </w:rPr>
        <w:t>l,</w:t>
      </w:r>
      <w:r w:rsidRPr="00993032">
        <w:rPr>
          <w:rFonts w:cstheme="minorHAnsi"/>
          <w:sz w:val="18"/>
          <w:szCs w:val="18"/>
          <w:shd w:val="clear" w:color="auto" w:fill="FFFFFF"/>
        </w:rPr>
        <w:t xml:space="preserve"> 2015. ‘Including “added sugars” on the Nutrition Facts panel: how consumers perceive the proposed change’. </w:t>
      </w:r>
      <w:r w:rsidRPr="00993032">
        <w:rPr>
          <w:rFonts w:cstheme="minorHAnsi"/>
          <w:i/>
          <w:sz w:val="18"/>
          <w:szCs w:val="18"/>
          <w:shd w:val="clear" w:color="auto" w:fill="FFFFFF"/>
        </w:rPr>
        <w:t>Journal of the Academy of Nutrition and Dietetics</w:t>
      </w:r>
      <w:r>
        <w:rPr>
          <w:rFonts w:cstheme="minorHAnsi"/>
          <w:sz w:val="18"/>
          <w:szCs w:val="18"/>
          <w:shd w:val="clear" w:color="auto" w:fill="FFFFFF"/>
        </w:rPr>
        <w:t>, 115(11): p</w:t>
      </w:r>
      <w:r w:rsidRPr="00993032">
        <w:rPr>
          <w:rFonts w:cstheme="minorHAnsi"/>
          <w:sz w:val="18"/>
          <w:szCs w:val="18"/>
          <w:shd w:val="clear" w:color="auto" w:fill="FFFFFF"/>
        </w:rPr>
        <w:t>1758-1763</w:t>
      </w:r>
      <w:r>
        <w:rPr>
          <w:rFonts w:cstheme="minorHAnsi"/>
          <w:sz w:val="18"/>
          <w:szCs w:val="18"/>
          <w:shd w:val="clear" w:color="auto" w:fill="FFFFFF"/>
        </w:rPr>
        <w:t>.</w:t>
      </w:r>
    </w:p>
  </w:footnote>
  <w:footnote w:id="9">
    <w:p w14:paraId="300838D0" w14:textId="77777777" w:rsidR="00AA37B6" w:rsidRPr="00E6267B" w:rsidRDefault="00AA37B6" w:rsidP="00704EB8">
      <w:pPr>
        <w:pStyle w:val="FootnoteText"/>
        <w:spacing w:before="0" w:after="0"/>
        <w:rPr>
          <w:rFonts w:cstheme="minorHAnsi"/>
        </w:rPr>
      </w:pPr>
      <w:r w:rsidRPr="00E6267B">
        <w:rPr>
          <w:rStyle w:val="FootnoteReference"/>
          <w:rFonts w:cstheme="minorHAnsi"/>
          <w:sz w:val="18"/>
          <w:szCs w:val="18"/>
        </w:rPr>
        <w:footnoteRef/>
      </w:r>
      <w:r w:rsidRPr="00E6267B">
        <w:rPr>
          <w:rFonts w:cstheme="minorHAnsi"/>
          <w:sz w:val="18"/>
          <w:szCs w:val="18"/>
        </w:rPr>
        <w:t xml:space="preserve"> A term used by the World Health Organization which refers to refers to all monosaccharides and disaccharides added to foods by the manufacturer, cook, or consumer, plus sugars naturally present in honey, syrups, and fruit juices.</w:t>
      </w:r>
      <w:r w:rsidRPr="00E6267B">
        <w:rPr>
          <w:rFonts w:cstheme="minorHAnsi"/>
        </w:rPr>
        <w:t xml:space="preserve"> </w:t>
      </w:r>
    </w:p>
  </w:footnote>
  <w:footnote w:id="10">
    <w:p w14:paraId="46784F04" w14:textId="77777777" w:rsidR="00AA37B6" w:rsidRPr="002863E7" w:rsidRDefault="00AA37B6" w:rsidP="00704EB8">
      <w:pPr>
        <w:pStyle w:val="FootnoteText"/>
        <w:spacing w:before="0" w:after="0"/>
        <w:rPr>
          <w:rFonts w:ascii="Times New Roman" w:hAnsi="Times New Roman" w:cs="Times New Roman"/>
          <w:sz w:val="18"/>
          <w:szCs w:val="18"/>
          <w:lang w:val="en-NZ"/>
        </w:rPr>
      </w:pPr>
      <w:r w:rsidRPr="00E6267B">
        <w:rPr>
          <w:rStyle w:val="FootnoteReference"/>
          <w:rFonts w:cstheme="minorHAnsi"/>
          <w:sz w:val="18"/>
          <w:szCs w:val="18"/>
        </w:rPr>
        <w:footnoteRef/>
      </w:r>
      <w:r w:rsidRPr="00E6267B">
        <w:rPr>
          <w:rFonts w:cstheme="minorHAnsi"/>
          <w:sz w:val="18"/>
          <w:szCs w:val="18"/>
        </w:rPr>
        <w:t xml:space="preserve"> </w:t>
      </w:r>
      <w:r w:rsidRPr="00E6267B">
        <w:rPr>
          <w:rFonts w:cstheme="minorHAnsi"/>
          <w:sz w:val="18"/>
          <w:szCs w:val="18"/>
          <w:lang w:val="en-NZ"/>
        </w:rPr>
        <w:t>The Forum is made up of Ministers responsible for food regulation from the Australia Federal Government; New Zealand; and Australian states and territories.</w:t>
      </w:r>
    </w:p>
  </w:footnote>
  <w:footnote w:id="11">
    <w:p w14:paraId="6A0BBB9A" w14:textId="00D0FFFC" w:rsidR="00AA37B6" w:rsidRPr="00E6267B" w:rsidRDefault="00AA37B6" w:rsidP="00704EB8">
      <w:pPr>
        <w:pStyle w:val="FootnoteText"/>
        <w:spacing w:before="0" w:after="0"/>
        <w:rPr>
          <w:rFonts w:cstheme="minorHAnsi"/>
          <w:sz w:val="18"/>
          <w:szCs w:val="18"/>
        </w:rPr>
      </w:pPr>
      <w:r w:rsidRPr="00E6267B">
        <w:rPr>
          <w:rStyle w:val="FootnoteReference"/>
          <w:rFonts w:cstheme="minorHAnsi"/>
          <w:sz w:val="18"/>
          <w:szCs w:val="18"/>
        </w:rPr>
        <w:footnoteRef/>
      </w:r>
      <w:r w:rsidRPr="00E6267B">
        <w:rPr>
          <w:rFonts w:cstheme="minorHAnsi"/>
          <w:sz w:val="18"/>
          <w:szCs w:val="18"/>
        </w:rPr>
        <w:t xml:space="preserve"> Food Standards Australia New Zealand</w:t>
      </w:r>
      <w:r>
        <w:rPr>
          <w:rFonts w:cstheme="minorHAnsi"/>
          <w:sz w:val="18"/>
          <w:szCs w:val="18"/>
        </w:rPr>
        <w:t>, 2016.</w:t>
      </w:r>
      <w:r w:rsidRPr="00E6267B">
        <w:rPr>
          <w:rFonts w:cstheme="minorHAnsi"/>
          <w:sz w:val="18"/>
          <w:szCs w:val="18"/>
        </w:rPr>
        <w:t xml:space="preserve"> </w:t>
      </w:r>
      <w:r w:rsidRPr="007D5E2A">
        <w:rPr>
          <w:rStyle w:val="Emphasis"/>
        </w:rPr>
        <w:t>‘Technical Evaluation for Labelling Review Recommendations 12- Ingredient labelling of added sugars, added fats and added vegetable oils’</w:t>
      </w:r>
      <w:r w:rsidRPr="00E6267B">
        <w:rPr>
          <w:rFonts w:cstheme="minorHAnsi"/>
          <w:i/>
          <w:sz w:val="18"/>
          <w:szCs w:val="18"/>
        </w:rPr>
        <w:t xml:space="preserve">. </w:t>
      </w:r>
      <w:r w:rsidRPr="00E6267B">
        <w:rPr>
          <w:rFonts w:cstheme="minorHAnsi"/>
          <w:sz w:val="18"/>
          <w:szCs w:val="18"/>
        </w:rPr>
        <w:t xml:space="preserve">Available at: </w:t>
      </w:r>
      <w:hyperlink r:id="rId3" w:history="1">
        <w:r w:rsidRPr="00996398">
          <w:rPr>
            <w:rFonts w:cstheme="minorHAnsi"/>
            <w:sz w:val="18"/>
            <w:szCs w:val="18"/>
            <w:u w:val="single"/>
          </w:rPr>
          <w:t>FSANZ website</w:t>
        </w:r>
      </w:hyperlink>
      <w:r w:rsidRPr="00E6267B">
        <w:rPr>
          <w:rFonts w:cstheme="minorHAnsi"/>
          <w:sz w:val="18"/>
          <w:szCs w:val="18"/>
        </w:rPr>
        <w:t xml:space="preserve"> (accessed 23 April 2018)</w:t>
      </w:r>
      <w:r>
        <w:rPr>
          <w:rFonts w:cstheme="minorHAnsi"/>
          <w:sz w:val="18"/>
          <w:szCs w:val="18"/>
        </w:rPr>
        <w:t>.</w:t>
      </w:r>
    </w:p>
  </w:footnote>
  <w:footnote w:id="12">
    <w:p w14:paraId="44C2C046" w14:textId="4DB42D10" w:rsidR="00AA37B6" w:rsidRPr="00694C72" w:rsidRDefault="00AA37B6" w:rsidP="00704EB8">
      <w:pPr>
        <w:pStyle w:val="FootnoteText"/>
        <w:spacing w:before="0" w:after="0"/>
        <w:rPr>
          <w:rFonts w:ascii="Times New Roman" w:hAnsi="Times New Roman" w:cs="Times New Roman"/>
          <w:sz w:val="18"/>
          <w:szCs w:val="18"/>
        </w:rPr>
      </w:pPr>
      <w:r w:rsidRPr="00996398">
        <w:rPr>
          <w:rFonts w:cstheme="minorHAnsi"/>
          <w:sz w:val="18"/>
          <w:szCs w:val="18"/>
          <w:vertAlign w:val="superscript"/>
        </w:rPr>
        <w:footnoteRef/>
      </w:r>
      <w:r w:rsidRPr="00996398">
        <w:rPr>
          <w:rFonts w:cstheme="minorHAnsi"/>
          <w:sz w:val="18"/>
          <w:szCs w:val="18"/>
          <w:vertAlign w:val="superscript"/>
        </w:rPr>
        <w:t xml:space="preserve"> </w:t>
      </w:r>
      <w:r w:rsidRPr="00E6267B">
        <w:rPr>
          <w:rFonts w:cstheme="minorHAnsi"/>
          <w:sz w:val="18"/>
          <w:szCs w:val="18"/>
        </w:rPr>
        <w:t>Food Regulation Secretariat</w:t>
      </w:r>
      <w:r>
        <w:rPr>
          <w:rFonts w:cstheme="minorHAnsi"/>
          <w:sz w:val="18"/>
          <w:szCs w:val="18"/>
        </w:rPr>
        <w:t>,</w:t>
      </w:r>
      <w:r w:rsidRPr="00E6267B">
        <w:rPr>
          <w:rFonts w:cstheme="minorHAnsi"/>
          <w:sz w:val="18"/>
          <w:szCs w:val="18"/>
        </w:rPr>
        <w:t xml:space="preserve"> 2018</w:t>
      </w:r>
      <w:r>
        <w:rPr>
          <w:rFonts w:cstheme="minorHAnsi"/>
          <w:sz w:val="18"/>
          <w:szCs w:val="18"/>
        </w:rPr>
        <w:t>.</w:t>
      </w:r>
      <w:r w:rsidRPr="00E6267B">
        <w:rPr>
          <w:rFonts w:cstheme="minorHAnsi"/>
          <w:sz w:val="18"/>
          <w:szCs w:val="18"/>
        </w:rPr>
        <w:t xml:space="preserve"> </w:t>
      </w:r>
      <w:r w:rsidRPr="007D5E2A">
        <w:rPr>
          <w:rStyle w:val="Emphasis"/>
        </w:rPr>
        <w:t>‘Sugar Labelling’</w:t>
      </w:r>
      <w:r>
        <w:rPr>
          <w:rFonts w:cstheme="minorHAnsi"/>
          <w:i/>
          <w:sz w:val="18"/>
          <w:szCs w:val="18"/>
        </w:rPr>
        <w:t>.</w:t>
      </w:r>
      <w:r w:rsidRPr="00E6267B">
        <w:rPr>
          <w:rFonts w:cstheme="minorHAnsi"/>
          <w:i/>
          <w:sz w:val="18"/>
          <w:szCs w:val="18"/>
        </w:rPr>
        <w:t xml:space="preserve"> </w:t>
      </w:r>
      <w:r w:rsidRPr="00E6267B">
        <w:rPr>
          <w:rFonts w:cstheme="minorHAnsi"/>
          <w:sz w:val="18"/>
          <w:szCs w:val="18"/>
        </w:rPr>
        <w:t xml:space="preserve">Available at: </w:t>
      </w:r>
      <w:hyperlink r:id="rId4" w:history="1">
        <w:r w:rsidRPr="00E6267B">
          <w:rPr>
            <w:rStyle w:val="Hyperlink"/>
            <w:rFonts w:cstheme="minorHAnsi"/>
            <w:sz w:val="18"/>
            <w:szCs w:val="18"/>
          </w:rPr>
          <w:t>Food Regulation website</w:t>
        </w:r>
      </w:hyperlink>
      <w:r w:rsidRPr="00E6267B">
        <w:rPr>
          <w:rFonts w:cstheme="minorHAnsi"/>
          <w:sz w:val="18"/>
          <w:szCs w:val="18"/>
        </w:rPr>
        <w:t xml:space="preserve"> (accessed 23 April 2018)</w:t>
      </w:r>
      <w:r>
        <w:rPr>
          <w:rFonts w:cstheme="minorHAnsi"/>
          <w:sz w:val="18"/>
          <w:szCs w:val="18"/>
        </w:rPr>
        <w:t>.</w:t>
      </w:r>
    </w:p>
  </w:footnote>
  <w:footnote w:id="13">
    <w:p w14:paraId="14BC097B" w14:textId="5755BB7E" w:rsidR="00AA37B6" w:rsidRPr="003234BA" w:rsidRDefault="00AA37B6" w:rsidP="00704EB8">
      <w:pPr>
        <w:pStyle w:val="FootnoteText"/>
        <w:spacing w:before="0" w:after="0"/>
        <w:rPr>
          <w:rFonts w:cstheme="minorHAnsi"/>
          <w:sz w:val="18"/>
          <w:szCs w:val="18"/>
        </w:rPr>
      </w:pPr>
      <w:r w:rsidRPr="003234BA">
        <w:rPr>
          <w:rStyle w:val="FootnoteReference"/>
          <w:rFonts w:cstheme="minorHAnsi"/>
          <w:sz w:val="18"/>
          <w:szCs w:val="18"/>
        </w:rPr>
        <w:footnoteRef/>
      </w:r>
      <w:r w:rsidRPr="003234BA">
        <w:rPr>
          <w:rFonts w:cstheme="minorHAnsi"/>
          <w:sz w:val="18"/>
          <w:szCs w:val="18"/>
        </w:rPr>
        <w:t xml:space="preserve"> National Health and Medical Research Council, 2013. ‘</w:t>
      </w:r>
      <w:r w:rsidRPr="003234BA">
        <w:rPr>
          <w:rFonts w:cstheme="minorHAnsi"/>
          <w:i/>
          <w:iCs/>
          <w:sz w:val="18"/>
          <w:szCs w:val="18"/>
        </w:rPr>
        <w:t>Eat For Health: Australian Dietary Guidelines’</w:t>
      </w:r>
      <w:r w:rsidRPr="003234BA">
        <w:rPr>
          <w:rFonts w:cstheme="minorHAnsi"/>
          <w:iCs/>
          <w:sz w:val="18"/>
          <w:szCs w:val="18"/>
        </w:rPr>
        <w:t>,</w:t>
      </w:r>
      <w:r w:rsidRPr="003234BA">
        <w:rPr>
          <w:rFonts w:cstheme="minorHAnsi"/>
          <w:sz w:val="18"/>
          <w:szCs w:val="18"/>
        </w:rPr>
        <w:t xml:space="preserve"> Canberra: Australian Government. Available at </w:t>
      </w:r>
      <w:hyperlink r:id="rId5" w:history="1">
        <w:r w:rsidRPr="003234BA">
          <w:rPr>
            <w:rStyle w:val="Hyperlink"/>
            <w:rFonts w:eastAsiaTheme="majorEastAsia" w:cstheme="minorHAnsi"/>
            <w:sz w:val="18"/>
            <w:szCs w:val="18"/>
          </w:rPr>
          <w:t>Eat for Health website</w:t>
        </w:r>
      </w:hyperlink>
      <w:r w:rsidRPr="003234BA">
        <w:rPr>
          <w:rStyle w:val="Hyperlink"/>
          <w:rFonts w:eastAsiaTheme="majorEastAsia" w:cstheme="minorHAnsi"/>
          <w:color w:val="auto"/>
          <w:sz w:val="18"/>
          <w:szCs w:val="18"/>
          <w:u w:val="none"/>
        </w:rPr>
        <w:t xml:space="preserve"> (accessed 23 April 2018).</w:t>
      </w:r>
    </w:p>
  </w:footnote>
  <w:footnote w:id="14">
    <w:p w14:paraId="08D78D4A" w14:textId="4F59F0EA" w:rsidR="00AA37B6" w:rsidRPr="005837C6" w:rsidRDefault="00AA37B6" w:rsidP="00704EB8">
      <w:pPr>
        <w:pStyle w:val="FootnoteText"/>
        <w:spacing w:before="0" w:after="0"/>
      </w:pPr>
      <w:r w:rsidRPr="003234BA">
        <w:rPr>
          <w:rStyle w:val="FootnoteReference"/>
          <w:rFonts w:cstheme="minorHAnsi"/>
          <w:sz w:val="18"/>
          <w:szCs w:val="18"/>
        </w:rPr>
        <w:footnoteRef/>
      </w:r>
      <w:r w:rsidRPr="003234BA">
        <w:rPr>
          <w:rFonts w:cstheme="minorHAnsi"/>
          <w:sz w:val="18"/>
          <w:szCs w:val="18"/>
        </w:rPr>
        <w:t xml:space="preserve"> Ministry of Health, 2015. ‘</w:t>
      </w:r>
      <w:r w:rsidRPr="003234BA">
        <w:rPr>
          <w:rFonts w:cstheme="minorHAnsi"/>
          <w:i/>
          <w:sz w:val="18"/>
          <w:szCs w:val="18"/>
        </w:rPr>
        <w:t>Eating and Activity Guidelines for New Zealand Adults’</w:t>
      </w:r>
      <w:r w:rsidRPr="003234BA">
        <w:rPr>
          <w:rFonts w:cstheme="minorHAnsi"/>
          <w:sz w:val="18"/>
          <w:szCs w:val="18"/>
        </w:rPr>
        <w:t xml:space="preserve">, Wellington: Ministry of Health. Available at: </w:t>
      </w:r>
      <w:hyperlink r:id="rId6" w:history="1">
        <w:r w:rsidRPr="003234BA">
          <w:rPr>
            <w:rStyle w:val="Hyperlink"/>
            <w:rFonts w:eastAsiaTheme="majorEastAsia" w:cstheme="minorHAnsi"/>
            <w:sz w:val="18"/>
            <w:szCs w:val="18"/>
          </w:rPr>
          <w:t>Eating and Activity Guidelines for New Zealand Adults</w:t>
        </w:r>
      </w:hyperlink>
      <w:r w:rsidRPr="003234BA">
        <w:rPr>
          <w:rFonts w:cstheme="minorHAnsi"/>
          <w:sz w:val="18"/>
          <w:szCs w:val="18"/>
        </w:rPr>
        <w:t xml:space="preserve"> (accessed 24 June 2016).</w:t>
      </w:r>
    </w:p>
  </w:footnote>
  <w:footnote w:id="15">
    <w:p w14:paraId="0216434D" w14:textId="6DBD077A" w:rsidR="00AA37B6" w:rsidRPr="00537901" w:rsidRDefault="00AA37B6" w:rsidP="00704EB8">
      <w:pPr>
        <w:pStyle w:val="FootnoteText"/>
        <w:spacing w:before="0" w:after="0"/>
        <w:rPr>
          <w:rFonts w:cstheme="minorHAnsi"/>
          <w:sz w:val="18"/>
          <w:szCs w:val="18"/>
        </w:rPr>
      </w:pPr>
      <w:r w:rsidRPr="00537901">
        <w:rPr>
          <w:rStyle w:val="FootnoteReference"/>
          <w:rFonts w:cstheme="minorHAnsi"/>
          <w:sz w:val="18"/>
          <w:szCs w:val="18"/>
        </w:rPr>
        <w:footnoteRef/>
      </w:r>
      <w:r w:rsidRPr="00537901">
        <w:rPr>
          <w:rFonts w:cstheme="minorHAnsi"/>
          <w:sz w:val="18"/>
          <w:szCs w:val="18"/>
        </w:rPr>
        <w:t xml:space="preserve"> </w:t>
      </w:r>
      <w:r w:rsidRPr="00537901">
        <w:rPr>
          <w:rFonts w:eastAsia="Times New Roman" w:cstheme="minorHAnsi"/>
          <w:sz w:val="18"/>
          <w:szCs w:val="18"/>
        </w:rPr>
        <w:t>The exact specifications about which sugars are considered to be ‘added’ or otherwise are not considered in this paper, but would be considered as part of the implementatio</w:t>
      </w:r>
      <w:r>
        <w:rPr>
          <w:rFonts w:eastAsia="Times New Roman" w:cstheme="minorHAnsi"/>
          <w:sz w:val="18"/>
          <w:szCs w:val="18"/>
        </w:rPr>
        <w:t>n of any future policy options.</w:t>
      </w:r>
    </w:p>
  </w:footnote>
  <w:footnote w:id="16">
    <w:p w14:paraId="107C22EC" w14:textId="1C72C40B" w:rsidR="00AA37B6" w:rsidRPr="00CE5647" w:rsidRDefault="00AA37B6" w:rsidP="00704EB8">
      <w:pPr>
        <w:spacing w:before="0" w:after="0"/>
        <w:rPr>
          <w:rFonts w:cstheme="minorHAnsi"/>
          <w:sz w:val="18"/>
          <w:szCs w:val="18"/>
        </w:rPr>
      </w:pPr>
      <w:r w:rsidRPr="00537901">
        <w:rPr>
          <w:rStyle w:val="FootnoteReference"/>
          <w:rFonts w:cstheme="minorHAnsi"/>
          <w:sz w:val="18"/>
          <w:szCs w:val="18"/>
        </w:rPr>
        <w:footnoteRef/>
      </w:r>
      <w:r w:rsidRPr="00537901">
        <w:rPr>
          <w:rFonts w:cstheme="minorHAnsi"/>
          <w:sz w:val="18"/>
          <w:szCs w:val="18"/>
        </w:rPr>
        <w:t xml:space="preserve"> Sugar </w:t>
      </w:r>
      <w:r w:rsidRPr="00CE5647">
        <w:rPr>
          <w:rFonts w:cstheme="minorHAnsi"/>
          <w:sz w:val="18"/>
          <w:szCs w:val="18"/>
        </w:rPr>
        <w:t>Research Advisory Service, n.d. ‘The function role of sugar in food’</w:t>
      </w:r>
      <w:r>
        <w:rPr>
          <w:rFonts w:cstheme="minorHAnsi"/>
          <w:sz w:val="18"/>
          <w:szCs w:val="18"/>
        </w:rPr>
        <w:t>.</w:t>
      </w:r>
      <w:r w:rsidRPr="00CE5647">
        <w:rPr>
          <w:rFonts w:cstheme="minorHAnsi"/>
          <w:sz w:val="18"/>
          <w:szCs w:val="18"/>
        </w:rPr>
        <w:t xml:space="preserve"> Available at this link: </w:t>
      </w:r>
      <w:hyperlink r:id="rId7" w:history="1">
        <w:r w:rsidRPr="00CE5647">
          <w:rPr>
            <w:rStyle w:val="Hyperlink"/>
            <w:rFonts w:eastAsiaTheme="majorEastAsia" w:cstheme="minorHAnsi"/>
            <w:sz w:val="18"/>
            <w:szCs w:val="18"/>
          </w:rPr>
          <w:t>Sugar Research Advisory Service</w:t>
        </w:r>
      </w:hyperlink>
      <w:r w:rsidRPr="00CE5647">
        <w:rPr>
          <w:rFonts w:cstheme="minorHAnsi"/>
          <w:sz w:val="18"/>
          <w:szCs w:val="18"/>
        </w:rPr>
        <w:t xml:space="preserve"> (accessed 22 June 2017).</w:t>
      </w:r>
    </w:p>
  </w:footnote>
  <w:footnote w:id="17">
    <w:p w14:paraId="2621C2B2" w14:textId="3136971E" w:rsidR="00AA37B6" w:rsidRPr="00CE5647" w:rsidRDefault="00AA37B6" w:rsidP="00704EB8">
      <w:pPr>
        <w:pStyle w:val="FootnoteText"/>
        <w:spacing w:before="0" w:after="0"/>
      </w:pPr>
      <w:r w:rsidRPr="00CE5647">
        <w:rPr>
          <w:rStyle w:val="FootnoteReference"/>
          <w:sz w:val="18"/>
          <w:szCs w:val="18"/>
        </w:rPr>
        <w:footnoteRef/>
      </w:r>
      <w:r w:rsidRPr="00CE5647">
        <w:rPr>
          <w:sz w:val="18"/>
          <w:szCs w:val="18"/>
        </w:rPr>
        <w:t xml:space="preserve"> Erickson</w:t>
      </w:r>
      <w:r>
        <w:rPr>
          <w:sz w:val="18"/>
          <w:szCs w:val="18"/>
        </w:rPr>
        <w:t>,</w:t>
      </w:r>
      <w:r w:rsidRPr="00CE5647">
        <w:rPr>
          <w:sz w:val="18"/>
          <w:szCs w:val="18"/>
        </w:rPr>
        <w:t xml:space="preserve"> J</w:t>
      </w:r>
      <w:r>
        <w:rPr>
          <w:sz w:val="18"/>
          <w:szCs w:val="18"/>
        </w:rPr>
        <w:t>.</w:t>
      </w:r>
      <w:r w:rsidRPr="00CE5647">
        <w:rPr>
          <w:sz w:val="18"/>
          <w:szCs w:val="18"/>
        </w:rPr>
        <w:t xml:space="preserve"> &amp; Slavin</w:t>
      </w:r>
      <w:r>
        <w:rPr>
          <w:sz w:val="18"/>
          <w:szCs w:val="18"/>
        </w:rPr>
        <w:t>,</w:t>
      </w:r>
      <w:r w:rsidRPr="00CE5647">
        <w:rPr>
          <w:sz w:val="18"/>
          <w:szCs w:val="18"/>
        </w:rPr>
        <w:t xml:space="preserve"> J</w:t>
      </w:r>
      <w:r>
        <w:rPr>
          <w:sz w:val="18"/>
          <w:szCs w:val="18"/>
        </w:rPr>
        <w:t>.</w:t>
      </w:r>
      <w:r w:rsidRPr="00CE5647">
        <w:rPr>
          <w:sz w:val="18"/>
          <w:szCs w:val="18"/>
        </w:rPr>
        <w:t>, 2015. ‘</w:t>
      </w:r>
      <w:r>
        <w:rPr>
          <w:sz w:val="18"/>
          <w:szCs w:val="18"/>
        </w:rPr>
        <w:t>Ar</w:t>
      </w:r>
      <w:r w:rsidRPr="00CE5647">
        <w:rPr>
          <w:sz w:val="18"/>
          <w:szCs w:val="18"/>
        </w:rPr>
        <w:t xml:space="preserve">e restrictive guidelines for added sugars science based?’ </w:t>
      </w:r>
      <w:r w:rsidRPr="00CE5647">
        <w:rPr>
          <w:i/>
          <w:sz w:val="18"/>
          <w:szCs w:val="18"/>
        </w:rPr>
        <w:t>Nutr</w:t>
      </w:r>
      <w:r>
        <w:rPr>
          <w:i/>
          <w:sz w:val="18"/>
          <w:szCs w:val="18"/>
        </w:rPr>
        <w:t>ition</w:t>
      </w:r>
      <w:r w:rsidRPr="00CE5647">
        <w:rPr>
          <w:i/>
          <w:sz w:val="18"/>
          <w:szCs w:val="18"/>
        </w:rPr>
        <w:t xml:space="preserve"> J</w:t>
      </w:r>
      <w:r>
        <w:rPr>
          <w:i/>
          <w:sz w:val="18"/>
          <w:szCs w:val="18"/>
        </w:rPr>
        <w:t>ournal,</w:t>
      </w:r>
      <w:r w:rsidRPr="00CE5647">
        <w:rPr>
          <w:i/>
          <w:sz w:val="18"/>
          <w:szCs w:val="18"/>
        </w:rPr>
        <w:t xml:space="preserve"> </w:t>
      </w:r>
      <w:r w:rsidRPr="00CE5647">
        <w:rPr>
          <w:sz w:val="18"/>
          <w:szCs w:val="18"/>
        </w:rPr>
        <w:t xml:space="preserve">14: </w:t>
      </w:r>
      <w:r>
        <w:rPr>
          <w:sz w:val="18"/>
          <w:szCs w:val="18"/>
        </w:rPr>
        <w:t>p</w:t>
      </w:r>
      <w:r w:rsidRPr="00CE5647">
        <w:rPr>
          <w:sz w:val="18"/>
          <w:szCs w:val="18"/>
        </w:rPr>
        <w:t>124.</w:t>
      </w:r>
    </w:p>
  </w:footnote>
  <w:footnote w:id="18">
    <w:p w14:paraId="44433B35" w14:textId="281AB1B0" w:rsidR="00AA37B6" w:rsidRPr="000D2A5E" w:rsidRDefault="00AA37B6" w:rsidP="00704EB8">
      <w:pPr>
        <w:pStyle w:val="FootnoteText"/>
        <w:spacing w:before="0" w:after="0"/>
        <w:rPr>
          <w:sz w:val="18"/>
          <w:szCs w:val="18"/>
        </w:rPr>
      </w:pPr>
      <w:r w:rsidRPr="000D2A5E">
        <w:rPr>
          <w:rStyle w:val="FootnoteReference"/>
          <w:sz w:val="18"/>
          <w:szCs w:val="18"/>
        </w:rPr>
        <w:footnoteRef/>
      </w:r>
      <w:r w:rsidRPr="000D2A5E">
        <w:rPr>
          <w:sz w:val="18"/>
          <w:szCs w:val="18"/>
        </w:rPr>
        <w:t xml:space="preserve"> </w:t>
      </w:r>
      <w:r w:rsidRPr="000D2A5E">
        <w:rPr>
          <w:rFonts w:cstheme="minorHAnsi"/>
          <w:sz w:val="18"/>
          <w:szCs w:val="18"/>
        </w:rPr>
        <w:t>United States Food and Drug Administration (USFDA) 2014. ‘</w:t>
      </w:r>
      <w:r w:rsidRPr="000D2A5E">
        <w:rPr>
          <w:rFonts w:cstheme="minorHAnsi"/>
          <w:i/>
          <w:sz w:val="18"/>
          <w:szCs w:val="18"/>
        </w:rPr>
        <w:t>Food Labelling: Revision of the Nutrition and Supplement Facts Labels</w:t>
      </w:r>
      <w:r w:rsidRPr="000D2A5E">
        <w:rPr>
          <w:rFonts w:cstheme="minorHAnsi"/>
          <w:sz w:val="18"/>
          <w:szCs w:val="18"/>
        </w:rPr>
        <w:t>’: Available at</w:t>
      </w:r>
      <w:r>
        <w:rPr>
          <w:rFonts w:cstheme="minorHAnsi"/>
          <w:sz w:val="18"/>
          <w:szCs w:val="18"/>
        </w:rPr>
        <w:t>:</w:t>
      </w:r>
      <w:r w:rsidRPr="000D2A5E">
        <w:rPr>
          <w:rFonts w:cstheme="minorHAnsi"/>
          <w:sz w:val="18"/>
          <w:szCs w:val="18"/>
        </w:rPr>
        <w:t xml:space="preserve"> </w:t>
      </w:r>
      <w:hyperlink r:id="rId8" w:anchor="h-12" w:history="1">
        <w:r w:rsidRPr="000D2A5E">
          <w:rPr>
            <w:rStyle w:val="Hyperlink"/>
            <w:rFonts w:eastAsiaTheme="majorEastAsia" w:cstheme="minorHAnsi"/>
            <w:sz w:val="18"/>
            <w:szCs w:val="18"/>
          </w:rPr>
          <w:t>Federal Register, the Daily Journal of the United States Government</w:t>
        </w:r>
      </w:hyperlink>
      <w:r w:rsidRPr="000D2A5E">
        <w:rPr>
          <w:rFonts w:cstheme="minorHAnsi"/>
          <w:sz w:val="18"/>
          <w:szCs w:val="18"/>
        </w:rPr>
        <w:t xml:space="preserve"> (accessed 17 June 2016).</w:t>
      </w:r>
    </w:p>
  </w:footnote>
  <w:footnote w:id="19">
    <w:p w14:paraId="3AEA22EB" w14:textId="47B44B2A" w:rsidR="00AA37B6" w:rsidRPr="000D2A5E" w:rsidRDefault="00AA37B6" w:rsidP="00704EB8">
      <w:pPr>
        <w:pStyle w:val="FootnoteText"/>
        <w:spacing w:before="0" w:after="0"/>
        <w:rPr>
          <w:sz w:val="18"/>
          <w:szCs w:val="18"/>
        </w:rPr>
      </w:pPr>
      <w:r w:rsidRPr="000D2A5E">
        <w:rPr>
          <w:rStyle w:val="FootnoteReference"/>
          <w:sz w:val="18"/>
          <w:szCs w:val="18"/>
        </w:rPr>
        <w:footnoteRef/>
      </w:r>
      <w:r w:rsidRPr="000D2A5E">
        <w:rPr>
          <w:sz w:val="18"/>
          <w:szCs w:val="18"/>
        </w:rPr>
        <w:t xml:space="preserve"> </w:t>
      </w:r>
      <w:r w:rsidRPr="000D2A5E">
        <w:rPr>
          <w:rFonts w:cstheme="minorHAnsi"/>
          <w:sz w:val="18"/>
          <w:szCs w:val="18"/>
          <w:shd w:val="clear" w:color="auto" w:fill="FFFFFF"/>
        </w:rPr>
        <w:t>Mela, D.</w:t>
      </w:r>
      <w:r>
        <w:rPr>
          <w:rFonts w:cstheme="minorHAnsi"/>
          <w:sz w:val="18"/>
          <w:szCs w:val="18"/>
          <w:shd w:val="clear" w:color="auto" w:fill="FFFFFF"/>
        </w:rPr>
        <w:t xml:space="preserve"> </w:t>
      </w:r>
      <w:r w:rsidRPr="000D2A5E">
        <w:rPr>
          <w:rFonts w:cstheme="minorHAnsi"/>
          <w:sz w:val="18"/>
          <w:szCs w:val="18"/>
          <w:shd w:val="clear" w:color="auto" w:fill="FFFFFF"/>
        </w:rPr>
        <w:t>J</w:t>
      </w:r>
      <w:r>
        <w:rPr>
          <w:rFonts w:cstheme="minorHAnsi"/>
          <w:sz w:val="18"/>
          <w:szCs w:val="18"/>
          <w:shd w:val="clear" w:color="auto" w:fill="FFFFFF"/>
        </w:rPr>
        <w:t>.</w:t>
      </w:r>
      <w:r w:rsidRPr="000D2A5E">
        <w:rPr>
          <w:rFonts w:cstheme="minorHAnsi"/>
          <w:sz w:val="18"/>
          <w:szCs w:val="18"/>
          <w:shd w:val="clear" w:color="auto" w:fill="FFFFFF"/>
        </w:rPr>
        <w:t xml:space="preserve"> and Woolner, E.</w:t>
      </w:r>
      <w:r>
        <w:rPr>
          <w:rFonts w:cstheme="minorHAnsi"/>
          <w:sz w:val="18"/>
          <w:szCs w:val="18"/>
          <w:shd w:val="clear" w:color="auto" w:fill="FFFFFF"/>
        </w:rPr>
        <w:t xml:space="preserve"> </w:t>
      </w:r>
      <w:r w:rsidRPr="000D2A5E">
        <w:rPr>
          <w:rFonts w:cstheme="minorHAnsi"/>
          <w:sz w:val="18"/>
          <w:szCs w:val="18"/>
          <w:shd w:val="clear" w:color="auto" w:fill="FFFFFF"/>
        </w:rPr>
        <w:t>M</w:t>
      </w:r>
      <w:r>
        <w:rPr>
          <w:rFonts w:cstheme="minorHAnsi"/>
          <w:sz w:val="18"/>
          <w:szCs w:val="18"/>
          <w:shd w:val="clear" w:color="auto" w:fill="FFFFFF"/>
        </w:rPr>
        <w:t>,</w:t>
      </w:r>
      <w:r w:rsidRPr="000D2A5E">
        <w:rPr>
          <w:rFonts w:cstheme="minorHAnsi"/>
          <w:sz w:val="18"/>
          <w:szCs w:val="18"/>
          <w:shd w:val="clear" w:color="auto" w:fill="FFFFFF"/>
        </w:rPr>
        <w:t xml:space="preserve"> 2018. ‘Perspective: Total, Added, or Free? What Kind of Suga</w:t>
      </w:r>
      <w:r>
        <w:rPr>
          <w:rFonts w:cstheme="minorHAnsi"/>
          <w:sz w:val="18"/>
          <w:szCs w:val="18"/>
          <w:shd w:val="clear" w:color="auto" w:fill="FFFFFF"/>
        </w:rPr>
        <w:t>rs Should We Be Talking About?’.</w:t>
      </w:r>
      <w:r w:rsidRPr="000D2A5E">
        <w:rPr>
          <w:rFonts w:cstheme="minorHAnsi"/>
          <w:sz w:val="18"/>
          <w:szCs w:val="18"/>
          <w:shd w:val="clear" w:color="auto" w:fill="FFFFFF"/>
        </w:rPr>
        <w:t> </w:t>
      </w:r>
      <w:r w:rsidRPr="000D2A5E">
        <w:rPr>
          <w:rStyle w:val="Emphasis"/>
          <w:rFonts w:cstheme="minorHAnsi"/>
          <w:sz w:val="18"/>
          <w:szCs w:val="18"/>
          <w:bdr w:val="none" w:sz="0" w:space="0" w:color="auto" w:frame="1"/>
          <w:shd w:val="clear" w:color="auto" w:fill="FFFFFF"/>
        </w:rPr>
        <w:t>Advances in Nutrition</w:t>
      </w:r>
      <w:r>
        <w:rPr>
          <w:rFonts w:cstheme="minorHAnsi"/>
          <w:sz w:val="18"/>
          <w:szCs w:val="18"/>
          <w:shd w:val="clear" w:color="auto" w:fill="FFFFFF"/>
        </w:rPr>
        <w:t>, 9</w:t>
      </w:r>
      <w:r w:rsidRPr="000D2A5E">
        <w:rPr>
          <w:rFonts w:cstheme="minorHAnsi"/>
          <w:sz w:val="18"/>
          <w:szCs w:val="18"/>
          <w:shd w:val="clear" w:color="auto" w:fill="FFFFFF"/>
        </w:rPr>
        <w:t>(2)</w:t>
      </w:r>
      <w:r>
        <w:rPr>
          <w:rFonts w:cstheme="minorHAnsi"/>
          <w:sz w:val="18"/>
          <w:szCs w:val="18"/>
          <w:shd w:val="clear" w:color="auto" w:fill="FFFFFF"/>
        </w:rPr>
        <w:t>:</w:t>
      </w:r>
      <w:r w:rsidRPr="000D2A5E">
        <w:rPr>
          <w:rFonts w:cstheme="minorHAnsi"/>
          <w:sz w:val="18"/>
          <w:szCs w:val="18"/>
          <w:shd w:val="clear" w:color="auto" w:fill="FFFFFF"/>
        </w:rPr>
        <w:t xml:space="preserve"> </w:t>
      </w:r>
      <w:r>
        <w:rPr>
          <w:rFonts w:cstheme="minorHAnsi"/>
          <w:sz w:val="18"/>
          <w:szCs w:val="18"/>
          <w:shd w:val="clear" w:color="auto" w:fill="FFFFFF"/>
        </w:rPr>
        <w:t>p</w:t>
      </w:r>
      <w:r w:rsidRPr="000D2A5E">
        <w:rPr>
          <w:rFonts w:cstheme="minorHAnsi"/>
          <w:sz w:val="18"/>
          <w:szCs w:val="18"/>
          <w:shd w:val="clear" w:color="auto" w:fill="FFFFFF"/>
        </w:rPr>
        <w:t>63–69.</w:t>
      </w:r>
    </w:p>
  </w:footnote>
  <w:footnote w:id="20">
    <w:p w14:paraId="57100254" w14:textId="039745F6" w:rsidR="00AA37B6" w:rsidRPr="000D2A5E" w:rsidRDefault="00AA37B6" w:rsidP="00704EB8">
      <w:pPr>
        <w:pStyle w:val="FootnoteText"/>
        <w:spacing w:before="0" w:after="0"/>
        <w:rPr>
          <w:rFonts w:cstheme="minorHAnsi"/>
          <w:sz w:val="18"/>
          <w:szCs w:val="18"/>
        </w:rPr>
      </w:pPr>
      <w:r w:rsidRPr="000D2A5E">
        <w:rPr>
          <w:rStyle w:val="FootnoteReference"/>
          <w:rFonts w:cstheme="minorHAnsi"/>
          <w:sz w:val="18"/>
          <w:szCs w:val="18"/>
        </w:rPr>
        <w:footnoteRef/>
      </w:r>
      <w:r w:rsidRPr="000D2A5E">
        <w:rPr>
          <w:rFonts w:cstheme="minorHAnsi"/>
          <w:sz w:val="18"/>
          <w:szCs w:val="18"/>
        </w:rPr>
        <w:t xml:space="preserve"> Peters S, et al. 2017. ‘Incorporating Added Sugar Improves the Performance of the Health Star Rating Front-of-Pack Labelling System in Australia’. </w:t>
      </w:r>
      <w:r w:rsidRPr="000D2A5E">
        <w:rPr>
          <w:rFonts w:cstheme="minorHAnsi"/>
          <w:i/>
          <w:sz w:val="18"/>
          <w:szCs w:val="18"/>
        </w:rPr>
        <w:t xml:space="preserve">Nutrients, </w:t>
      </w:r>
      <w:r w:rsidRPr="000D2A5E">
        <w:rPr>
          <w:rFonts w:cstheme="minorHAnsi"/>
          <w:sz w:val="18"/>
          <w:szCs w:val="18"/>
        </w:rPr>
        <w:t>9(7)</w:t>
      </w:r>
      <w:r>
        <w:rPr>
          <w:rFonts w:cstheme="minorHAnsi"/>
          <w:sz w:val="18"/>
          <w:szCs w:val="18"/>
        </w:rPr>
        <w:t>:p</w:t>
      </w:r>
      <w:r w:rsidRPr="000D2A5E">
        <w:rPr>
          <w:rFonts w:cstheme="minorHAnsi"/>
          <w:sz w:val="18"/>
          <w:szCs w:val="18"/>
        </w:rPr>
        <w:t>701.</w:t>
      </w:r>
    </w:p>
  </w:footnote>
  <w:footnote w:id="21">
    <w:p w14:paraId="055482BE" w14:textId="22F58E8E" w:rsidR="00AA37B6" w:rsidRPr="000D2A5E" w:rsidRDefault="00AA37B6" w:rsidP="00704EB8">
      <w:pPr>
        <w:spacing w:before="0" w:after="0"/>
        <w:rPr>
          <w:rFonts w:cstheme="minorHAnsi"/>
          <w:sz w:val="18"/>
          <w:szCs w:val="18"/>
        </w:rPr>
      </w:pPr>
      <w:r w:rsidRPr="000D2A5E">
        <w:rPr>
          <w:rStyle w:val="FootnoteReference"/>
          <w:rFonts w:cstheme="minorHAnsi"/>
          <w:sz w:val="18"/>
          <w:szCs w:val="18"/>
        </w:rPr>
        <w:footnoteRef/>
      </w:r>
      <w:r w:rsidRPr="000D2A5E">
        <w:rPr>
          <w:rFonts w:cstheme="minorHAnsi"/>
          <w:sz w:val="18"/>
          <w:szCs w:val="18"/>
        </w:rPr>
        <w:t xml:space="preserve"> Institute of Medicine (IOM) of the National Academies 2005. ‘</w:t>
      </w:r>
      <w:r w:rsidRPr="000D2A5E">
        <w:rPr>
          <w:rFonts w:cstheme="minorHAnsi"/>
          <w:i/>
          <w:sz w:val="18"/>
          <w:szCs w:val="18"/>
        </w:rPr>
        <w:t>Dietary Reference Intakes for Energy, Carbohydrate, Fiber, Fat, Fatty Acids, Cholesterol, Protein, and Amino Acids (Macronutrients), Chapter 6:Dietary Carbohydrates: Sugars and Starches</w:t>
      </w:r>
      <w:r>
        <w:rPr>
          <w:rFonts w:cstheme="minorHAnsi"/>
          <w:sz w:val="18"/>
          <w:szCs w:val="18"/>
        </w:rPr>
        <w:t>’. Washington, DC</w:t>
      </w:r>
      <w:r w:rsidRPr="000D2A5E">
        <w:rPr>
          <w:rFonts w:cstheme="minorHAnsi"/>
          <w:sz w:val="18"/>
          <w:szCs w:val="18"/>
        </w:rPr>
        <w:t xml:space="preserve">. Available </w:t>
      </w:r>
      <w:r>
        <w:rPr>
          <w:rFonts w:cstheme="minorHAnsi"/>
          <w:sz w:val="18"/>
          <w:szCs w:val="18"/>
        </w:rPr>
        <w:t>at</w:t>
      </w:r>
      <w:r w:rsidRPr="000D2A5E">
        <w:rPr>
          <w:rFonts w:cstheme="minorHAnsi"/>
          <w:sz w:val="18"/>
          <w:szCs w:val="18"/>
        </w:rPr>
        <w:t xml:space="preserve">: </w:t>
      </w:r>
      <w:hyperlink r:id="rId9" w:history="1">
        <w:r w:rsidRPr="000D2A5E">
          <w:rPr>
            <w:rStyle w:val="Hyperlink"/>
            <w:rFonts w:eastAsiaTheme="majorEastAsia" w:cstheme="minorHAnsi"/>
            <w:sz w:val="18"/>
            <w:szCs w:val="18"/>
          </w:rPr>
          <w:t>the National Academies Press</w:t>
        </w:r>
      </w:hyperlink>
      <w:r w:rsidRPr="000D2A5E">
        <w:rPr>
          <w:rFonts w:cstheme="minorHAnsi"/>
          <w:sz w:val="18"/>
          <w:szCs w:val="18"/>
        </w:rPr>
        <w:t xml:space="preserve"> (accessed 17 June 2016)</w:t>
      </w:r>
      <w:r>
        <w:rPr>
          <w:rFonts w:cstheme="minorHAnsi"/>
          <w:sz w:val="18"/>
          <w:szCs w:val="18"/>
        </w:rPr>
        <w:t>.</w:t>
      </w:r>
    </w:p>
  </w:footnote>
  <w:footnote w:id="22">
    <w:p w14:paraId="333084F9" w14:textId="242F6E4C" w:rsidR="00AA37B6" w:rsidRPr="000D2A5E" w:rsidRDefault="00AA37B6" w:rsidP="00704EB8">
      <w:pPr>
        <w:pStyle w:val="FootnoteText"/>
        <w:spacing w:before="0" w:after="0"/>
        <w:rPr>
          <w:rFonts w:cstheme="minorHAnsi"/>
          <w:sz w:val="18"/>
          <w:szCs w:val="18"/>
        </w:rPr>
      </w:pPr>
      <w:r w:rsidRPr="000D2A5E">
        <w:rPr>
          <w:rStyle w:val="FootnoteReference"/>
          <w:rFonts w:cstheme="minorHAnsi"/>
          <w:sz w:val="18"/>
          <w:szCs w:val="18"/>
        </w:rPr>
        <w:footnoteRef/>
      </w:r>
      <w:r w:rsidRPr="000D2A5E">
        <w:rPr>
          <w:rFonts w:cstheme="minorHAnsi"/>
          <w:sz w:val="18"/>
          <w:szCs w:val="18"/>
        </w:rPr>
        <w:t xml:space="preserve"> Louie</w:t>
      </w:r>
      <w:r>
        <w:rPr>
          <w:rFonts w:cstheme="minorHAnsi"/>
          <w:sz w:val="18"/>
          <w:szCs w:val="18"/>
        </w:rPr>
        <w:t>,</w:t>
      </w:r>
      <w:r w:rsidRPr="000D2A5E">
        <w:rPr>
          <w:rFonts w:cstheme="minorHAnsi"/>
          <w:sz w:val="18"/>
          <w:szCs w:val="18"/>
        </w:rPr>
        <w:t xml:space="preserve"> J</w:t>
      </w:r>
      <w:r>
        <w:rPr>
          <w:rFonts w:cstheme="minorHAnsi"/>
          <w:sz w:val="18"/>
          <w:szCs w:val="18"/>
        </w:rPr>
        <w:t>.</w:t>
      </w:r>
      <w:r w:rsidRPr="000D2A5E">
        <w:rPr>
          <w:rFonts w:cstheme="minorHAnsi"/>
          <w:sz w:val="18"/>
          <w:szCs w:val="18"/>
        </w:rPr>
        <w:t>C</w:t>
      </w:r>
      <w:r>
        <w:rPr>
          <w:rFonts w:cstheme="minorHAnsi"/>
          <w:sz w:val="18"/>
          <w:szCs w:val="18"/>
        </w:rPr>
        <w:t>. &amp;</w:t>
      </w:r>
      <w:r w:rsidRPr="000D2A5E">
        <w:rPr>
          <w:rFonts w:cstheme="minorHAnsi"/>
          <w:sz w:val="18"/>
          <w:szCs w:val="18"/>
        </w:rPr>
        <w:t xml:space="preserve"> Tapsell</w:t>
      </w:r>
      <w:r>
        <w:rPr>
          <w:rFonts w:cstheme="minorHAnsi"/>
          <w:sz w:val="18"/>
          <w:szCs w:val="18"/>
        </w:rPr>
        <w:t>,</w:t>
      </w:r>
      <w:r w:rsidRPr="000D2A5E">
        <w:rPr>
          <w:rFonts w:cstheme="minorHAnsi"/>
          <w:sz w:val="18"/>
          <w:szCs w:val="18"/>
        </w:rPr>
        <w:t xml:space="preserve"> L</w:t>
      </w:r>
      <w:r>
        <w:rPr>
          <w:rFonts w:cstheme="minorHAnsi"/>
          <w:sz w:val="18"/>
          <w:szCs w:val="18"/>
        </w:rPr>
        <w:t>.</w:t>
      </w:r>
      <w:r w:rsidRPr="000D2A5E">
        <w:rPr>
          <w:rFonts w:cstheme="minorHAnsi"/>
          <w:sz w:val="18"/>
          <w:szCs w:val="18"/>
        </w:rPr>
        <w:t>C</w:t>
      </w:r>
      <w:r>
        <w:rPr>
          <w:rFonts w:cstheme="minorHAnsi"/>
          <w:sz w:val="18"/>
          <w:szCs w:val="18"/>
        </w:rPr>
        <w:t>.</w:t>
      </w:r>
      <w:r w:rsidRPr="000D2A5E">
        <w:rPr>
          <w:rFonts w:cstheme="minorHAnsi"/>
          <w:sz w:val="18"/>
          <w:szCs w:val="18"/>
        </w:rPr>
        <w:t xml:space="preserve">, 2015. ‘Association between intake of total vs added sugar on diet quality: a systematic review’. </w:t>
      </w:r>
      <w:r w:rsidRPr="000D2A5E">
        <w:rPr>
          <w:rFonts w:cstheme="minorHAnsi"/>
          <w:i/>
          <w:sz w:val="18"/>
          <w:szCs w:val="18"/>
        </w:rPr>
        <w:t>Nutrition Reviews</w:t>
      </w:r>
      <w:r>
        <w:rPr>
          <w:rFonts w:cstheme="minorHAnsi"/>
          <w:i/>
          <w:sz w:val="18"/>
          <w:szCs w:val="18"/>
        </w:rPr>
        <w:t>,</w:t>
      </w:r>
      <w:r w:rsidRPr="000D2A5E">
        <w:rPr>
          <w:rFonts w:cstheme="minorHAnsi"/>
          <w:sz w:val="18"/>
          <w:szCs w:val="18"/>
        </w:rPr>
        <w:t xml:space="preserve"> 73(12):</w:t>
      </w:r>
      <w:r>
        <w:rPr>
          <w:rFonts w:cstheme="minorHAnsi"/>
          <w:sz w:val="18"/>
          <w:szCs w:val="18"/>
        </w:rPr>
        <w:t xml:space="preserve"> p</w:t>
      </w:r>
      <w:r w:rsidRPr="000D2A5E">
        <w:rPr>
          <w:rFonts w:cstheme="minorHAnsi"/>
          <w:sz w:val="18"/>
          <w:szCs w:val="18"/>
        </w:rPr>
        <w:t>837–</w:t>
      </w:r>
      <w:r>
        <w:rPr>
          <w:rFonts w:cstheme="minorHAnsi"/>
          <w:sz w:val="18"/>
          <w:szCs w:val="18"/>
        </w:rPr>
        <w:t>8</w:t>
      </w:r>
      <w:r w:rsidRPr="000D2A5E">
        <w:rPr>
          <w:rFonts w:cstheme="minorHAnsi"/>
          <w:sz w:val="18"/>
          <w:szCs w:val="18"/>
        </w:rPr>
        <w:t>57.</w:t>
      </w:r>
    </w:p>
  </w:footnote>
  <w:footnote w:id="23">
    <w:p w14:paraId="16285FAF" w14:textId="624C9BE5" w:rsidR="00AA37B6" w:rsidRPr="000D2A5E" w:rsidRDefault="00AA37B6" w:rsidP="00704EB8">
      <w:pPr>
        <w:spacing w:before="0" w:after="0"/>
        <w:rPr>
          <w:rFonts w:cstheme="minorHAnsi"/>
          <w:sz w:val="18"/>
          <w:szCs w:val="18"/>
        </w:rPr>
      </w:pPr>
      <w:r w:rsidRPr="000D2A5E">
        <w:rPr>
          <w:rStyle w:val="FootnoteReference"/>
          <w:rFonts w:cstheme="minorHAnsi"/>
          <w:sz w:val="18"/>
          <w:szCs w:val="18"/>
        </w:rPr>
        <w:footnoteRef/>
      </w:r>
      <w:r w:rsidRPr="000D2A5E">
        <w:rPr>
          <w:rFonts w:cstheme="minorHAnsi"/>
          <w:sz w:val="18"/>
          <w:szCs w:val="18"/>
        </w:rPr>
        <w:t xml:space="preserve"> World Health Organization, 2015. ‘</w:t>
      </w:r>
      <w:r w:rsidRPr="000D2A5E">
        <w:rPr>
          <w:rFonts w:cstheme="minorHAnsi"/>
          <w:i/>
          <w:iCs/>
          <w:sz w:val="18"/>
          <w:szCs w:val="18"/>
        </w:rPr>
        <w:t>Guideline: Sugars intake for adults and children’</w:t>
      </w:r>
      <w:r w:rsidRPr="000D2A5E">
        <w:rPr>
          <w:rFonts w:cstheme="minorHAnsi"/>
          <w:sz w:val="18"/>
          <w:szCs w:val="18"/>
        </w:rPr>
        <w:t xml:space="preserve">. Available at: </w:t>
      </w:r>
      <w:hyperlink r:id="rId10" w:tgtFrame="_" w:history="1">
        <w:r>
          <w:rPr>
            <w:rStyle w:val="Hyperlink"/>
            <w:rFonts w:eastAsiaTheme="majorEastAsia" w:cstheme="minorHAnsi"/>
            <w:sz w:val="18"/>
            <w:szCs w:val="18"/>
          </w:rPr>
          <w:t>World Health Organiz</w:t>
        </w:r>
        <w:r w:rsidRPr="000D2A5E">
          <w:rPr>
            <w:rStyle w:val="Hyperlink"/>
            <w:rFonts w:eastAsiaTheme="majorEastAsia" w:cstheme="minorHAnsi"/>
            <w:sz w:val="18"/>
            <w:szCs w:val="18"/>
          </w:rPr>
          <w:t>ation</w:t>
        </w:r>
      </w:hyperlink>
      <w:r w:rsidRPr="000D2A5E">
        <w:rPr>
          <w:rFonts w:cstheme="minorHAnsi"/>
          <w:sz w:val="18"/>
          <w:szCs w:val="18"/>
        </w:rPr>
        <w:t xml:space="preserve"> </w:t>
      </w:r>
      <w:r w:rsidRPr="00000366">
        <w:rPr>
          <w:rStyle w:val="Hyperlink"/>
          <w:rFonts w:eastAsiaTheme="majorEastAsia" w:cstheme="minorHAnsi"/>
          <w:color w:val="auto"/>
          <w:sz w:val="18"/>
          <w:szCs w:val="18"/>
          <w:u w:val="none"/>
        </w:rPr>
        <w:t>(accessed 20 June 2016).</w:t>
      </w:r>
    </w:p>
  </w:footnote>
  <w:footnote w:id="24">
    <w:p w14:paraId="25EB79F1" w14:textId="2F2389A9" w:rsidR="00AA37B6" w:rsidRPr="000D2A5E" w:rsidRDefault="00AA37B6" w:rsidP="00704EB8">
      <w:pPr>
        <w:spacing w:before="0" w:after="0"/>
        <w:rPr>
          <w:rFonts w:cstheme="minorHAnsi"/>
          <w:sz w:val="18"/>
          <w:szCs w:val="18"/>
        </w:rPr>
      </w:pPr>
      <w:r w:rsidRPr="000D2A5E">
        <w:rPr>
          <w:rStyle w:val="FootnoteReference"/>
          <w:rFonts w:cstheme="minorHAnsi"/>
          <w:sz w:val="18"/>
          <w:szCs w:val="18"/>
        </w:rPr>
        <w:footnoteRef/>
      </w:r>
      <w:r w:rsidRPr="000D2A5E">
        <w:rPr>
          <w:rFonts w:cstheme="minorHAnsi"/>
          <w:sz w:val="18"/>
          <w:szCs w:val="18"/>
        </w:rPr>
        <w:t xml:space="preserve"> United States Food and Drug Administration (USFDA)</w:t>
      </w:r>
      <w:r>
        <w:rPr>
          <w:rFonts w:cstheme="minorHAnsi"/>
          <w:sz w:val="18"/>
          <w:szCs w:val="18"/>
        </w:rPr>
        <w:t>,</w:t>
      </w:r>
      <w:r w:rsidRPr="000D2A5E">
        <w:rPr>
          <w:rFonts w:cstheme="minorHAnsi"/>
          <w:sz w:val="18"/>
          <w:szCs w:val="18"/>
        </w:rPr>
        <w:t xml:space="preserve"> 2014. ‘</w:t>
      </w:r>
      <w:r w:rsidRPr="000D2A5E">
        <w:rPr>
          <w:rFonts w:cstheme="minorHAnsi"/>
          <w:i/>
          <w:sz w:val="18"/>
          <w:szCs w:val="18"/>
        </w:rPr>
        <w:t>Food Labelling: Revision of the Nutrition and Supplement Facts Labels</w:t>
      </w:r>
      <w:r>
        <w:rPr>
          <w:rFonts w:cstheme="minorHAnsi"/>
          <w:sz w:val="18"/>
          <w:szCs w:val="18"/>
        </w:rPr>
        <w:t>’.</w:t>
      </w:r>
      <w:r w:rsidRPr="000D2A5E">
        <w:rPr>
          <w:rFonts w:cstheme="minorHAnsi"/>
          <w:sz w:val="18"/>
          <w:szCs w:val="18"/>
        </w:rPr>
        <w:t xml:space="preserve"> Available at</w:t>
      </w:r>
      <w:r>
        <w:rPr>
          <w:rFonts w:cstheme="minorHAnsi"/>
          <w:sz w:val="18"/>
          <w:szCs w:val="18"/>
        </w:rPr>
        <w:t>:</w:t>
      </w:r>
      <w:r w:rsidRPr="000D2A5E">
        <w:rPr>
          <w:rFonts w:cstheme="minorHAnsi"/>
          <w:sz w:val="18"/>
          <w:szCs w:val="18"/>
        </w:rPr>
        <w:t xml:space="preserve"> </w:t>
      </w:r>
      <w:hyperlink r:id="rId11" w:anchor="h-12" w:history="1">
        <w:r w:rsidRPr="000D2A5E">
          <w:rPr>
            <w:rStyle w:val="Hyperlink"/>
            <w:rFonts w:eastAsiaTheme="majorEastAsia" w:cstheme="minorHAnsi"/>
            <w:sz w:val="18"/>
            <w:szCs w:val="18"/>
          </w:rPr>
          <w:t>Federal Register, the Daily Journal of the United States Government</w:t>
        </w:r>
      </w:hyperlink>
      <w:r>
        <w:rPr>
          <w:rFonts w:cstheme="minorHAnsi"/>
          <w:sz w:val="18"/>
          <w:szCs w:val="18"/>
        </w:rPr>
        <w:t xml:space="preserve"> (accessed 21 February 2019).</w:t>
      </w:r>
    </w:p>
  </w:footnote>
  <w:footnote w:id="25">
    <w:p w14:paraId="3AFF9296" w14:textId="6378CD67" w:rsidR="00AA37B6" w:rsidRPr="000D2A5E" w:rsidRDefault="00AA37B6" w:rsidP="00704EB8">
      <w:pPr>
        <w:pStyle w:val="FootnoteText"/>
        <w:spacing w:before="0" w:after="0"/>
        <w:rPr>
          <w:rFonts w:cstheme="minorHAnsi"/>
          <w:sz w:val="18"/>
          <w:szCs w:val="18"/>
        </w:rPr>
      </w:pPr>
      <w:r w:rsidRPr="000D2A5E">
        <w:rPr>
          <w:rStyle w:val="FootnoteReference"/>
          <w:rFonts w:cstheme="minorHAnsi"/>
          <w:sz w:val="18"/>
          <w:szCs w:val="18"/>
        </w:rPr>
        <w:footnoteRef/>
      </w:r>
      <w:r w:rsidRPr="000D2A5E">
        <w:rPr>
          <w:rFonts w:cstheme="minorHAnsi"/>
          <w:sz w:val="18"/>
          <w:szCs w:val="18"/>
        </w:rPr>
        <w:t xml:space="preserve"> Louie</w:t>
      </w:r>
      <w:r>
        <w:rPr>
          <w:rFonts w:cstheme="minorHAnsi"/>
          <w:sz w:val="18"/>
          <w:szCs w:val="18"/>
        </w:rPr>
        <w:t>,</w:t>
      </w:r>
      <w:r w:rsidRPr="000D2A5E">
        <w:rPr>
          <w:rFonts w:cstheme="minorHAnsi"/>
          <w:sz w:val="18"/>
          <w:szCs w:val="18"/>
        </w:rPr>
        <w:t xml:space="preserve"> J</w:t>
      </w:r>
      <w:r>
        <w:rPr>
          <w:rFonts w:cstheme="minorHAnsi"/>
          <w:sz w:val="18"/>
          <w:szCs w:val="18"/>
        </w:rPr>
        <w:t>.</w:t>
      </w:r>
      <w:r w:rsidRPr="000D2A5E">
        <w:rPr>
          <w:rFonts w:cstheme="minorHAnsi"/>
          <w:sz w:val="18"/>
          <w:szCs w:val="18"/>
        </w:rPr>
        <w:t>C</w:t>
      </w:r>
      <w:r>
        <w:rPr>
          <w:rFonts w:cstheme="minorHAnsi"/>
          <w:sz w:val="18"/>
          <w:szCs w:val="18"/>
        </w:rPr>
        <w:t>.</w:t>
      </w:r>
      <w:r w:rsidRPr="000D2A5E">
        <w:rPr>
          <w:rFonts w:cstheme="minorHAnsi"/>
          <w:sz w:val="18"/>
          <w:szCs w:val="18"/>
        </w:rPr>
        <w:t xml:space="preserve"> &amp; Tapsell</w:t>
      </w:r>
      <w:r>
        <w:rPr>
          <w:rFonts w:cstheme="minorHAnsi"/>
          <w:sz w:val="18"/>
          <w:szCs w:val="18"/>
        </w:rPr>
        <w:t>,</w:t>
      </w:r>
      <w:r w:rsidRPr="000D2A5E">
        <w:rPr>
          <w:rFonts w:cstheme="minorHAnsi"/>
          <w:sz w:val="18"/>
          <w:szCs w:val="18"/>
        </w:rPr>
        <w:t xml:space="preserve"> L</w:t>
      </w:r>
      <w:r>
        <w:rPr>
          <w:rFonts w:cstheme="minorHAnsi"/>
          <w:sz w:val="18"/>
          <w:szCs w:val="18"/>
        </w:rPr>
        <w:t>.</w:t>
      </w:r>
      <w:r w:rsidRPr="000D2A5E">
        <w:rPr>
          <w:rFonts w:cstheme="minorHAnsi"/>
          <w:sz w:val="18"/>
          <w:szCs w:val="18"/>
        </w:rPr>
        <w:t>C</w:t>
      </w:r>
      <w:r>
        <w:rPr>
          <w:rFonts w:cstheme="minorHAnsi"/>
          <w:sz w:val="18"/>
          <w:szCs w:val="18"/>
        </w:rPr>
        <w:t>., 2015.</w:t>
      </w:r>
      <w:r w:rsidRPr="000D2A5E">
        <w:rPr>
          <w:rFonts w:cstheme="minorHAnsi"/>
          <w:sz w:val="18"/>
          <w:szCs w:val="18"/>
        </w:rPr>
        <w:t xml:space="preserve"> ‘Intake of total and added sugars and nutrient dilution in Australian children and adolescents’. </w:t>
      </w:r>
      <w:r w:rsidRPr="000D2A5E">
        <w:rPr>
          <w:rFonts w:cstheme="minorHAnsi"/>
          <w:i/>
          <w:sz w:val="18"/>
          <w:szCs w:val="18"/>
        </w:rPr>
        <w:t>British Journal of Nutrition</w:t>
      </w:r>
      <w:r w:rsidRPr="000D2A5E">
        <w:rPr>
          <w:rFonts w:cstheme="minorHAnsi"/>
          <w:sz w:val="18"/>
          <w:szCs w:val="18"/>
        </w:rPr>
        <w:t xml:space="preserve">, 114(11): </w:t>
      </w:r>
      <w:r>
        <w:rPr>
          <w:rFonts w:cstheme="minorHAnsi"/>
          <w:sz w:val="18"/>
          <w:szCs w:val="18"/>
        </w:rPr>
        <w:t>p</w:t>
      </w:r>
      <w:r w:rsidRPr="000D2A5E">
        <w:rPr>
          <w:rFonts w:cstheme="minorHAnsi"/>
          <w:sz w:val="18"/>
          <w:szCs w:val="18"/>
        </w:rPr>
        <w:t>1875-86.</w:t>
      </w:r>
    </w:p>
  </w:footnote>
  <w:footnote w:id="26">
    <w:p w14:paraId="6382C992" w14:textId="448BFA17" w:rsidR="00AA37B6" w:rsidRPr="000D2A5E" w:rsidRDefault="00AA37B6" w:rsidP="00704EB8">
      <w:pPr>
        <w:pStyle w:val="FootnoteText"/>
        <w:spacing w:before="0" w:after="0"/>
        <w:rPr>
          <w:sz w:val="18"/>
          <w:szCs w:val="18"/>
        </w:rPr>
      </w:pPr>
      <w:r w:rsidRPr="000D2A5E">
        <w:rPr>
          <w:rStyle w:val="FootnoteReference"/>
          <w:sz w:val="18"/>
          <w:szCs w:val="18"/>
        </w:rPr>
        <w:footnoteRef/>
      </w:r>
      <w:r w:rsidRPr="000D2A5E">
        <w:rPr>
          <w:sz w:val="18"/>
          <w:szCs w:val="18"/>
        </w:rPr>
        <w:t xml:space="preserve"> Kaartinen, N</w:t>
      </w:r>
      <w:r>
        <w:rPr>
          <w:sz w:val="18"/>
          <w:szCs w:val="18"/>
        </w:rPr>
        <w:t>.</w:t>
      </w:r>
      <w:r w:rsidRPr="000D2A5E">
        <w:rPr>
          <w:sz w:val="18"/>
          <w:szCs w:val="18"/>
        </w:rPr>
        <w:t>E</w:t>
      </w:r>
      <w:r>
        <w:rPr>
          <w:sz w:val="18"/>
          <w:szCs w:val="18"/>
        </w:rPr>
        <w:t>.</w:t>
      </w:r>
      <w:r w:rsidRPr="000D2A5E">
        <w:rPr>
          <w:sz w:val="18"/>
          <w:szCs w:val="18"/>
        </w:rPr>
        <w:t>, et al, 2017</w:t>
      </w:r>
      <w:r>
        <w:rPr>
          <w:sz w:val="18"/>
          <w:szCs w:val="18"/>
        </w:rPr>
        <w:t>.</w:t>
      </w:r>
      <w:r w:rsidRPr="000D2A5E">
        <w:rPr>
          <w:sz w:val="18"/>
          <w:szCs w:val="18"/>
        </w:rPr>
        <w:t xml:space="preserve"> ‘Naturally occurring and added sugar in relation to macronutrient intake and food consumption: results from a population-based study in adults’</w:t>
      </w:r>
      <w:r w:rsidRPr="000D2A5E">
        <w:rPr>
          <w:i/>
          <w:sz w:val="18"/>
          <w:szCs w:val="18"/>
        </w:rPr>
        <w:t>. J</w:t>
      </w:r>
      <w:r>
        <w:rPr>
          <w:i/>
          <w:sz w:val="18"/>
          <w:szCs w:val="18"/>
        </w:rPr>
        <w:t xml:space="preserve">ournal of </w:t>
      </w:r>
      <w:r w:rsidRPr="000D2A5E">
        <w:rPr>
          <w:i/>
          <w:sz w:val="18"/>
          <w:szCs w:val="18"/>
        </w:rPr>
        <w:t>Nutr</w:t>
      </w:r>
      <w:r>
        <w:rPr>
          <w:i/>
          <w:sz w:val="18"/>
          <w:szCs w:val="18"/>
        </w:rPr>
        <w:t>ition</w:t>
      </w:r>
      <w:r w:rsidRPr="000D2A5E">
        <w:rPr>
          <w:i/>
          <w:sz w:val="18"/>
          <w:szCs w:val="18"/>
        </w:rPr>
        <w:t xml:space="preserve"> Sci</w:t>
      </w:r>
      <w:r>
        <w:rPr>
          <w:i/>
          <w:sz w:val="18"/>
          <w:szCs w:val="18"/>
        </w:rPr>
        <w:t>ence</w:t>
      </w:r>
      <w:r w:rsidRPr="000D2A5E">
        <w:rPr>
          <w:i/>
          <w:sz w:val="18"/>
          <w:szCs w:val="18"/>
        </w:rPr>
        <w:t>, 6: e7.</w:t>
      </w:r>
    </w:p>
  </w:footnote>
  <w:footnote w:id="27">
    <w:p w14:paraId="554235CC" w14:textId="72F61C29" w:rsidR="00AA37B6" w:rsidRPr="000D2A5E" w:rsidRDefault="00AA37B6" w:rsidP="00704EB8">
      <w:pPr>
        <w:pStyle w:val="FootnoteText"/>
        <w:spacing w:before="0" w:after="0"/>
        <w:rPr>
          <w:rFonts w:cstheme="minorHAnsi"/>
          <w:sz w:val="18"/>
          <w:szCs w:val="18"/>
        </w:rPr>
      </w:pPr>
      <w:r w:rsidRPr="000D2A5E">
        <w:rPr>
          <w:rStyle w:val="FootnoteReference"/>
          <w:rFonts w:cstheme="minorHAnsi"/>
          <w:sz w:val="18"/>
          <w:szCs w:val="18"/>
        </w:rPr>
        <w:footnoteRef/>
      </w:r>
      <w:r w:rsidRPr="000D2A5E">
        <w:rPr>
          <w:rFonts w:cstheme="minorHAnsi"/>
          <w:sz w:val="18"/>
          <w:szCs w:val="18"/>
        </w:rPr>
        <w:t xml:space="preserve"> Mok, A</w:t>
      </w:r>
      <w:r>
        <w:rPr>
          <w:rFonts w:cstheme="minorHAnsi"/>
          <w:sz w:val="18"/>
          <w:szCs w:val="18"/>
        </w:rPr>
        <w:t>.</w:t>
      </w:r>
      <w:r w:rsidRPr="000D2A5E">
        <w:rPr>
          <w:rFonts w:cstheme="minorHAnsi"/>
          <w:sz w:val="18"/>
          <w:szCs w:val="18"/>
        </w:rPr>
        <w:t>, Ahmad</w:t>
      </w:r>
      <w:r>
        <w:rPr>
          <w:rFonts w:cstheme="minorHAnsi"/>
          <w:sz w:val="18"/>
          <w:szCs w:val="18"/>
        </w:rPr>
        <w:t>,</w:t>
      </w:r>
      <w:r w:rsidRPr="000D2A5E">
        <w:rPr>
          <w:rFonts w:cstheme="minorHAnsi"/>
          <w:sz w:val="18"/>
          <w:szCs w:val="18"/>
        </w:rPr>
        <w:t xml:space="preserve"> R</w:t>
      </w:r>
      <w:r>
        <w:rPr>
          <w:rFonts w:cstheme="minorHAnsi"/>
          <w:sz w:val="18"/>
          <w:szCs w:val="18"/>
        </w:rPr>
        <w:t>.</w:t>
      </w:r>
      <w:r w:rsidRPr="000D2A5E">
        <w:rPr>
          <w:rFonts w:cstheme="minorHAnsi"/>
          <w:sz w:val="18"/>
          <w:szCs w:val="18"/>
        </w:rPr>
        <w:t>, Rangan</w:t>
      </w:r>
      <w:r>
        <w:rPr>
          <w:rFonts w:cstheme="minorHAnsi"/>
          <w:sz w:val="18"/>
          <w:szCs w:val="18"/>
        </w:rPr>
        <w:t>,</w:t>
      </w:r>
      <w:r w:rsidRPr="000D2A5E">
        <w:rPr>
          <w:rFonts w:cstheme="minorHAnsi"/>
          <w:sz w:val="18"/>
          <w:szCs w:val="18"/>
        </w:rPr>
        <w:t xml:space="preserve"> A</w:t>
      </w:r>
      <w:r>
        <w:rPr>
          <w:rFonts w:cstheme="minorHAnsi"/>
          <w:sz w:val="18"/>
          <w:szCs w:val="18"/>
        </w:rPr>
        <w:t>.</w:t>
      </w:r>
      <w:r w:rsidRPr="000D2A5E">
        <w:rPr>
          <w:rFonts w:cstheme="minorHAnsi"/>
          <w:sz w:val="18"/>
          <w:szCs w:val="18"/>
        </w:rPr>
        <w:t xml:space="preserve"> &amp; Louie, J</w:t>
      </w:r>
      <w:r>
        <w:rPr>
          <w:rFonts w:cstheme="minorHAnsi"/>
          <w:sz w:val="18"/>
          <w:szCs w:val="18"/>
        </w:rPr>
        <w:t>.</w:t>
      </w:r>
      <w:r w:rsidRPr="000D2A5E">
        <w:rPr>
          <w:rFonts w:cstheme="minorHAnsi"/>
          <w:sz w:val="18"/>
          <w:szCs w:val="18"/>
        </w:rPr>
        <w:t>C</w:t>
      </w:r>
      <w:r>
        <w:rPr>
          <w:rFonts w:cstheme="minorHAnsi"/>
          <w:sz w:val="18"/>
          <w:szCs w:val="18"/>
        </w:rPr>
        <w:t>.</w:t>
      </w:r>
      <w:r w:rsidRPr="000D2A5E">
        <w:rPr>
          <w:rFonts w:cstheme="minorHAnsi"/>
          <w:sz w:val="18"/>
          <w:szCs w:val="18"/>
        </w:rPr>
        <w:t>, 2018</w:t>
      </w:r>
      <w:r>
        <w:rPr>
          <w:rFonts w:cstheme="minorHAnsi"/>
          <w:sz w:val="18"/>
          <w:szCs w:val="18"/>
        </w:rPr>
        <w:t>.</w:t>
      </w:r>
      <w:r w:rsidRPr="000D2A5E">
        <w:rPr>
          <w:rFonts w:cstheme="minorHAnsi"/>
          <w:sz w:val="18"/>
          <w:szCs w:val="18"/>
        </w:rPr>
        <w:t xml:space="preserve"> ‘Intake of free sugars and micronutrient dilution in Australian adults’</w:t>
      </w:r>
      <w:r w:rsidRPr="000D2A5E">
        <w:rPr>
          <w:rFonts w:cstheme="minorHAnsi"/>
          <w:i/>
          <w:sz w:val="18"/>
          <w:szCs w:val="18"/>
        </w:rPr>
        <w:t>, Am</w:t>
      </w:r>
      <w:r>
        <w:rPr>
          <w:rFonts w:cstheme="minorHAnsi"/>
          <w:i/>
          <w:sz w:val="18"/>
          <w:szCs w:val="18"/>
        </w:rPr>
        <w:t>erican</w:t>
      </w:r>
      <w:r w:rsidRPr="000D2A5E">
        <w:rPr>
          <w:rFonts w:cstheme="minorHAnsi"/>
          <w:i/>
          <w:sz w:val="18"/>
          <w:szCs w:val="18"/>
        </w:rPr>
        <w:t xml:space="preserve"> J</w:t>
      </w:r>
      <w:r>
        <w:rPr>
          <w:rFonts w:cstheme="minorHAnsi"/>
          <w:i/>
          <w:sz w:val="18"/>
          <w:szCs w:val="18"/>
        </w:rPr>
        <w:t>ournal of</w:t>
      </w:r>
      <w:r w:rsidRPr="000D2A5E">
        <w:rPr>
          <w:rFonts w:cstheme="minorHAnsi"/>
          <w:i/>
          <w:sz w:val="18"/>
          <w:szCs w:val="18"/>
        </w:rPr>
        <w:t xml:space="preserve"> Clin</w:t>
      </w:r>
      <w:r>
        <w:rPr>
          <w:rFonts w:cstheme="minorHAnsi"/>
          <w:i/>
          <w:sz w:val="18"/>
          <w:szCs w:val="18"/>
        </w:rPr>
        <w:t>ical</w:t>
      </w:r>
      <w:r w:rsidRPr="000D2A5E">
        <w:rPr>
          <w:rFonts w:cstheme="minorHAnsi"/>
          <w:i/>
          <w:sz w:val="18"/>
          <w:szCs w:val="18"/>
        </w:rPr>
        <w:t xml:space="preserve"> Nutr</w:t>
      </w:r>
      <w:r>
        <w:rPr>
          <w:rFonts w:cstheme="minorHAnsi"/>
          <w:i/>
          <w:sz w:val="18"/>
          <w:szCs w:val="18"/>
        </w:rPr>
        <w:t>ition</w:t>
      </w:r>
      <w:r w:rsidRPr="000D2A5E">
        <w:rPr>
          <w:rFonts w:cstheme="minorHAnsi"/>
          <w:i/>
          <w:sz w:val="18"/>
          <w:szCs w:val="18"/>
        </w:rPr>
        <w:t xml:space="preserve">, </w:t>
      </w:r>
      <w:r w:rsidRPr="000D2A5E">
        <w:rPr>
          <w:rFonts w:cstheme="minorHAnsi"/>
          <w:sz w:val="18"/>
          <w:szCs w:val="18"/>
        </w:rPr>
        <w:t xml:space="preserve">107(1): </w:t>
      </w:r>
      <w:r>
        <w:rPr>
          <w:rFonts w:cstheme="minorHAnsi"/>
          <w:sz w:val="18"/>
          <w:szCs w:val="18"/>
        </w:rPr>
        <w:t>p</w:t>
      </w:r>
      <w:r w:rsidRPr="000D2A5E">
        <w:rPr>
          <w:rFonts w:cstheme="minorHAnsi"/>
          <w:sz w:val="18"/>
          <w:szCs w:val="18"/>
        </w:rPr>
        <w:t>94-104</w:t>
      </w:r>
      <w:r>
        <w:rPr>
          <w:rFonts w:cstheme="minorHAnsi"/>
          <w:sz w:val="18"/>
          <w:szCs w:val="18"/>
        </w:rPr>
        <w:t>.</w:t>
      </w:r>
    </w:p>
  </w:footnote>
  <w:footnote w:id="28">
    <w:p w14:paraId="15FC340F" w14:textId="174632C4" w:rsidR="00AA37B6" w:rsidRPr="00876F3B" w:rsidRDefault="00AA37B6" w:rsidP="00704EB8">
      <w:pPr>
        <w:pStyle w:val="FootnoteText"/>
        <w:spacing w:before="0" w:after="0"/>
        <w:rPr>
          <w:sz w:val="18"/>
          <w:szCs w:val="18"/>
        </w:rPr>
      </w:pPr>
      <w:r w:rsidRPr="000D2A5E">
        <w:rPr>
          <w:rStyle w:val="FootnoteReference"/>
          <w:sz w:val="18"/>
          <w:szCs w:val="18"/>
        </w:rPr>
        <w:footnoteRef/>
      </w:r>
      <w:r w:rsidRPr="000D2A5E">
        <w:rPr>
          <w:sz w:val="18"/>
          <w:szCs w:val="18"/>
        </w:rPr>
        <w:t xml:space="preserve"> Luger</w:t>
      </w:r>
      <w:r>
        <w:rPr>
          <w:sz w:val="18"/>
          <w:szCs w:val="18"/>
        </w:rPr>
        <w:t>,</w:t>
      </w:r>
      <w:r w:rsidRPr="000D2A5E">
        <w:rPr>
          <w:sz w:val="18"/>
          <w:szCs w:val="18"/>
        </w:rPr>
        <w:t xml:space="preserve"> M</w:t>
      </w:r>
      <w:r>
        <w:rPr>
          <w:sz w:val="18"/>
          <w:szCs w:val="18"/>
        </w:rPr>
        <w:t>., et al, 2017.</w:t>
      </w:r>
      <w:r w:rsidRPr="000D2A5E">
        <w:rPr>
          <w:sz w:val="18"/>
          <w:szCs w:val="18"/>
        </w:rPr>
        <w:t xml:space="preserve"> ‘Sugar-sweetened beverages and weight gain in children and adults: A systematic review from 2013-2015 and a comparison with previous studies’. </w:t>
      </w:r>
      <w:r w:rsidRPr="000D2A5E">
        <w:rPr>
          <w:i/>
          <w:sz w:val="18"/>
          <w:szCs w:val="18"/>
        </w:rPr>
        <w:t>Obes</w:t>
      </w:r>
      <w:r>
        <w:rPr>
          <w:i/>
          <w:sz w:val="18"/>
          <w:szCs w:val="18"/>
        </w:rPr>
        <w:t>ity</w:t>
      </w:r>
      <w:r w:rsidRPr="000D2A5E">
        <w:rPr>
          <w:i/>
          <w:sz w:val="18"/>
          <w:szCs w:val="18"/>
        </w:rPr>
        <w:t xml:space="preserve"> Facts, </w:t>
      </w:r>
      <w:r w:rsidRPr="00000366">
        <w:rPr>
          <w:sz w:val="18"/>
          <w:szCs w:val="18"/>
        </w:rPr>
        <w:t>10: p674-693</w:t>
      </w:r>
      <w:r>
        <w:rPr>
          <w:i/>
          <w:sz w:val="18"/>
          <w:szCs w:val="18"/>
        </w:rPr>
        <w:t>.</w:t>
      </w:r>
    </w:p>
  </w:footnote>
  <w:footnote w:id="29">
    <w:p w14:paraId="14D8E286" w14:textId="7AD73C17" w:rsidR="00AA37B6" w:rsidRPr="00366406" w:rsidRDefault="00AA37B6" w:rsidP="00704EB8">
      <w:pPr>
        <w:pStyle w:val="FootnoteText"/>
        <w:spacing w:before="0" w:after="0"/>
        <w:rPr>
          <w:sz w:val="18"/>
          <w:szCs w:val="18"/>
        </w:rPr>
      </w:pPr>
      <w:r w:rsidRPr="000D2A5E">
        <w:rPr>
          <w:rStyle w:val="FootnoteReference"/>
          <w:sz w:val="18"/>
          <w:szCs w:val="18"/>
        </w:rPr>
        <w:footnoteRef/>
      </w:r>
      <w:r w:rsidRPr="000D2A5E">
        <w:rPr>
          <w:sz w:val="18"/>
          <w:szCs w:val="18"/>
        </w:rPr>
        <w:t xml:space="preserve"> Malik</w:t>
      </w:r>
      <w:r>
        <w:rPr>
          <w:sz w:val="18"/>
          <w:szCs w:val="18"/>
        </w:rPr>
        <w:t>,</w:t>
      </w:r>
      <w:r w:rsidRPr="000D2A5E">
        <w:rPr>
          <w:sz w:val="18"/>
          <w:szCs w:val="18"/>
        </w:rPr>
        <w:t xml:space="preserve"> V</w:t>
      </w:r>
      <w:r>
        <w:rPr>
          <w:sz w:val="18"/>
          <w:szCs w:val="18"/>
        </w:rPr>
        <w:t>.</w:t>
      </w:r>
      <w:r w:rsidRPr="000D2A5E">
        <w:rPr>
          <w:sz w:val="18"/>
          <w:szCs w:val="18"/>
        </w:rPr>
        <w:t>S</w:t>
      </w:r>
      <w:r>
        <w:rPr>
          <w:sz w:val="18"/>
          <w:szCs w:val="18"/>
        </w:rPr>
        <w:t>.</w:t>
      </w:r>
      <w:r w:rsidRPr="000D2A5E">
        <w:rPr>
          <w:sz w:val="18"/>
          <w:szCs w:val="18"/>
        </w:rPr>
        <w:t>, et al., 2013</w:t>
      </w:r>
      <w:r>
        <w:rPr>
          <w:sz w:val="18"/>
          <w:szCs w:val="18"/>
        </w:rPr>
        <w:t>.</w:t>
      </w:r>
      <w:r w:rsidRPr="000D2A5E">
        <w:rPr>
          <w:sz w:val="18"/>
          <w:szCs w:val="18"/>
        </w:rPr>
        <w:t xml:space="preserve"> ‘Sugar-sweetened beverages and weight gain in children and adults: a systematic review and meta-analysis’. </w:t>
      </w:r>
      <w:r w:rsidRPr="000D2A5E">
        <w:rPr>
          <w:i/>
          <w:sz w:val="18"/>
          <w:szCs w:val="18"/>
        </w:rPr>
        <w:t>Am</w:t>
      </w:r>
      <w:r>
        <w:rPr>
          <w:i/>
          <w:sz w:val="18"/>
          <w:szCs w:val="18"/>
        </w:rPr>
        <w:t>erican</w:t>
      </w:r>
      <w:r w:rsidRPr="000D2A5E">
        <w:rPr>
          <w:i/>
          <w:sz w:val="18"/>
          <w:szCs w:val="18"/>
        </w:rPr>
        <w:t xml:space="preserve"> J</w:t>
      </w:r>
      <w:r>
        <w:rPr>
          <w:i/>
          <w:sz w:val="18"/>
          <w:szCs w:val="18"/>
        </w:rPr>
        <w:t>ournal of</w:t>
      </w:r>
      <w:r w:rsidRPr="000D2A5E">
        <w:rPr>
          <w:i/>
          <w:sz w:val="18"/>
          <w:szCs w:val="18"/>
        </w:rPr>
        <w:t xml:space="preserve"> Clin</w:t>
      </w:r>
      <w:r>
        <w:rPr>
          <w:i/>
          <w:sz w:val="18"/>
          <w:szCs w:val="18"/>
        </w:rPr>
        <w:t>ical</w:t>
      </w:r>
      <w:r w:rsidRPr="000D2A5E">
        <w:rPr>
          <w:i/>
          <w:sz w:val="18"/>
          <w:szCs w:val="18"/>
        </w:rPr>
        <w:t xml:space="preserve"> Nutr</w:t>
      </w:r>
      <w:r>
        <w:rPr>
          <w:i/>
          <w:sz w:val="18"/>
          <w:szCs w:val="18"/>
        </w:rPr>
        <w:t>ition</w:t>
      </w:r>
      <w:r w:rsidRPr="000D2A5E">
        <w:rPr>
          <w:sz w:val="18"/>
          <w:szCs w:val="18"/>
        </w:rPr>
        <w:t xml:space="preserve">, 98(4): </w:t>
      </w:r>
      <w:r>
        <w:rPr>
          <w:sz w:val="18"/>
          <w:szCs w:val="18"/>
        </w:rPr>
        <w:t>p</w:t>
      </w:r>
      <w:r w:rsidRPr="000D2A5E">
        <w:rPr>
          <w:sz w:val="18"/>
          <w:szCs w:val="18"/>
        </w:rPr>
        <w:t>1084-1102.</w:t>
      </w:r>
    </w:p>
  </w:footnote>
  <w:footnote w:id="30">
    <w:p w14:paraId="4ADBA8E1" w14:textId="7A621581" w:rsidR="00AA37B6" w:rsidRPr="00CB6C04" w:rsidRDefault="00AA37B6" w:rsidP="00704EB8">
      <w:pPr>
        <w:pStyle w:val="FootnoteText"/>
        <w:spacing w:before="0" w:after="0"/>
        <w:rPr>
          <w:sz w:val="18"/>
          <w:szCs w:val="18"/>
        </w:rPr>
      </w:pPr>
      <w:r w:rsidRPr="00CB6C04">
        <w:rPr>
          <w:rStyle w:val="FootnoteReference"/>
          <w:sz w:val="18"/>
          <w:szCs w:val="18"/>
        </w:rPr>
        <w:footnoteRef/>
      </w:r>
      <w:r w:rsidRPr="00CB6C04">
        <w:rPr>
          <w:sz w:val="18"/>
          <w:szCs w:val="18"/>
        </w:rPr>
        <w:t xml:space="preserve"> Te Morenga, L</w:t>
      </w:r>
      <w:r>
        <w:rPr>
          <w:sz w:val="18"/>
          <w:szCs w:val="18"/>
        </w:rPr>
        <w:t>.</w:t>
      </w:r>
      <w:r w:rsidRPr="00CB6C04">
        <w:rPr>
          <w:sz w:val="18"/>
          <w:szCs w:val="18"/>
        </w:rPr>
        <w:t>, Mallard, S</w:t>
      </w:r>
      <w:r>
        <w:rPr>
          <w:sz w:val="18"/>
          <w:szCs w:val="18"/>
        </w:rPr>
        <w:t>.</w:t>
      </w:r>
      <w:r w:rsidRPr="00CB6C04">
        <w:rPr>
          <w:sz w:val="18"/>
          <w:szCs w:val="18"/>
        </w:rPr>
        <w:t xml:space="preserve"> &amp; Mann</w:t>
      </w:r>
      <w:r>
        <w:rPr>
          <w:sz w:val="18"/>
          <w:szCs w:val="18"/>
        </w:rPr>
        <w:t>,</w:t>
      </w:r>
      <w:r w:rsidRPr="00CB6C04">
        <w:rPr>
          <w:sz w:val="18"/>
          <w:szCs w:val="18"/>
        </w:rPr>
        <w:t xml:space="preserve"> J</w:t>
      </w:r>
      <w:r>
        <w:rPr>
          <w:sz w:val="18"/>
          <w:szCs w:val="18"/>
        </w:rPr>
        <w:t>.</w:t>
      </w:r>
      <w:r w:rsidRPr="00CB6C04">
        <w:rPr>
          <w:sz w:val="18"/>
          <w:szCs w:val="18"/>
        </w:rPr>
        <w:t>, 2013</w:t>
      </w:r>
      <w:r>
        <w:rPr>
          <w:sz w:val="18"/>
          <w:szCs w:val="18"/>
        </w:rPr>
        <w:t>.</w:t>
      </w:r>
      <w:r w:rsidRPr="00CB6C04">
        <w:rPr>
          <w:sz w:val="18"/>
          <w:szCs w:val="18"/>
        </w:rPr>
        <w:t xml:space="preserve"> ‘Dietary sugars and body weight: a systematic review and meta-analysis of randomised controlled trials and cohort studies’. </w:t>
      </w:r>
      <w:r w:rsidRPr="00CB6C04">
        <w:rPr>
          <w:i/>
          <w:sz w:val="18"/>
          <w:szCs w:val="18"/>
        </w:rPr>
        <w:t>BMJ</w:t>
      </w:r>
      <w:r w:rsidRPr="00CB6C04">
        <w:rPr>
          <w:sz w:val="18"/>
          <w:szCs w:val="18"/>
        </w:rPr>
        <w:t xml:space="preserve">, </w:t>
      </w:r>
      <w:r>
        <w:rPr>
          <w:sz w:val="18"/>
          <w:szCs w:val="18"/>
        </w:rPr>
        <w:t>346: e7492.</w:t>
      </w:r>
    </w:p>
  </w:footnote>
  <w:footnote w:id="31">
    <w:p w14:paraId="03EE9E83" w14:textId="12B7BD1C" w:rsidR="00AA37B6" w:rsidRPr="00E35B73" w:rsidRDefault="00AA37B6" w:rsidP="00704EB8">
      <w:pPr>
        <w:pStyle w:val="FootnoteText"/>
        <w:spacing w:before="0" w:after="0"/>
        <w:rPr>
          <w:sz w:val="18"/>
          <w:szCs w:val="18"/>
        </w:rPr>
      </w:pPr>
      <w:r w:rsidRPr="00CB6C04">
        <w:rPr>
          <w:rStyle w:val="FootnoteReference"/>
          <w:sz w:val="18"/>
          <w:szCs w:val="18"/>
        </w:rPr>
        <w:footnoteRef/>
      </w:r>
      <w:r w:rsidRPr="00CB6C04">
        <w:rPr>
          <w:sz w:val="18"/>
          <w:szCs w:val="18"/>
        </w:rPr>
        <w:t xml:space="preserve"> </w:t>
      </w:r>
      <w:r w:rsidRPr="00CB6C04">
        <w:rPr>
          <w:rFonts w:cstheme="minorHAnsi"/>
          <w:sz w:val="18"/>
          <w:szCs w:val="18"/>
        </w:rPr>
        <w:t>World Health Organization, 2015. ‘</w:t>
      </w:r>
      <w:r w:rsidRPr="00CB6C04">
        <w:rPr>
          <w:rFonts w:cstheme="minorHAnsi"/>
          <w:i/>
          <w:iCs/>
          <w:sz w:val="18"/>
          <w:szCs w:val="18"/>
        </w:rPr>
        <w:t>Guideline: Sugars intake for adults and children’</w:t>
      </w:r>
      <w:r w:rsidRPr="00CB6C04">
        <w:rPr>
          <w:rFonts w:cstheme="minorHAnsi"/>
          <w:sz w:val="18"/>
          <w:szCs w:val="18"/>
        </w:rPr>
        <w:t xml:space="preserve">. Available at: </w:t>
      </w:r>
      <w:hyperlink r:id="rId12" w:tgtFrame="_" w:history="1">
        <w:r w:rsidRPr="00CB6C04">
          <w:rPr>
            <w:rStyle w:val="Hyperlink"/>
            <w:rFonts w:eastAsiaTheme="majorEastAsia" w:cstheme="minorHAnsi"/>
            <w:sz w:val="18"/>
            <w:szCs w:val="18"/>
          </w:rPr>
          <w:t>World Health Organi</w:t>
        </w:r>
        <w:r>
          <w:rPr>
            <w:rStyle w:val="Hyperlink"/>
            <w:rFonts w:eastAsiaTheme="majorEastAsia" w:cstheme="minorHAnsi"/>
            <w:sz w:val="18"/>
            <w:szCs w:val="18"/>
          </w:rPr>
          <w:t>z</w:t>
        </w:r>
        <w:r w:rsidRPr="00CB6C04">
          <w:rPr>
            <w:rStyle w:val="Hyperlink"/>
            <w:rFonts w:eastAsiaTheme="majorEastAsia" w:cstheme="minorHAnsi"/>
            <w:sz w:val="18"/>
            <w:szCs w:val="18"/>
          </w:rPr>
          <w:t>ation - Guideline: Sugars intake for adults and children</w:t>
        </w:r>
      </w:hyperlink>
      <w:r w:rsidRPr="00CB6C04">
        <w:rPr>
          <w:rFonts w:cstheme="minorHAnsi"/>
          <w:sz w:val="18"/>
          <w:szCs w:val="18"/>
        </w:rPr>
        <w:t xml:space="preserve"> </w:t>
      </w:r>
      <w:r w:rsidRPr="00CB6C04">
        <w:rPr>
          <w:rStyle w:val="Hyperlink"/>
          <w:rFonts w:eastAsiaTheme="majorEastAsia" w:cstheme="minorHAnsi"/>
          <w:color w:val="auto"/>
          <w:sz w:val="18"/>
          <w:szCs w:val="18"/>
          <w:u w:val="none"/>
        </w:rPr>
        <w:t>(accessed 20 June 2016).</w:t>
      </w:r>
    </w:p>
  </w:footnote>
  <w:footnote w:id="32">
    <w:p w14:paraId="401929C6" w14:textId="57AD669D" w:rsidR="00AA37B6" w:rsidRPr="002E483A" w:rsidRDefault="00AA37B6" w:rsidP="00704EB8">
      <w:pPr>
        <w:pStyle w:val="FootnoteText"/>
        <w:spacing w:before="0" w:after="0"/>
        <w:rPr>
          <w:sz w:val="18"/>
          <w:szCs w:val="18"/>
        </w:rPr>
      </w:pPr>
      <w:r w:rsidRPr="002E483A">
        <w:rPr>
          <w:rStyle w:val="FootnoteReference"/>
          <w:sz w:val="18"/>
          <w:szCs w:val="18"/>
        </w:rPr>
        <w:footnoteRef/>
      </w:r>
      <w:r w:rsidRPr="002E483A">
        <w:rPr>
          <w:sz w:val="18"/>
          <w:szCs w:val="18"/>
        </w:rPr>
        <w:t xml:space="preserve"> Australian Institute of Health and Welfare</w:t>
      </w:r>
      <w:r>
        <w:rPr>
          <w:sz w:val="18"/>
          <w:szCs w:val="18"/>
        </w:rPr>
        <w:t>,</w:t>
      </w:r>
      <w:r w:rsidRPr="002E483A">
        <w:rPr>
          <w:sz w:val="18"/>
          <w:szCs w:val="18"/>
        </w:rPr>
        <w:t xml:space="preserve"> 2017</w:t>
      </w:r>
      <w:r>
        <w:rPr>
          <w:sz w:val="18"/>
          <w:szCs w:val="18"/>
        </w:rPr>
        <w:t>.</w:t>
      </w:r>
      <w:r w:rsidRPr="002E483A">
        <w:rPr>
          <w:sz w:val="18"/>
          <w:szCs w:val="18"/>
        </w:rPr>
        <w:t xml:space="preserve"> </w:t>
      </w:r>
      <w:r>
        <w:rPr>
          <w:sz w:val="18"/>
          <w:szCs w:val="18"/>
        </w:rPr>
        <w:t>‘</w:t>
      </w:r>
      <w:r w:rsidRPr="002E483A">
        <w:rPr>
          <w:i/>
          <w:sz w:val="18"/>
          <w:szCs w:val="18"/>
        </w:rPr>
        <w:t>Impact of overweight and obesity as a risk factor for chronic conditions: Australian Burden of Disease Study</w:t>
      </w:r>
      <w:r>
        <w:rPr>
          <w:i/>
          <w:sz w:val="18"/>
          <w:szCs w:val="18"/>
        </w:rPr>
        <w:t>’</w:t>
      </w:r>
      <w:r w:rsidRPr="002E483A">
        <w:rPr>
          <w:sz w:val="18"/>
          <w:szCs w:val="18"/>
        </w:rPr>
        <w:t>. Australian Burde</w:t>
      </w:r>
      <w:r>
        <w:rPr>
          <w:sz w:val="18"/>
          <w:szCs w:val="18"/>
        </w:rPr>
        <w:t>n of Disease Study series no.11,</w:t>
      </w:r>
      <w:r w:rsidRPr="002E483A">
        <w:rPr>
          <w:sz w:val="18"/>
          <w:szCs w:val="18"/>
        </w:rPr>
        <w:t xml:space="preserve"> B</w:t>
      </w:r>
      <w:r>
        <w:rPr>
          <w:sz w:val="18"/>
          <w:szCs w:val="18"/>
        </w:rPr>
        <w:t>OD 12</w:t>
      </w:r>
      <w:r w:rsidRPr="002E483A">
        <w:rPr>
          <w:sz w:val="18"/>
          <w:szCs w:val="18"/>
        </w:rPr>
        <w:t>. Canberra: AIHW</w:t>
      </w:r>
      <w:r>
        <w:rPr>
          <w:sz w:val="18"/>
          <w:szCs w:val="18"/>
        </w:rPr>
        <w:t xml:space="preserve">. Available at: </w:t>
      </w:r>
      <w:hyperlink r:id="rId13" w:history="1">
        <w:r w:rsidRPr="00000366">
          <w:rPr>
            <w:rStyle w:val="Hyperlink"/>
            <w:sz w:val="18"/>
            <w:szCs w:val="18"/>
          </w:rPr>
          <w:t>AIHW website</w:t>
        </w:r>
      </w:hyperlink>
      <w:r>
        <w:rPr>
          <w:sz w:val="18"/>
          <w:szCs w:val="18"/>
        </w:rPr>
        <w:t xml:space="preserve"> (accessed 21 February 2019).</w:t>
      </w:r>
    </w:p>
  </w:footnote>
  <w:footnote w:id="33">
    <w:p w14:paraId="1E79BCA5" w14:textId="2B9FF10B" w:rsidR="00AA37B6" w:rsidRPr="00E35B73" w:rsidRDefault="00AA37B6" w:rsidP="00704EB8">
      <w:pPr>
        <w:pStyle w:val="FootnoteText"/>
        <w:spacing w:before="0" w:after="0"/>
        <w:rPr>
          <w:sz w:val="18"/>
          <w:szCs w:val="18"/>
        </w:rPr>
      </w:pPr>
      <w:r w:rsidRPr="002E483A">
        <w:rPr>
          <w:rStyle w:val="FootnoteReference"/>
          <w:sz w:val="18"/>
          <w:szCs w:val="18"/>
        </w:rPr>
        <w:footnoteRef/>
      </w:r>
      <w:r w:rsidRPr="002E483A">
        <w:rPr>
          <w:sz w:val="18"/>
          <w:szCs w:val="18"/>
        </w:rPr>
        <w:t xml:space="preserve"> </w:t>
      </w:r>
      <w:r w:rsidRPr="002E483A">
        <w:rPr>
          <w:rFonts w:cstheme="minorHAnsi"/>
          <w:sz w:val="18"/>
          <w:szCs w:val="18"/>
        </w:rPr>
        <w:t>World Health Organization, 2015. ‘</w:t>
      </w:r>
      <w:r w:rsidRPr="002E483A">
        <w:rPr>
          <w:rFonts w:cstheme="minorHAnsi"/>
          <w:i/>
          <w:iCs/>
          <w:sz w:val="18"/>
          <w:szCs w:val="18"/>
        </w:rPr>
        <w:t>Guideline: Sugars intake for adults and children’</w:t>
      </w:r>
      <w:r w:rsidRPr="002E483A">
        <w:rPr>
          <w:rFonts w:cstheme="minorHAnsi"/>
          <w:sz w:val="18"/>
          <w:szCs w:val="18"/>
        </w:rPr>
        <w:t xml:space="preserve">. Available at: </w:t>
      </w:r>
      <w:hyperlink r:id="rId14" w:tgtFrame="_" w:history="1">
        <w:r w:rsidRPr="002E483A">
          <w:rPr>
            <w:rStyle w:val="Hyperlink"/>
            <w:rFonts w:eastAsiaTheme="majorEastAsia" w:cstheme="minorHAnsi"/>
            <w:sz w:val="18"/>
            <w:szCs w:val="18"/>
          </w:rPr>
          <w:t>World Health Organi</w:t>
        </w:r>
        <w:r>
          <w:rPr>
            <w:rStyle w:val="Hyperlink"/>
            <w:rFonts w:eastAsiaTheme="majorEastAsia" w:cstheme="minorHAnsi"/>
            <w:sz w:val="18"/>
            <w:szCs w:val="18"/>
          </w:rPr>
          <w:t>z</w:t>
        </w:r>
        <w:r w:rsidRPr="002E483A">
          <w:rPr>
            <w:rStyle w:val="Hyperlink"/>
            <w:rFonts w:eastAsiaTheme="majorEastAsia" w:cstheme="minorHAnsi"/>
            <w:sz w:val="18"/>
            <w:szCs w:val="18"/>
          </w:rPr>
          <w:t>ation - Guideline: Sugars intake for adults and children</w:t>
        </w:r>
      </w:hyperlink>
      <w:r w:rsidRPr="002E483A">
        <w:rPr>
          <w:rFonts w:cstheme="minorHAnsi"/>
          <w:sz w:val="18"/>
          <w:szCs w:val="18"/>
        </w:rPr>
        <w:t xml:space="preserve"> </w:t>
      </w:r>
      <w:r w:rsidRPr="002E483A">
        <w:rPr>
          <w:rStyle w:val="Hyperlink"/>
          <w:rFonts w:eastAsiaTheme="majorEastAsia" w:cstheme="minorHAnsi"/>
          <w:color w:val="auto"/>
          <w:sz w:val="18"/>
          <w:szCs w:val="18"/>
          <w:u w:val="none"/>
        </w:rPr>
        <w:t>(</w:t>
      </w:r>
      <w:r w:rsidRPr="000338E4">
        <w:rPr>
          <w:rStyle w:val="Hyperlink"/>
          <w:rFonts w:eastAsiaTheme="majorEastAsia" w:cstheme="minorHAnsi"/>
          <w:color w:val="auto"/>
          <w:sz w:val="18"/>
          <w:szCs w:val="18"/>
          <w:u w:val="none"/>
        </w:rPr>
        <w:t>accessed 20 June 2016).</w:t>
      </w:r>
    </w:p>
  </w:footnote>
  <w:footnote w:id="34">
    <w:p w14:paraId="55B1E353" w14:textId="2DEAD1A0" w:rsidR="00AA37B6" w:rsidRPr="00B95A3A" w:rsidRDefault="00AA37B6" w:rsidP="00704EB8">
      <w:pPr>
        <w:spacing w:before="0" w:after="0"/>
        <w:rPr>
          <w:rFonts w:cstheme="minorHAnsi"/>
          <w:sz w:val="18"/>
          <w:szCs w:val="18"/>
        </w:rPr>
      </w:pPr>
      <w:r w:rsidRPr="00E35B73">
        <w:rPr>
          <w:rStyle w:val="FootnoteReference"/>
          <w:rFonts w:cstheme="minorHAnsi"/>
          <w:sz w:val="18"/>
          <w:szCs w:val="18"/>
        </w:rPr>
        <w:footnoteRef/>
      </w:r>
      <w:r w:rsidRPr="00E35B73">
        <w:rPr>
          <w:rFonts w:cstheme="minorHAnsi"/>
          <w:sz w:val="18"/>
          <w:szCs w:val="18"/>
        </w:rPr>
        <w:t xml:space="preserve"> Boylan</w:t>
      </w:r>
      <w:r>
        <w:rPr>
          <w:rFonts w:cstheme="minorHAnsi"/>
          <w:sz w:val="18"/>
          <w:szCs w:val="18"/>
        </w:rPr>
        <w:t>,</w:t>
      </w:r>
      <w:r w:rsidRPr="00E35B73">
        <w:rPr>
          <w:rFonts w:cstheme="minorHAnsi"/>
          <w:sz w:val="18"/>
          <w:szCs w:val="18"/>
        </w:rPr>
        <w:t xml:space="preserve"> S</w:t>
      </w:r>
      <w:r>
        <w:rPr>
          <w:rFonts w:cstheme="minorHAnsi"/>
          <w:sz w:val="18"/>
          <w:szCs w:val="18"/>
        </w:rPr>
        <w:t>.</w:t>
      </w:r>
      <w:r w:rsidRPr="00E35B73">
        <w:rPr>
          <w:rFonts w:cstheme="minorHAnsi"/>
          <w:sz w:val="18"/>
          <w:szCs w:val="18"/>
        </w:rPr>
        <w:t xml:space="preserve"> &amp; Mihrshahi</w:t>
      </w:r>
      <w:r>
        <w:rPr>
          <w:rFonts w:cstheme="minorHAnsi"/>
          <w:sz w:val="18"/>
          <w:szCs w:val="18"/>
        </w:rPr>
        <w:t>,</w:t>
      </w:r>
      <w:r w:rsidRPr="00E35B73">
        <w:rPr>
          <w:rFonts w:cstheme="minorHAnsi"/>
          <w:sz w:val="18"/>
          <w:szCs w:val="18"/>
        </w:rPr>
        <w:t xml:space="preserve"> S</w:t>
      </w:r>
      <w:r>
        <w:rPr>
          <w:rFonts w:cstheme="minorHAnsi"/>
          <w:sz w:val="18"/>
          <w:szCs w:val="18"/>
        </w:rPr>
        <w:t>.</w:t>
      </w:r>
      <w:r w:rsidRPr="00E35B73">
        <w:rPr>
          <w:rFonts w:cstheme="minorHAnsi"/>
          <w:sz w:val="18"/>
          <w:szCs w:val="18"/>
        </w:rPr>
        <w:t>, 2015. ‘</w:t>
      </w:r>
      <w:r w:rsidRPr="00E35B73">
        <w:rPr>
          <w:rFonts w:cstheme="minorHAnsi"/>
          <w:i/>
          <w:sz w:val="18"/>
          <w:szCs w:val="18"/>
        </w:rPr>
        <w:t>Sugar intake and health outcomes – A Rapid Evidence</w:t>
      </w:r>
      <w:r w:rsidRPr="00E35B73">
        <w:rPr>
          <w:rFonts w:cstheme="minorHAnsi"/>
          <w:sz w:val="18"/>
          <w:szCs w:val="18"/>
        </w:rPr>
        <w:t xml:space="preserve"> Review’. Available at </w:t>
      </w:r>
      <w:hyperlink r:id="rId15" w:history="1">
        <w:r w:rsidRPr="00E35B73">
          <w:rPr>
            <w:rStyle w:val="Hyperlink"/>
            <w:rFonts w:eastAsiaTheme="majorEastAsia" w:cstheme="minorHAnsi"/>
            <w:sz w:val="18"/>
            <w:szCs w:val="18"/>
          </w:rPr>
          <w:t>Physical Activity Nutrition Obesity Research Group</w:t>
        </w:r>
      </w:hyperlink>
      <w:r w:rsidRPr="00E35B73">
        <w:rPr>
          <w:rFonts w:cstheme="minorHAnsi"/>
          <w:sz w:val="18"/>
          <w:szCs w:val="18"/>
        </w:rPr>
        <w:t xml:space="preserve"> (accessed 22 August 2016).</w:t>
      </w:r>
    </w:p>
  </w:footnote>
  <w:footnote w:id="35">
    <w:p w14:paraId="35A4683A" w14:textId="15956B07" w:rsidR="00AA37B6" w:rsidRPr="00876F3B" w:rsidRDefault="00AA37B6" w:rsidP="00704EB8">
      <w:pPr>
        <w:pStyle w:val="FootnoteText"/>
        <w:spacing w:before="0" w:after="0"/>
        <w:rPr>
          <w:rFonts w:cstheme="minorHAnsi"/>
          <w:sz w:val="18"/>
          <w:szCs w:val="18"/>
        </w:rPr>
      </w:pPr>
      <w:r w:rsidRPr="00B95A3A">
        <w:rPr>
          <w:rStyle w:val="FootnoteReference"/>
          <w:rFonts w:cstheme="minorHAnsi"/>
          <w:sz w:val="18"/>
          <w:szCs w:val="18"/>
        </w:rPr>
        <w:footnoteRef/>
      </w:r>
      <w:r w:rsidRPr="00B95A3A">
        <w:rPr>
          <w:rFonts w:cstheme="minorHAnsi"/>
          <w:sz w:val="18"/>
          <w:szCs w:val="18"/>
        </w:rPr>
        <w:t xml:space="preserve"> Te Morenga</w:t>
      </w:r>
      <w:r>
        <w:rPr>
          <w:rFonts w:cstheme="minorHAnsi"/>
          <w:sz w:val="18"/>
          <w:szCs w:val="18"/>
        </w:rPr>
        <w:t>,</w:t>
      </w:r>
      <w:r w:rsidRPr="00B95A3A">
        <w:rPr>
          <w:rFonts w:cstheme="minorHAnsi"/>
          <w:sz w:val="18"/>
          <w:szCs w:val="18"/>
        </w:rPr>
        <w:t xml:space="preserve"> L.</w:t>
      </w:r>
      <w:r>
        <w:rPr>
          <w:rFonts w:cstheme="minorHAnsi"/>
          <w:sz w:val="18"/>
          <w:szCs w:val="18"/>
        </w:rPr>
        <w:t xml:space="preserve"> </w:t>
      </w:r>
      <w:r w:rsidRPr="00B95A3A">
        <w:rPr>
          <w:rFonts w:cstheme="minorHAnsi"/>
          <w:sz w:val="18"/>
          <w:szCs w:val="18"/>
        </w:rPr>
        <w:t xml:space="preserve">A., </w:t>
      </w:r>
      <w:r>
        <w:rPr>
          <w:rFonts w:cstheme="minorHAnsi"/>
          <w:sz w:val="18"/>
          <w:szCs w:val="18"/>
        </w:rPr>
        <w:t>et al,</w:t>
      </w:r>
      <w:r w:rsidRPr="00B95A3A">
        <w:rPr>
          <w:rFonts w:cstheme="minorHAnsi"/>
          <w:sz w:val="18"/>
          <w:szCs w:val="18"/>
        </w:rPr>
        <w:t xml:space="preserve"> 2014. ‘Dietary sugars and cardio</w:t>
      </w:r>
      <w:r>
        <w:rPr>
          <w:rFonts w:cstheme="minorHAnsi"/>
          <w:sz w:val="18"/>
          <w:szCs w:val="18"/>
        </w:rPr>
        <w:t xml:space="preserve"> </w:t>
      </w:r>
      <w:r w:rsidRPr="00B95A3A">
        <w:rPr>
          <w:rFonts w:cstheme="minorHAnsi"/>
          <w:sz w:val="18"/>
          <w:szCs w:val="18"/>
        </w:rPr>
        <w:t>metabolic risk: systemat</w:t>
      </w:r>
      <w:r>
        <w:rPr>
          <w:rFonts w:cstheme="minorHAnsi"/>
          <w:sz w:val="18"/>
          <w:szCs w:val="18"/>
        </w:rPr>
        <w:t xml:space="preserve">ic review and meta-analysis of </w:t>
      </w:r>
      <w:r w:rsidRPr="00B95A3A">
        <w:rPr>
          <w:rFonts w:cstheme="minorHAnsi"/>
          <w:sz w:val="18"/>
          <w:szCs w:val="18"/>
        </w:rPr>
        <w:t>randomised controlled trials of the effect</w:t>
      </w:r>
      <w:r>
        <w:rPr>
          <w:rFonts w:cstheme="minorHAnsi"/>
          <w:sz w:val="18"/>
          <w:szCs w:val="18"/>
        </w:rPr>
        <w:t>s on blood pressure and lipids’.</w:t>
      </w:r>
      <w:r w:rsidRPr="00B95A3A">
        <w:rPr>
          <w:rFonts w:cstheme="minorHAnsi"/>
          <w:sz w:val="18"/>
          <w:szCs w:val="18"/>
        </w:rPr>
        <w:t xml:space="preserve"> </w:t>
      </w:r>
      <w:r w:rsidRPr="00B95A3A">
        <w:rPr>
          <w:rFonts w:cstheme="minorHAnsi"/>
          <w:i/>
          <w:sz w:val="18"/>
          <w:szCs w:val="18"/>
        </w:rPr>
        <w:t>America</w:t>
      </w:r>
      <w:r>
        <w:rPr>
          <w:rFonts w:cstheme="minorHAnsi"/>
          <w:i/>
          <w:sz w:val="18"/>
          <w:szCs w:val="18"/>
        </w:rPr>
        <w:t>n Journal of Clinical Nutrition,</w:t>
      </w:r>
      <w:r w:rsidRPr="00B95A3A">
        <w:rPr>
          <w:rFonts w:cstheme="minorHAnsi"/>
          <w:i/>
          <w:sz w:val="18"/>
          <w:szCs w:val="18"/>
        </w:rPr>
        <w:t xml:space="preserve"> </w:t>
      </w:r>
      <w:r w:rsidRPr="00B95A3A">
        <w:rPr>
          <w:rFonts w:cstheme="minorHAnsi"/>
          <w:sz w:val="18"/>
          <w:szCs w:val="18"/>
        </w:rPr>
        <w:t xml:space="preserve">100: </w:t>
      </w:r>
      <w:r>
        <w:rPr>
          <w:rFonts w:cstheme="minorHAnsi"/>
          <w:sz w:val="18"/>
          <w:szCs w:val="18"/>
        </w:rPr>
        <w:t>p</w:t>
      </w:r>
      <w:r w:rsidRPr="00B95A3A">
        <w:rPr>
          <w:rFonts w:cstheme="minorHAnsi"/>
          <w:sz w:val="18"/>
          <w:szCs w:val="18"/>
        </w:rPr>
        <w:t>65-79.</w:t>
      </w:r>
    </w:p>
  </w:footnote>
  <w:footnote w:id="36">
    <w:p w14:paraId="246AB9A7" w14:textId="7E27638C" w:rsidR="00AA37B6" w:rsidRPr="003234BA" w:rsidRDefault="00AA37B6" w:rsidP="00704EB8">
      <w:pPr>
        <w:spacing w:before="0" w:after="0"/>
        <w:rPr>
          <w:rFonts w:cstheme="minorHAnsi"/>
          <w:sz w:val="18"/>
          <w:szCs w:val="18"/>
        </w:rPr>
      </w:pPr>
      <w:r w:rsidRPr="003234BA">
        <w:rPr>
          <w:rStyle w:val="FootnoteReference"/>
          <w:rFonts w:cstheme="minorHAnsi"/>
          <w:sz w:val="18"/>
          <w:szCs w:val="18"/>
        </w:rPr>
        <w:footnoteRef/>
      </w:r>
      <w:r w:rsidRPr="003234BA">
        <w:rPr>
          <w:rFonts w:cstheme="minorHAnsi"/>
          <w:sz w:val="18"/>
          <w:szCs w:val="18"/>
        </w:rPr>
        <w:t xml:space="preserve"> National Health and Medical Research Council, 2013. ‘</w:t>
      </w:r>
      <w:r w:rsidRPr="003234BA">
        <w:rPr>
          <w:rFonts w:cstheme="minorHAnsi"/>
          <w:i/>
          <w:iCs/>
          <w:sz w:val="18"/>
          <w:szCs w:val="18"/>
        </w:rPr>
        <w:t>Eat For Health: Australian Dietary Guidelines’</w:t>
      </w:r>
      <w:r w:rsidRPr="003234BA">
        <w:rPr>
          <w:rFonts w:cstheme="minorHAnsi"/>
          <w:iCs/>
          <w:sz w:val="18"/>
          <w:szCs w:val="18"/>
        </w:rPr>
        <w:t>,</w:t>
      </w:r>
      <w:r w:rsidRPr="003234BA">
        <w:rPr>
          <w:rFonts w:cstheme="minorHAnsi"/>
          <w:sz w:val="18"/>
          <w:szCs w:val="18"/>
        </w:rPr>
        <w:t xml:space="preserve"> Ca</w:t>
      </w:r>
      <w:r>
        <w:rPr>
          <w:rFonts w:cstheme="minorHAnsi"/>
          <w:sz w:val="18"/>
          <w:szCs w:val="18"/>
        </w:rPr>
        <w:t xml:space="preserve">nberra: Australian Government. </w:t>
      </w:r>
      <w:r w:rsidRPr="003234BA">
        <w:rPr>
          <w:rFonts w:cstheme="minorHAnsi"/>
          <w:sz w:val="18"/>
          <w:szCs w:val="18"/>
        </w:rPr>
        <w:t xml:space="preserve">Available at </w:t>
      </w:r>
      <w:hyperlink r:id="rId16" w:history="1">
        <w:r w:rsidRPr="003234BA">
          <w:rPr>
            <w:rStyle w:val="Hyperlink"/>
            <w:rFonts w:eastAsiaTheme="majorEastAsia" w:cstheme="minorHAnsi"/>
            <w:sz w:val="18"/>
            <w:szCs w:val="18"/>
          </w:rPr>
          <w:t>Eat for Health website</w:t>
        </w:r>
      </w:hyperlink>
      <w:r w:rsidRPr="003234BA">
        <w:rPr>
          <w:rStyle w:val="Hyperlink"/>
          <w:rFonts w:eastAsiaTheme="majorEastAsia" w:cstheme="minorHAnsi"/>
          <w:sz w:val="18"/>
          <w:szCs w:val="18"/>
          <w:u w:val="none"/>
        </w:rPr>
        <w:t xml:space="preserve"> </w:t>
      </w:r>
      <w:r w:rsidRPr="003234BA">
        <w:rPr>
          <w:rStyle w:val="Hyperlink"/>
          <w:rFonts w:eastAsiaTheme="majorEastAsia" w:cstheme="minorHAnsi"/>
          <w:color w:val="auto"/>
          <w:sz w:val="18"/>
          <w:szCs w:val="18"/>
          <w:u w:val="none"/>
        </w:rPr>
        <w:t>(accessed 23 April 2018).</w:t>
      </w:r>
    </w:p>
  </w:footnote>
  <w:footnote w:id="37">
    <w:p w14:paraId="2D60EE9F" w14:textId="1BC460A2" w:rsidR="00AA37B6" w:rsidRPr="003234BA" w:rsidRDefault="00AA37B6" w:rsidP="00704EB8">
      <w:pPr>
        <w:spacing w:before="0" w:after="0"/>
        <w:rPr>
          <w:rFonts w:cstheme="minorHAnsi"/>
          <w:sz w:val="18"/>
          <w:szCs w:val="18"/>
        </w:rPr>
      </w:pPr>
      <w:r w:rsidRPr="003234BA">
        <w:rPr>
          <w:rStyle w:val="FootnoteReference"/>
          <w:rFonts w:cstheme="minorHAnsi"/>
          <w:sz w:val="18"/>
          <w:szCs w:val="18"/>
        </w:rPr>
        <w:footnoteRef/>
      </w:r>
      <w:r w:rsidRPr="003234BA">
        <w:rPr>
          <w:rFonts w:cstheme="minorHAnsi"/>
          <w:sz w:val="18"/>
          <w:szCs w:val="18"/>
        </w:rPr>
        <w:t xml:space="preserve"> Ministry of Health, 2015. ‘</w:t>
      </w:r>
      <w:r w:rsidRPr="003234BA">
        <w:rPr>
          <w:rFonts w:cstheme="minorHAnsi"/>
          <w:i/>
          <w:sz w:val="18"/>
          <w:szCs w:val="18"/>
        </w:rPr>
        <w:t>Eating and Activity Guidelines for New Zealand Adults’</w:t>
      </w:r>
      <w:r w:rsidRPr="003234BA">
        <w:rPr>
          <w:rFonts w:cstheme="minorHAnsi"/>
          <w:sz w:val="18"/>
          <w:szCs w:val="18"/>
        </w:rPr>
        <w:t xml:space="preserve">, Wellington: Ministry of Health. Available at: </w:t>
      </w:r>
      <w:hyperlink r:id="rId17" w:history="1">
        <w:r w:rsidRPr="003234BA">
          <w:rPr>
            <w:rStyle w:val="Hyperlink"/>
            <w:rFonts w:eastAsiaTheme="majorEastAsia" w:cstheme="minorHAnsi"/>
            <w:sz w:val="18"/>
            <w:szCs w:val="18"/>
          </w:rPr>
          <w:t>Eating and Activity Guidelines for New Zealand Adults</w:t>
        </w:r>
      </w:hyperlink>
      <w:r w:rsidRPr="003234BA">
        <w:rPr>
          <w:rFonts w:cstheme="minorHAnsi"/>
          <w:sz w:val="18"/>
          <w:szCs w:val="18"/>
        </w:rPr>
        <w:t xml:space="preserve"> (accessed 23 April 2018).</w:t>
      </w:r>
    </w:p>
  </w:footnote>
  <w:footnote w:id="38">
    <w:p w14:paraId="292CBCB1" w14:textId="77777777" w:rsidR="00AA37B6" w:rsidRPr="003234BA" w:rsidRDefault="00AA37B6" w:rsidP="00704EB8">
      <w:pPr>
        <w:pStyle w:val="FootnoteText"/>
        <w:spacing w:before="0" w:after="0"/>
        <w:rPr>
          <w:rFonts w:cstheme="minorHAnsi"/>
          <w:sz w:val="18"/>
          <w:szCs w:val="18"/>
        </w:rPr>
      </w:pPr>
      <w:r w:rsidRPr="003234BA">
        <w:rPr>
          <w:rStyle w:val="FootnoteReference"/>
          <w:rFonts w:cstheme="minorHAnsi"/>
          <w:sz w:val="18"/>
          <w:szCs w:val="18"/>
        </w:rPr>
        <w:footnoteRef/>
      </w:r>
      <w:r w:rsidRPr="003234BA">
        <w:rPr>
          <w:rFonts w:cstheme="minorHAnsi"/>
          <w:sz w:val="18"/>
          <w:szCs w:val="18"/>
        </w:rPr>
        <w:t xml:space="preserve"> 1 teaspoon refers to a level teaspoon of white sugar</w:t>
      </w:r>
    </w:p>
  </w:footnote>
  <w:footnote w:id="39">
    <w:p w14:paraId="12B46881" w14:textId="5C7DCA1F" w:rsidR="00AA37B6" w:rsidRPr="003234BA" w:rsidRDefault="00AA37B6" w:rsidP="00704EB8">
      <w:pPr>
        <w:pStyle w:val="FootnoteText"/>
        <w:spacing w:before="0" w:after="0"/>
        <w:rPr>
          <w:rFonts w:cstheme="minorHAnsi"/>
          <w:sz w:val="18"/>
          <w:szCs w:val="18"/>
        </w:rPr>
      </w:pPr>
      <w:r w:rsidRPr="003234BA">
        <w:rPr>
          <w:rStyle w:val="FootnoteReference"/>
          <w:rFonts w:cstheme="minorHAnsi"/>
          <w:sz w:val="18"/>
          <w:szCs w:val="18"/>
        </w:rPr>
        <w:footnoteRef/>
      </w:r>
      <w:r w:rsidRPr="003234BA">
        <w:rPr>
          <w:rFonts w:cstheme="minorHAnsi"/>
          <w:sz w:val="18"/>
          <w:szCs w:val="18"/>
        </w:rPr>
        <w:t xml:space="preserve"> It is noted that the WHO guidance relates to ‘free sugars’ however, in this paper the term ‘added sugars’ may include what are referred to as ‘free sugars’. </w:t>
      </w:r>
    </w:p>
  </w:footnote>
  <w:footnote w:id="40">
    <w:p w14:paraId="7DF0DACB" w14:textId="34043D61" w:rsidR="00AA37B6" w:rsidRPr="00993D69" w:rsidRDefault="00AA37B6" w:rsidP="00704EB8">
      <w:pPr>
        <w:pStyle w:val="FootnoteText"/>
        <w:spacing w:before="0" w:after="0"/>
        <w:rPr>
          <w:rFonts w:ascii="Times New Roman" w:hAnsi="Times New Roman" w:cs="Times New Roman"/>
          <w:sz w:val="18"/>
          <w:szCs w:val="18"/>
        </w:rPr>
      </w:pPr>
      <w:r w:rsidRPr="003234BA">
        <w:rPr>
          <w:rStyle w:val="FootnoteReference"/>
          <w:rFonts w:cstheme="minorHAnsi"/>
          <w:sz w:val="18"/>
          <w:szCs w:val="18"/>
        </w:rPr>
        <w:footnoteRef/>
      </w:r>
      <w:r w:rsidRPr="003234BA">
        <w:rPr>
          <w:rFonts w:cstheme="minorHAnsi"/>
          <w:sz w:val="18"/>
          <w:szCs w:val="18"/>
        </w:rPr>
        <w:t xml:space="preserve"> Based on a daily energy</w:t>
      </w:r>
      <w:r>
        <w:rPr>
          <w:rFonts w:cstheme="minorHAnsi"/>
          <w:sz w:val="18"/>
          <w:szCs w:val="18"/>
        </w:rPr>
        <w:t xml:space="preserve"> intake of 8,000kJ.</w:t>
      </w:r>
    </w:p>
  </w:footnote>
  <w:footnote w:id="41">
    <w:p w14:paraId="344F9E0E" w14:textId="2B4E6AA4" w:rsidR="00AA37B6" w:rsidRPr="003234BA" w:rsidRDefault="00AA37B6" w:rsidP="00704EB8">
      <w:pPr>
        <w:spacing w:before="0" w:after="0"/>
        <w:rPr>
          <w:rFonts w:cstheme="minorHAnsi"/>
          <w:sz w:val="18"/>
          <w:szCs w:val="18"/>
        </w:rPr>
      </w:pPr>
      <w:r w:rsidRPr="003234BA">
        <w:rPr>
          <w:rStyle w:val="FootnoteReference"/>
          <w:rFonts w:cstheme="minorHAnsi"/>
          <w:sz w:val="18"/>
          <w:szCs w:val="18"/>
        </w:rPr>
        <w:footnoteRef/>
      </w:r>
      <w:r w:rsidRPr="003234BA">
        <w:rPr>
          <w:rFonts w:cstheme="minorHAnsi"/>
          <w:sz w:val="18"/>
          <w:szCs w:val="18"/>
        </w:rPr>
        <w:t xml:space="preserve"> Scientific Advisory Committee on Nutrition</w:t>
      </w:r>
      <w:r>
        <w:rPr>
          <w:rFonts w:cstheme="minorHAnsi"/>
          <w:sz w:val="18"/>
          <w:szCs w:val="18"/>
        </w:rPr>
        <w:t>,</w:t>
      </w:r>
      <w:r w:rsidRPr="003234BA">
        <w:rPr>
          <w:rFonts w:cstheme="minorHAnsi"/>
          <w:sz w:val="18"/>
          <w:szCs w:val="18"/>
        </w:rPr>
        <w:t xml:space="preserve"> 2015. ‘</w:t>
      </w:r>
      <w:r w:rsidRPr="003234BA">
        <w:rPr>
          <w:rFonts w:cstheme="minorHAnsi"/>
          <w:i/>
          <w:sz w:val="18"/>
          <w:szCs w:val="18"/>
        </w:rPr>
        <w:t>Carbohydrates and Health’</w:t>
      </w:r>
      <w:r w:rsidRPr="003234BA">
        <w:rPr>
          <w:rFonts w:cstheme="minorHAnsi"/>
          <w:sz w:val="18"/>
          <w:szCs w:val="18"/>
        </w:rPr>
        <w:t xml:space="preserve">. Available at: </w:t>
      </w:r>
      <w:hyperlink r:id="rId18" w:history="1">
        <w:r w:rsidRPr="003234BA">
          <w:rPr>
            <w:rStyle w:val="Hyperlink"/>
            <w:rFonts w:eastAsiaTheme="majorEastAsia" w:cstheme="minorHAnsi"/>
            <w:sz w:val="18"/>
            <w:szCs w:val="18"/>
          </w:rPr>
          <w:t>Scientific Advisory Committee on Nutrition: Carbohydrates and Health</w:t>
        </w:r>
      </w:hyperlink>
      <w:r>
        <w:rPr>
          <w:rFonts w:cstheme="minorHAnsi"/>
          <w:sz w:val="18"/>
          <w:szCs w:val="18"/>
        </w:rPr>
        <w:t xml:space="preserve"> (accessed 21 July 2016).</w:t>
      </w:r>
    </w:p>
  </w:footnote>
  <w:footnote w:id="42">
    <w:p w14:paraId="6D6F4B10" w14:textId="20DA300F" w:rsidR="00AA37B6" w:rsidRPr="003234BA" w:rsidRDefault="00AA37B6" w:rsidP="00704EB8">
      <w:pPr>
        <w:pStyle w:val="FootnoteText"/>
        <w:spacing w:before="0" w:after="0"/>
        <w:rPr>
          <w:rFonts w:cstheme="minorHAnsi"/>
          <w:sz w:val="18"/>
          <w:szCs w:val="18"/>
        </w:rPr>
      </w:pPr>
      <w:r w:rsidRPr="003234BA">
        <w:rPr>
          <w:rStyle w:val="FootnoteReference"/>
          <w:rFonts w:cstheme="minorHAnsi"/>
          <w:sz w:val="18"/>
          <w:szCs w:val="18"/>
        </w:rPr>
        <w:footnoteRef/>
      </w:r>
      <w:r w:rsidRPr="003234BA">
        <w:rPr>
          <w:rFonts w:cstheme="minorHAnsi"/>
          <w:sz w:val="18"/>
          <w:szCs w:val="18"/>
        </w:rPr>
        <w:t xml:space="preserve"> U.S. Department of Health and Human Services and U.S. Department of Agriculture, 2015. ‘</w:t>
      </w:r>
      <w:r w:rsidRPr="003234BA">
        <w:rPr>
          <w:rFonts w:cstheme="minorHAnsi"/>
          <w:i/>
          <w:sz w:val="18"/>
          <w:szCs w:val="18"/>
        </w:rPr>
        <w:t>2015–2020 Dietary Guidelines for Americans</w:t>
      </w:r>
      <w:r w:rsidRPr="003234BA">
        <w:rPr>
          <w:rFonts w:cstheme="minorHAnsi"/>
          <w:sz w:val="18"/>
          <w:szCs w:val="18"/>
        </w:rPr>
        <w:t xml:space="preserve">’. Available at: </w:t>
      </w:r>
      <w:hyperlink r:id="rId19" w:history="1">
        <w:r w:rsidRPr="003234BA">
          <w:rPr>
            <w:rStyle w:val="Hyperlink"/>
            <w:rFonts w:cstheme="minorHAnsi"/>
            <w:sz w:val="18"/>
            <w:szCs w:val="18"/>
          </w:rPr>
          <w:t>Australian Government Department of Health</w:t>
        </w:r>
      </w:hyperlink>
      <w:r w:rsidRPr="003234BA">
        <w:rPr>
          <w:rFonts w:cstheme="minorHAnsi"/>
          <w:sz w:val="18"/>
          <w:szCs w:val="18"/>
        </w:rPr>
        <w:t xml:space="preserve"> (accessed 22 June 2017).</w:t>
      </w:r>
    </w:p>
  </w:footnote>
  <w:footnote w:id="43">
    <w:p w14:paraId="619F85B1" w14:textId="14075997" w:rsidR="00AA37B6" w:rsidRPr="003234BA" w:rsidRDefault="00AA37B6" w:rsidP="00704EB8">
      <w:pPr>
        <w:pStyle w:val="FootnoteText"/>
        <w:spacing w:before="0" w:after="0"/>
        <w:rPr>
          <w:rFonts w:cstheme="minorHAnsi"/>
          <w:sz w:val="18"/>
          <w:szCs w:val="18"/>
        </w:rPr>
      </w:pPr>
      <w:r w:rsidRPr="003234BA">
        <w:rPr>
          <w:rStyle w:val="FootnoteReference"/>
          <w:rFonts w:cstheme="minorHAnsi"/>
          <w:sz w:val="18"/>
          <w:szCs w:val="18"/>
        </w:rPr>
        <w:footnoteRef/>
      </w:r>
      <w:r w:rsidRPr="003234BA">
        <w:rPr>
          <w:rFonts w:cstheme="minorHAnsi"/>
          <w:sz w:val="18"/>
          <w:szCs w:val="18"/>
        </w:rPr>
        <w:t xml:space="preserve"> Calorie is a unit of energy and</w:t>
      </w:r>
      <w:r>
        <w:rPr>
          <w:rFonts w:cstheme="minorHAnsi"/>
          <w:sz w:val="18"/>
          <w:szCs w:val="18"/>
        </w:rPr>
        <w:t xml:space="preserve"> is used in the United States. </w:t>
      </w:r>
      <w:r w:rsidRPr="003234BA">
        <w:rPr>
          <w:rFonts w:cstheme="minorHAnsi"/>
          <w:sz w:val="18"/>
          <w:szCs w:val="18"/>
        </w:rPr>
        <w:t>Australia and New Zealand use kilojoule</w:t>
      </w:r>
      <w:r>
        <w:rPr>
          <w:rFonts w:cstheme="minorHAnsi"/>
          <w:sz w:val="18"/>
          <w:szCs w:val="18"/>
        </w:rPr>
        <w:t>s to refer to energy from food.</w:t>
      </w:r>
    </w:p>
  </w:footnote>
  <w:footnote w:id="44">
    <w:p w14:paraId="3FD8D242" w14:textId="2D05D23E" w:rsidR="00AA37B6" w:rsidRPr="003234BA" w:rsidRDefault="00AA37B6" w:rsidP="00704EB8">
      <w:pPr>
        <w:spacing w:before="0" w:after="0"/>
        <w:rPr>
          <w:rFonts w:cstheme="minorHAnsi"/>
          <w:sz w:val="18"/>
          <w:szCs w:val="18"/>
        </w:rPr>
      </w:pPr>
      <w:r w:rsidRPr="003234BA">
        <w:rPr>
          <w:rStyle w:val="FootnoteReference"/>
          <w:rFonts w:cstheme="minorHAnsi"/>
          <w:sz w:val="18"/>
          <w:szCs w:val="18"/>
        </w:rPr>
        <w:footnoteRef/>
      </w:r>
      <w:r w:rsidRPr="003234BA">
        <w:rPr>
          <w:rFonts w:cstheme="minorHAnsi"/>
          <w:sz w:val="18"/>
          <w:szCs w:val="18"/>
        </w:rPr>
        <w:t xml:space="preserve"> European Food Safety Authority (EFSA)</w:t>
      </w:r>
      <w:r>
        <w:rPr>
          <w:rFonts w:cstheme="minorHAnsi"/>
          <w:sz w:val="18"/>
          <w:szCs w:val="18"/>
        </w:rPr>
        <w:t>,</w:t>
      </w:r>
      <w:r w:rsidRPr="003234BA">
        <w:rPr>
          <w:rFonts w:cstheme="minorHAnsi"/>
          <w:sz w:val="18"/>
          <w:szCs w:val="18"/>
        </w:rPr>
        <w:t xml:space="preserve"> 2017. ‘</w:t>
      </w:r>
      <w:r w:rsidRPr="003234BA">
        <w:rPr>
          <w:rFonts w:cstheme="minorHAnsi"/>
          <w:i/>
          <w:sz w:val="18"/>
          <w:szCs w:val="18"/>
        </w:rPr>
        <w:t>EFSA to give advice on the intake of sugar added to food</w:t>
      </w:r>
      <w:r w:rsidRPr="003234BA">
        <w:rPr>
          <w:rFonts w:cstheme="minorHAnsi"/>
          <w:sz w:val="18"/>
          <w:szCs w:val="18"/>
        </w:rPr>
        <w:t>’</w:t>
      </w:r>
      <w:r>
        <w:rPr>
          <w:rFonts w:cstheme="minorHAnsi"/>
          <w:sz w:val="18"/>
          <w:szCs w:val="18"/>
        </w:rPr>
        <w:t>.</w:t>
      </w:r>
      <w:r w:rsidRPr="003234BA">
        <w:rPr>
          <w:rFonts w:cstheme="minorHAnsi"/>
          <w:sz w:val="18"/>
          <w:szCs w:val="18"/>
        </w:rPr>
        <w:t xml:space="preserve"> Available at: </w:t>
      </w:r>
      <w:hyperlink r:id="rId20" w:history="1">
        <w:r w:rsidRPr="003234BA">
          <w:rPr>
            <w:rStyle w:val="Hyperlink"/>
            <w:rFonts w:cstheme="minorHAnsi"/>
            <w:sz w:val="18"/>
            <w:szCs w:val="18"/>
          </w:rPr>
          <w:t>EFSA website</w:t>
        </w:r>
      </w:hyperlink>
      <w:r>
        <w:rPr>
          <w:rFonts w:cstheme="minorHAnsi"/>
          <w:sz w:val="18"/>
          <w:szCs w:val="18"/>
        </w:rPr>
        <w:t xml:space="preserve"> (accessed 14 July 2017).</w:t>
      </w:r>
    </w:p>
  </w:footnote>
  <w:footnote w:id="45">
    <w:p w14:paraId="7C654125" w14:textId="00B0C643" w:rsidR="00AA37B6" w:rsidRPr="003234BA" w:rsidRDefault="00AA37B6" w:rsidP="00704EB8">
      <w:pPr>
        <w:pStyle w:val="FootnoteText"/>
        <w:spacing w:before="0" w:after="0"/>
        <w:rPr>
          <w:rFonts w:cstheme="minorHAnsi"/>
          <w:sz w:val="18"/>
          <w:szCs w:val="18"/>
        </w:rPr>
      </w:pPr>
      <w:r w:rsidRPr="00000366">
        <w:rPr>
          <w:rFonts w:eastAsia="Times New Roman" w:cstheme="minorHAnsi"/>
          <w:sz w:val="18"/>
          <w:szCs w:val="18"/>
          <w:vertAlign w:val="superscript"/>
        </w:rPr>
        <w:footnoteRef/>
      </w:r>
      <w:r w:rsidRPr="003234BA">
        <w:rPr>
          <w:rFonts w:eastAsia="Times New Roman" w:cstheme="minorHAnsi"/>
          <w:sz w:val="18"/>
          <w:szCs w:val="18"/>
        </w:rPr>
        <w:t xml:space="preserve"> Australian Bureau of Statistics, 2016. ‘</w:t>
      </w:r>
      <w:r w:rsidRPr="003234BA">
        <w:rPr>
          <w:rFonts w:eastAsia="Times New Roman" w:cstheme="minorHAnsi"/>
          <w:i/>
          <w:sz w:val="18"/>
          <w:szCs w:val="18"/>
        </w:rPr>
        <w:t>Australian Healthy Survey: Consumption of added sugars, 2011-12</w:t>
      </w:r>
      <w:r w:rsidRPr="003234BA">
        <w:rPr>
          <w:rFonts w:eastAsia="Times New Roman" w:cstheme="minorHAnsi"/>
          <w:sz w:val="18"/>
          <w:szCs w:val="18"/>
        </w:rPr>
        <w:t xml:space="preserve">’. Available at: </w:t>
      </w:r>
      <w:hyperlink r:id="rId21" w:history="1">
        <w:r w:rsidRPr="003234BA">
          <w:rPr>
            <w:rStyle w:val="Hyperlink"/>
            <w:rFonts w:eastAsia="Times New Roman" w:cstheme="minorHAnsi"/>
            <w:sz w:val="18"/>
            <w:szCs w:val="18"/>
          </w:rPr>
          <w:t>Australian Bureau of Statistics</w:t>
        </w:r>
      </w:hyperlink>
      <w:r w:rsidRPr="003234BA">
        <w:rPr>
          <w:rFonts w:eastAsia="Times New Roman" w:cstheme="minorHAnsi"/>
          <w:sz w:val="18"/>
          <w:szCs w:val="18"/>
        </w:rPr>
        <w:t xml:space="preserve"> (accessed 23 April 2018).</w:t>
      </w:r>
    </w:p>
  </w:footnote>
  <w:footnote w:id="46">
    <w:p w14:paraId="29A78FA3" w14:textId="6D044CC0" w:rsidR="00AA37B6" w:rsidRPr="003234BA" w:rsidRDefault="00AA37B6" w:rsidP="00704EB8">
      <w:pPr>
        <w:pStyle w:val="FootnoteText"/>
        <w:spacing w:before="0" w:after="0"/>
        <w:rPr>
          <w:rFonts w:cstheme="minorHAnsi"/>
          <w:sz w:val="18"/>
          <w:szCs w:val="18"/>
        </w:rPr>
      </w:pPr>
      <w:r w:rsidRPr="003234BA">
        <w:rPr>
          <w:rStyle w:val="FootnoteReference"/>
          <w:rFonts w:cstheme="minorHAnsi"/>
          <w:sz w:val="18"/>
          <w:szCs w:val="18"/>
        </w:rPr>
        <w:footnoteRef/>
      </w:r>
      <w:r w:rsidRPr="003234BA">
        <w:rPr>
          <w:rFonts w:cstheme="minorHAnsi"/>
          <w:sz w:val="18"/>
          <w:szCs w:val="18"/>
        </w:rPr>
        <w:t xml:space="preserve"> Nettleton</w:t>
      </w:r>
      <w:r>
        <w:rPr>
          <w:rFonts w:cstheme="minorHAnsi"/>
          <w:sz w:val="18"/>
          <w:szCs w:val="18"/>
        </w:rPr>
        <w:t>,</w:t>
      </w:r>
      <w:r w:rsidRPr="003234BA">
        <w:rPr>
          <w:rFonts w:cstheme="minorHAnsi"/>
          <w:sz w:val="18"/>
          <w:szCs w:val="18"/>
        </w:rPr>
        <w:t xml:space="preserve"> A</w:t>
      </w:r>
      <w:r>
        <w:rPr>
          <w:rFonts w:cstheme="minorHAnsi"/>
          <w:sz w:val="18"/>
          <w:szCs w:val="18"/>
        </w:rPr>
        <w:t>.</w:t>
      </w:r>
      <w:r w:rsidRPr="003234BA">
        <w:rPr>
          <w:rFonts w:cstheme="minorHAnsi"/>
          <w:sz w:val="18"/>
          <w:szCs w:val="18"/>
        </w:rPr>
        <w:t xml:space="preserve">, 2016.’ </w:t>
      </w:r>
      <w:r w:rsidRPr="003234BA">
        <w:rPr>
          <w:rFonts w:cstheme="minorHAnsi"/>
          <w:i/>
          <w:sz w:val="18"/>
          <w:szCs w:val="18"/>
        </w:rPr>
        <w:t>Estimating added sugars intake in New Zealand’</w:t>
      </w:r>
      <w:r w:rsidRPr="003234BA">
        <w:rPr>
          <w:rFonts w:cstheme="minorHAnsi"/>
          <w:sz w:val="18"/>
          <w:szCs w:val="18"/>
        </w:rPr>
        <w:t xml:space="preserve"> [Thesis]. Dunedin, New</w:t>
      </w:r>
      <w:r>
        <w:rPr>
          <w:rFonts w:cstheme="minorHAnsi"/>
          <w:sz w:val="18"/>
          <w:szCs w:val="18"/>
        </w:rPr>
        <w:t xml:space="preserve"> Zealand: University of Otago. </w:t>
      </w:r>
      <w:r w:rsidRPr="003234BA">
        <w:rPr>
          <w:rFonts w:cstheme="minorHAnsi"/>
          <w:sz w:val="18"/>
          <w:szCs w:val="18"/>
        </w:rPr>
        <w:t xml:space="preserve">Available at: </w:t>
      </w:r>
      <w:hyperlink r:id="rId22" w:history="1">
        <w:r w:rsidRPr="003234BA">
          <w:rPr>
            <w:rStyle w:val="Hyperlink"/>
            <w:rFonts w:cstheme="minorHAnsi"/>
            <w:sz w:val="18"/>
            <w:szCs w:val="18"/>
          </w:rPr>
          <w:t>University of Otago</w:t>
        </w:r>
      </w:hyperlink>
      <w:r w:rsidRPr="003234BA">
        <w:rPr>
          <w:rFonts w:cstheme="minorHAnsi"/>
          <w:sz w:val="18"/>
          <w:szCs w:val="18"/>
        </w:rPr>
        <w:t xml:space="preserve"> (accessed 23 April 2018)</w:t>
      </w:r>
      <w:r>
        <w:rPr>
          <w:rFonts w:cstheme="minorHAnsi"/>
          <w:sz w:val="18"/>
          <w:szCs w:val="18"/>
        </w:rPr>
        <w:t>.</w:t>
      </w:r>
    </w:p>
  </w:footnote>
  <w:footnote w:id="47">
    <w:p w14:paraId="7DB74131" w14:textId="2495F23A" w:rsidR="00AA37B6" w:rsidRPr="003234BA" w:rsidRDefault="00AA37B6" w:rsidP="00704EB8">
      <w:pPr>
        <w:pStyle w:val="FootnoteText"/>
        <w:spacing w:before="0" w:after="0"/>
        <w:rPr>
          <w:rFonts w:cstheme="minorHAnsi"/>
          <w:sz w:val="18"/>
          <w:szCs w:val="18"/>
        </w:rPr>
      </w:pPr>
      <w:r w:rsidRPr="003234BA">
        <w:rPr>
          <w:rStyle w:val="FootnoteReference"/>
          <w:rFonts w:cstheme="minorHAnsi"/>
          <w:sz w:val="18"/>
          <w:szCs w:val="18"/>
        </w:rPr>
        <w:footnoteRef/>
      </w:r>
      <w:r w:rsidRPr="003234BA">
        <w:rPr>
          <w:rFonts w:cstheme="minorHAnsi"/>
          <w:sz w:val="18"/>
          <w:szCs w:val="18"/>
        </w:rPr>
        <w:t xml:space="preserve"> Kibblewhite</w:t>
      </w:r>
      <w:r>
        <w:rPr>
          <w:rFonts w:cstheme="minorHAnsi"/>
          <w:sz w:val="18"/>
          <w:szCs w:val="18"/>
        </w:rPr>
        <w:t>,</w:t>
      </w:r>
      <w:r w:rsidRPr="003234BA">
        <w:rPr>
          <w:rFonts w:cstheme="minorHAnsi"/>
          <w:sz w:val="18"/>
          <w:szCs w:val="18"/>
        </w:rPr>
        <w:t xml:space="preserve"> R</w:t>
      </w:r>
      <w:r>
        <w:rPr>
          <w:rFonts w:cstheme="minorHAnsi"/>
          <w:sz w:val="18"/>
          <w:szCs w:val="18"/>
        </w:rPr>
        <w:t>.</w:t>
      </w:r>
      <w:r w:rsidRPr="003234BA">
        <w:rPr>
          <w:rFonts w:cstheme="minorHAnsi"/>
          <w:sz w:val="18"/>
          <w:szCs w:val="18"/>
        </w:rPr>
        <w:t>L</w:t>
      </w:r>
      <w:r>
        <w:rPr>
          <w:rFonts w:cstheme="minorHAnsi"/>
          <w:sz w:val="18"/>
          <w:szCs w:val="18"/>
        </w:rPr>
        <w:t>.</w:t>
      </w:r>
      <w:r w:rsidRPr="003234BA">
        <w:rPr>
          <w:rFonts w:cstheme="minorHAnsi"/>
          <w:sz w:val="18"/>
          <w:szCs w:val="18"/>
        </w:rPr>
        <w:t>, 2016. ‘</w:t>
      </w:r>
      <w:r w:rsidRPr="003234BA">
        <w:rPr>
          <w:rFonts w:cstheme="minorHAnsi"/>
          <w:i/>
          <w:sz w:val="18"/>
          <w:szCs w:val="18"/>
        </w:rPr>
        <w:t>Estimating free sugars intake in New Zealand’</w:t>
      </w:r>
      <w:r w:rsidRPr="003234BA">
        <w:rPr>
          <w:rFonts w:cstheme="minorHAnsi"/>
          <w:sz w:val="18"/>
          <w:szCs w:val="18"/>
        </w:rPr>
        <w:t xml:space="preserve"> [Thesis]. Dunedin, New Zealand: University of Otago. Available at: </w:t>
      </w:r>
      <w:hyperlink r:id="rId23" w:history="1">
        <w:r w:rsidRPr="003234BA">
          <w:rPr>
            <w:rStyle w:val="Hyperlink"/>
            <w:rFonts w:cstheme="minorHAnsi"/>
            <w:sz w:val="18"/>
            <w:szCs w:val="18"/>
          </w:rPr>
          <w:t>University of Otago</w:t>
        </w:r>
      </w:hyperlink>
      <w:r>
        <w:rPr>
          <w:rFonts w:cstheme="minorHAnsi"/>
          <w:sz w:val="18"/>
          <w:szCs w:val="18"/>
        </w:rPr>
        <w:t xml:space="preserve"> (accessed 23 April 2018).</w:t>
      </w:r>
    </w:p>
  </w:footnote>
  <w:footnote w:id="48">
    <w:p w14:paraId="28FAAD07" w14:textId="1C7E5048" w:rsidR="00AA37B6" w:rsidRPr="00EA64CB" w:rsidRDefault="00AA37B6" w:rsidP="00704EB8">
      <w:pPr>
        <w:pStyle w:val="FootnoteText"/>
        <w:spacing w:before="0" w:after="0"/>
        <w:rPr>
          <w:rFonts w:cstheme="minorHAnsi"/>
          <w:sz w:val="18"/>
          <w:szCs w:val="18"/>
        </w:rPr>
      </w:pPr>
      <w:r w:rsidRPr="003234BA">
        <w:rPr>
          <w:rStyle w:val="FootnoteReference"/>
          <w:rFonts w:cstheme="minorHAnsi"/>
          <w:sz w:val="18"/>
          <w:szCs w:val="18"/>
        </w:rPr>
        <w:footnoteRef/>
      </w:r>
      <w:r w:rsidRPr="003234BA">
        <w:rPr>
          <w:rFonts w:cstheme="minorHAnsi"/>
          <w:sz w:val="18"/>
          <w:szCs w:val="18"/>
        </w:rPr>
        <w:t xml:space="preserve"> Australian Bureau of Statistics</w:t>
      </w:r>
      <w:r>
        <w:rPr>
          <w:rFonts w:cstheme="minorHAnsi"/>
          <w:sz w:val="18"/>
          <w:szCs w:val="18"/>
        </w:rPr>
        <w:t>,</w:t>
      </w:r>
      <w:r w:rsidRPr="003234BA">
        <w:rPr>
          <w:rFonts w:cstheme="minorHAnsi"/>
          <w:sz w:val="18"/>
          <w:szCs w:val="18"/>
        </w:rPr>
        <w:t xml:space="preserve"> 2017</w:t>
      </w:r>
      <w:r>
        <w:rPr>
          <w:rFonts w:cstheme="minorHAnsi"/>
          <w:sz w:val="18"/>
          <w:szCs w:val="18"/>
        </w:rPr>
        <w:t>.</w:t>
      </w:r>
      <w:r w:rsidRPr="003234BA">
        <w:rPr>
          <w:rFonts w:cstheme="minorHAnsi"/>
          <w:sz w:val="18"/>
          <w:szCs w:val="18"/>
        </w:rPr>
        <w:t xml:space="preserve"> ‘</w:t>
      </w:r>
      <w:r w:rsidRPr="003234BA">
        <w:rPr>
          <w:rFonts w:cstheme="minorHAnsi"/>
          <w:i/>
          <w:sz w:val="18"/>
          <w:szCs w:val="18"/>
        </w:rPr>
        <w:t>Consumption of added sugars- A comparison of 1995 to 2011-12</w:t>
      </w:r>
      <w:r w:rsidRPr="003234BA">
        <w:rPr>
          <w:rFonts w:cstheme="minorHAnsi"/>
          <w:sz w:val="18"/>
          <w:szCs w:val="18"/>
        </w:rPr>
        <w:t xml:space="preserve">. Available at: </w:t>
      </w:r>
      <w:hyperlink r:id="rId24" w:history="1">
        <w:r w:rsidRPr="003234BA">
          <w:rPr>
            <w:rStyle w:val="Hyperlink"/>
            <w:rFonts w:cstheme="minorHAnsi"/>
            <w:sz w:val="18"/>
            <w:szCs w:val="18"/>
          </w:rPr>
          <w:t>Australian Bureau of Statistics</w:t>
        </w:r>
      </w:hyperlink>
      <w:r w:rsidRPr="003234BA">
        <w:rPr>
          <w:rStyle w:val="Hyperlink"/>
          <w:rFonts w:cstheme="minorHAnsi"/>
          <w:sz w:val="18"/>
          <w:szCs w:val="18"/>
        </w:rPr>
        <w:t xml:space="preserve"> </w:t>
      </w:r>
      <w:r w:rsidRPr="003234BA">
        <w:rPr>
          <w:rStyle w:val="Hyperlink"/>
          <w:rFonts w:cstheme="minorHAnsi"/>
          <w:color w:val="auto"/>
          <w:sz w:val="18"/>
          <w:szCs w:val="18"/>
          <w:u w:val="none"/>
        </w:rPr>
        <w:t>(accessed 23 April 2018)</w:t>
      </w:r>
      <w:r>
        <w:rPr>
          <w:rStyle w:val="Hyperlink"/>
          <w:rFonts w:cstheme="minorHAnsi"/>
          <w:color w:val="auto"/>
          <w:sz w:val="18"/>
          <w:szCs w:val="18"/>
          <w:u w:val="none"/>
        </w:rPr>
        <w:t>.</w:t>
      </w:r>
    </w:p>
  </w:footnote>
  <w:footnote w:id="49">
    <w:p w14:paraId="7AE429CA" w14:textId="6576694B" w:rsidR="00AA37B6" w:rsidRPr="00EA64CB" w:rsidRDefault="00AA37B6" w:rsidP="00704EB8">
      <w:pPr>
        <w:pStyle w:val="FootnoteText"/>
        <w:spacing w:before="0" w:after="0"/>
        <w:rPr>
          <w:rFonts w:cstheme="minorHAnsi"/>
          <w:sz w:val="18"/>
          <w:szCs w:val="18"/>
        </w:rPr>
      </w:pPr>
      <w:r w:rsidRPr="00EA64CB">
        <w:rPr>
          <w:rStyle w:val="FootnoteReference"/>
          <w:rFonts w:cstheme="minorHAnsi"/>
          <w:sz w:val="18"/>
          <w:szCs w:val="18"/>
        </w:rPr>
        <w:footnoteRef/>
      </w:r>
      <w:r>
        <w:rPr>
          <w:rFonts w:cstheme="minorHAnsi"/>
          <w:sz w:val="18"/>
          <w:szCs w:val="18"/>
        </w:rPr>
        <w:t xml:space="preserve"> Pricew</w:t>
      </w:r>
      <w:r w:rsidRPr="00EA64CB">
        <w:rPr>
          <w:rFonts w:cstheme="minorHAnsi"/>
          <w:sz w:val="18"/>
          <w:szCs w:val="18"/>
        </w:rPr>
        <w:t>aterhouseCooper</w:t>
      </w:r>
      <w:r>
        <w:rPr>
          <w:rFonts w:cstheme="minorHAnsi"/>
          <w:sz w:val="18"/>
          <w:szCs w:val="18"/>
        </w:rPr>
        <w:t>s</w:t>
      </w:r>
      <w:r w:rsidRPr="00EA64CB">
        <w:rPr>
          <w:rFonts w:cstheme="minorHAnsi"/>
          <w:sz w:val="18"/>
          <w:szCs w:val="18"/>
        </w:rPr>
        <w:t>, 2015. ‘</w:t>
      </w:r>
      <w:r w:rsidRPr="00EA64CB">
        <w:rPr>
          <w:rFonts w:cstheme="minorHAnsi"/>
          <w:i/>
          <w:sz w:val="18"/>
          <w:szCs w:val="18"/>
        </w:rPr>
        <w:t>Weighing the cost of obesity: A case for action’</w:t>
      </w:r>
      <w:r w:rsidRPr="00EA64CB">
        <w:rPr>
          <w:rFonts w:cstheme="minorHAnsi"/>
          <w:sz w:val="18"/>
          <w:szCs w:val="18"/>
        </w:rPr>
        <w:t xml:space="preserve">. Available at: </w:t>
      </w:r>
      <w:hyperlink r:id="rId25" w:history="1">
        <w:r w:rsidRPr="00EA64CB">
          <w:rPr>
            <w:rStyle w:val="Hyperlink"/>
            <w:rFonts w:cstheme="minorHAnsi"/>
            <w:sz w:val="18"/>
            <w:szCs w:val="18"/>
          </w:rPr>
          <w:t>PwC</w:t>
        </w:r>
      </w:hyperlink>
      <w:r>
        <w:rPr>
          <w:rFonts w:cstheme="minorHAnsi"/>
          <w:sz w:val="18"/>
          <w:szCs w:val="18"/>
        </w:rPr>
        <w:t xml:space="preserve"> (accessed 3 April 2018).</w:t>
      </w:r>
      <w:r w:rsidRPr="00EA64CB">
        <w:rPr>
          <w:rFonts w:cstheme="minorHAnsi"/>
          <w:sz w:val="18"/>
          <w:szCs w:val="18"/>
        </w:rPr>
        <w:t xml:space="preserve"> </w:t>
      </w:r>
    </w:p>
  </w:footnote>
  <w:footnote w:id="50">
    <w:p w14:paraId="518A75F3" w14:textId="3D2F7711" w:rsidR="00AA37B6" w:rsidRPr="00EA64CB" w:rsidRDefault="00AA37B6" w:rsidP="00704EB8">
      <w:pPr>
        <w:pStyle w:val="FootnoteText"/>
        <w:spacing w:before="0" w:after="0"/>
        <w:rPr>
          <w:rFonts w:cstheme="minorHAnsi"/>
          <w:sz w:val="18"/>
          <w:szCs w:val="18"/>
        </w:rPr>
      </w:pPr>
      <w:r w:rsidRPr="00EA64CB">
        <w:rPr>
          <w:rStyle w:val="FootnoteReference"/>
          <w:rFonts w:cstheme="minorHAnsi"/>
          <w:sz w:val="18"/>
          <w:szCs w:val="18"/>
        </w:rPr>
        <w:footnoteRef/>
      </w:r>
      <w:r w:rsidRPr="00EA64CB">
        <w:rPr>
          <w:rFonts w:cstheme="minorHAnsi"/>
          <w:sz w:val="18"/>
          <w:szCs w:val="18"/>
        </w:rPr>
        <w:t xml:space="preserve"> Institute for Health Metrics and Evaluation, 2016. ‘</w:t>
      </w:r>
      <w:r w:rsidRPr="00EA64CB">
        <w:rPr>
          <w:rFonts w:cstheme="minorHAnsi"/>
          <w:i/>
          <w:sz w:val="18"/>
          <w:szCs w:val="18"/>
        </w:rPr>
        <w:t>GBD Compare Viz Hub’</w:t>
      </w:r>
      <w:r w:rsidRPr="00EA64CB">
        <w:rPr>
          <w:rFonts w:cstheme="minorHAnsi"/>
          <w:sz w:val="18"/>
          <w:szCs w:val="18"/>
        </w:rPr>
        <w:t xml:space="preserve">. Available at: </w:t>
      </w:r>
      <w:hyperlink r:id="rId26" w:history="1">
        <w:r w:rsidRPr="00EA64CB">
          <w:rPr>
            <w:rStyle w:val="Hyperlink"/>
            <w:rFonts w:cstheme="minorHAnsi"/>
            <w:sz w:val="18"/>
            <w:szCs w:val="18"/>
          </w:rPr>
          <w:t>Institute for Health Metrics and Evaluation</w:t>
        </w:r>
      </w:hyperlink>
      <w:r w:rsidRPr="00EA64CB">
        <w:rPr>
          <w:rFonts w:cstheme="minorHAnsi"/>
          <w:sz w:val="18"/>
          <w:szCs w:val="18"/>
        </w:rPr>
        <w:t xml:space="preserve"> (accessed </w:t>
      </w:r>
      <w:r>
        <w:rPr>
          <w:rFonts w:cstheme="minorHAnsi"/>
          <w:sz w:val="18"/>
          <w:szCs w:val="18"/>
        </w:rPr>
        <w:t>28 February 2019</w:t>
      </w:r>
      <w:r w:rsidRPr="00EA64CB">
        <w:rPr>
          <w:rFonts w:cstheme="minorHAnsi"/>
          <w:sz w:val="18"/>
          <w:szCs w:val="18"/>
        </w:rPr>
        <w:t>).</w:t>
      </w:r>
    </w:p>
  </w:footnote>
  <w:footnote w:id="51">
    <w:p w14:paraId="69ADA969" w14:textId="5D1FC820" w:rsidR="00AA37B6" w:rsidRPr="00EA64CB" w:rsidRDefault="00AA37B6" w:rsidP="00704EB8">
      <w:pPr>
        <w:pStyle w:val="FootnoteText"/>
        <w:spacing w:before="0" w:after="0"/>
        <w:rPr>
          <w:rFonts w:cstheme="minorHAnsi"/>
          <w:sz w:val="18"/>
          <w:szCs w:val="18"/>
        </w:rPr>
      </w:pPr>
      <w:r w:rsidRPr="00EA64CB">
        <w:rPr>
          <w:rStyle w:val="FootnoteReference"/>
          <w:rFonts w:cstheme="minorHAnsi"/>
          <w:sz w:val="18"/>
          <w:szCs w:val="18"/>
        </w:rPr>
        <w:footnoteRef/>
      </w:r>
      <w:r w:rsidRPr="00EA64CB">
        <w:rPr>
          <w:rFonts w:cstheme="minorHAnsi"/>
          <w:sz w:val="18"/>
          <w:szCs w:val="18"/>
        </w:rPr>
        <w:t xml:space="preserve"> Institute for Health Metrics and Evaluation, 2016. ‘</w:t>
      </w:r>
      <w:r w:rsidRPr="00EA64CB">
        <w:rPr>
          <w:rFonts w:cstheme="minorHAnsi"/>
          <w:i/>
          <w:sz w:val="18"/>
          <w:szCs w:val="18"/>
        </w:rPr>
        <w:t>GBD Compare Viz Hub’</w:t>
      </w:r>
      <w:r w:rsidRPr="00EA64CB">
        <w:rPr>
          <w:rFonts w:cstheme="minorHAnsi"/>
          <w:sz w:val="18"/>
          <w:szCs w:val="18"/>
        </w:rPr>
        <w:t xml:space="preserve">. Available at: </w:t>
      </w:r>
      <w:hyperlink r:id="rId27" w:history="1">
        <w:r w:rsidRPr="00EA64CB">
          <w:rPr>
            <w:rStyle w:val="Hyperlink"/>
            <w:rFonts w:cstheme="minorHAnsi"/>
            <w:sz w:val="18"/>
            <w:szCs w:val="18"/>
          </w:rPr>
          <w:t>Institute for Health Metrics and Evaluation</w:t>
        </w:r>
      </w:hyperlink>
      <w:r w:rsidRPr="00EA64CB">
        <w:rPr>
          <w:rFonts w:cstheme="minorHAnsi"/>
          <w:sz w:val="18"/>
          <w:szCs w:val="18"/>
        </w:rPr>
        <w:t xml:space="preserve"> (accessed 29 March 2018).</w:t>
      </w:r>
    </w:p>
  </w:footnote>
  <w:footnote w:id="52">
    <w:p w14:paraId="24B13F63" w14:textId="138DA2B0" w:rsidR="00AA37B6" w:rsidRPr="00EA64CB" w:rsidRDefault="00AA37B6" w:rsidP="00704EB8">
      <w:pPr>
        <w:pStyle w:val="FootnoteText"/>
        <w:spacing w:before="0" w:after="0"/>
        <w:rPr>
          <w:rFonts w:cstheme="minorHAnsi"/>
          <w:sz w:val="18"/>
          <w:szCs w:val="18"/>
        </w:rPr>
      </w:pPr>
      <w:r w:rsidRPr="00EA64CB">
        <w:rPr>
          <w:rStyle w:val="FootnoteReference"/>
          <w:rFonts w:cstheme="minorHAnsi"/>
          <w:sz w:val="18"/>
          <w:szCs w:val="18"/>
        </w:rPr>
        <w:footnoteRef/>
      </w:r>
      <w:r w:rsidRPr="00EA64CB">
        <w:rPr>
          <w:rFonts w:cstheme="minorHAnsi"/>
          <w:sz w:val="18"/>
          <w:szCs w:val="18"/>
        </w:rPr>
        <w:t xml:space="preserve"> New Zealand Health Ministry of Health, 2016. ‘A</w:t>
      </w:r>
      <w:r w:rsidRPr="00EA64CB">
        <w:rPr>
          <w:rFonts w:cstheme="minorHAnsi"/>
          <w:i/>
          <w:sz w:val="18"/>
          <w:szCs w:val="18"/>
        </w:rPr>
        <w:t>nnual Update of Key Results 2016/17: New Zealand Health Survey</w:t>
      </w:r>
      <w:r w:rsidRPr="00EA64CB">
        <w:rPr>
          <w:rFonts w:cstheme="minorHAnsi"/>
          <w:sz w:val="18"/>
          <w:szCs w:val="18"/>
        </w:rPr>
        <w:t xml:space="preserve">’. Available at </w:t>
      </w:r>
      <w:hyperlink r:id="rId28" w:history="1">
        <w:r w:rsidRPr="00EA64CB">
          <w:rPr>
            <w:rStyle w:val="Hyperlink"/>
            <w:rFonts w:eastAsiaTheme="majorEastAsia" w:cstheme="minorHAnsi"/>
            <w:sz w:val="18"/>
            <w:szCs w:val="18"/>
          </w:rPr>
          <w:t>New Zealand Ministry of Health</w:t>
        </w:r>
      </w:hyperlink>
      <w:r w:rsidRPr="00EA64CB">
        <w:rPr>
          <w:rFonts w:cstheme="minorHAnsi"/>
          <w:sz w:val="18"/>
          <w:szCs w:val="18"/>
        </w:rPr>
        <w:t xml:space="preserve"> (accessed 24 April 2018).</w:t>
      </w:r>
    </w:p>
  </w:footnote>
  <w:footnote w:id="53">
    <w:p w14:paraId="7CF357CC" w14:textId="454B2CA6" w:rsidR="00AA37B6" w:rsidRPr="00EA64CB" w:rsidRDefault="00AA37B6" w:rsidP="00704EB8">
      <w:pPr>
        <w:pStyle w:val="FootnoteText"/>
        <w:spacing w:before="0" w:after="0"/>
        <w:rPr>
          <w:rFonts w:cstheme="minorHAnsi"/>
          <w:sz w:val="18"/>
          <w:szCs w:val="18"/>
        </w:rPr>
      </w:pPr>
      <w:r w:rsidRPr="00EA64CB">
        <w:rPr>
          <w:rStyle w:val="FootnoteReference"/>
          <w:rFonts w:cstheme="minorHAnsi"/>
          <w:sz w:val="18"/>
          <w:szCs w:val="18"/>
        </w:rPr>
        <w:footnoteRef/>
      </w:r>
      <w:r w:rsidRPr="00EA64CB">
        <w:rPr>
          <w:rFonts w:cstheme="minorHAnsi"/>
          <w:sz w:val="18"/>
          <w:szCs w:val="18"/>
        </w:rPr>
        <w:t xml:space="preserve"> </w:t>
      </w:r>
      <w:r w:rsidRPr="00716E73">
        <w:rPr>
          <w:rFonts w:cstheme="minorHAnsi"/>
          <w:sz w:val="18"/>
          <w:szCs w:val="18"/>
          <w:lang w:val="en"/>
        </w:rPr>
        <w:t>Austr</w:t>
      </w:r>
      <w:r>
        <w:rPr>
          <w:rFonts w:cstheme="minorHAnsi"/>
          <w:sz w:val="18"/>
          <w:szCs w:val="18"/>
          <w:lang w:val="en"/>
        </w:rPr>
        <w:t>alian Bureau of Statistics, 2018</w:t>
      </w:r>
      <w:r w:rsidRPr="00716E73">
        <w:rPr>
          <w:rFonts w:cstheme="minorHAnsi"/>
          <w:sz w:val="18"/>
          <w:szCs w:val="18"/>
          <w:lang w:val="en"/>
        </w:rPr>
        <w:t>. ‘</w:t>
      </w:r>
      <w:r w:rsidRPr="00716E73">
        <w:rPr>
          <w:rFonts w:cstheme="minorHAnsi"/>
          <w:i/>
          <w:sz w:val="18"/>
          <w:szCs w:val="18"/>
          <w:lang w:val="en"/>
        </w:rPr>
        <w:t>National Health Survey: First Results, 2017-18’</w:t>
      </w:r>
      <w:r w:rsidRPr="00716E73">
        <w:rPr>
          <w:rFonts w:cstheme="minorHAnsi"/>
          <w:sz w:val="18"/>
          <w:szCs w:val="18"/>
          <w:lang w:val="en"/>
        </w:rPr>
        <w:t xml:space="preserve">. Available at </w:t>
      </w:r>
      <w:hyperlink r:id="rId29" w:history="1">
        <w:r w:rsidRPr="00716E73">
          <w:rPr>
            <w:rStyle w:val="Hyperlink"/>
            <w:rFonts w:eastAsiaTheme="majorEastAsia" w:cstheme="minorHAnsi"/>
            <w:sz w:val="18"/>
            <w:szCs w:val="18"/>
          </w:rPr>
          <w:t>Australian Bureau of Statistics</w:t>
        </w:r>
      </w:hyperlink>
      <w:r w:rsidRPr="00716E73">
        <w:rPr>
          <w:rStyle w:val="Hyperlink"/>
          <w:rFonts w:eastAsiaTheme="majorEastAsia" w:cstheme="minorHAnsi"/>
          <w:sz w:val="18"/>
          <w:szCs w:val="18"/>
          <w:lang w:val="en"/>
        </w:rPr>
        <w:t xml:space="preserve"> </w:t>
      </w:r>
      <w:r w:rsidRPr="00716E73">
        <w:rPr>
          <w:rFonts w:cstheme="minorHAnsi"/>
          <w:sz w:val="18"/>
          <w:szCs w:val="18"/>
        </w:rPr>
        <w:t>(accessed 9 January 2019).</w:t>
      </w:r>
    </w:p>
  </w:footnote>
  <w:footnote w:id="54">
    <w:p w14:paraId="67452F92" w14:textId="1FB65E71" w:rsidR="00AA37B6" w:rsidRPr="00EA64CB" w:rsidRDefault="00AA37B6" w:rsidP="00704EB8">
      <w:pPr>
        <w:pStyle w:val="FootnoteText"/>
        <w:spacing w:before="0" w:after="0"/>
        <w:rPr>
          <w:rFonts w:cstheme="minorHAnsi"/>
          <w:sz w:val="18"/>
          <w:szCs w:val="18"/>
        </w:rPr>
      </w:pPr>
      <w:r w:rsidRPr="00EA64CB">
        <w:rPr>
          <w:rStyle w:val="FootnoteReference"/>
          <w:rFonts w:cstheme="minorHAnsi"/>
          <w:sz w:val="18"/>
          <w:szCs w:val="18"/>
        </w:rPr>
        <w:footnoteRef/>
      </w:r>
      <w:r w:rsidRPr="00EA64CB">
        <w:rPr>
          <w:rFonts w:cstheme="minorHAnsi"/>
          <w:sz w:val="18"/>
          <w:szCs w:val="18"/>
        </w:rPr>
        <w:t xml:space="preserve"> Institute for Health Metrics and Evaluation, 2016. ‘</w:t>
      </w:r>
      <w:r w:rsidRPr="00EA64CB">
        <w:rPr>
          <w:rFonts w:cstheme="minorHAnsi"/>
          <w:i/>
          <w:sz w:val="18"/>
          <w:szCs w:val="18"/>
        </w:rPr>
        <w:t>GBD Compare Viz Hub’</w:t>
      </w:r>
      <w:r w:rsidRPr="00EA64CB">
        <w:rPr>
          <w:rFonts w:cstheme="minorHAnsi"/>
          <w:sz w:val="18"/>
          <w:szCs w:val="18"/>
        </w:rPr>
        <w:t xml:space="preserve">. Available at: </w:t>
      </w:r>
      <w:hyperlink r:id="rId30" w:history="1">
        <w:r w:rsidRPr="00EA64CB">
          <w:rPr>
            <w:rStyle w:val="Hyperlink"/>
            <w:rFonts w:cstheme="minorHAnsi"/>
            <w:sz w:val="18"/>
            <w:szCs w:val="18"/>
          </w:rPr>
          <w:t>Institute for Health Metrics and Evaluation</w:t>
        </w:r>
      </w:hyperlink>
      <w:r w:rsidRPr="00EA64CB">
        <w:rPr>
          <w:rFonts w:cstheme="minorHAnsi"/>
          <w:sz w:val="18"/>
          <w:szCs w:val="18"/>
        </w:rPr>
        <w:t xml:space="preserve"> (accessed </w:t>
      </w:r>
      <w:r>
        <w:rPr>
          <w:rFonts w:cstheme="minorHAnsi"/>
          <w:sz w:val="18"/>
          <w:szCs w:val="18"/>
        </w:rPr>
        <w:t>28 February 2019</w:t>
      </w:r>
      <w:r w:rsidRPr="00EA64CB">
        <w:rPr>
          <w:rFonts w:cstheme="minorHAnsi"/>
          <w:sz w:val="18"/>
          <w:szCs w:val="18"/>
        </w:rPr>
        <w:t>).</w:t>
      </w:r>
    </w:p>
  </w:footnote>
  <w:footnote w:id="55">
    <w:p w14:paraId="59B789C8" w14:textId="275B3C3F" w:rsidR="00AA37B6" w:rsidRPr="00EA64CB" w:rsidRDefault="00AA37B6" w:rsidP="00704EB8">
      <w:pPr>
        <w:pStyle w:val="FootnoteText"/>
        <w:spacing w:before="0" w:after="0"/>
        <w:rPr>
          <w:rFonts w:cstheme="minorHAnsi"/>
          <w:sz w:val="18"/>
          <w:szCs w:val="18"/>
        </w:rPr>
      </w:pPr>
      <w:r w:rsidRPr="00EA64CB">
        <w:rPr>
          <w:rStyle w:val="FootnoteReference"/>
          <w:rFonts w:cstheme="minorHAnsi"/>
          <w:sz w:val="18"/>
          <w:szCs w:val="18"/>
        </w:rPr>
        <w:footnoteRef/>
      </w:r>
      <w:r w:rsidRPr="00EA64CB">
        <w:rPr>
          <w:rFonts w:cstheme="minorHAnsi"/>
          <w:sz w:val="18"/>
          <w:szCs w:val="18"/>
        </w:rPr>
        <w:t xml:space="preserve"> Institute for Health Metrics and Evaluation, 2016. ‘</w:t>
      </w:r>
      <w:r w:rsidRPr="00EA64CB">
        <w:rPr>
          <w:rFonts w:cstheme="minorHAnsi"/>
          <w:i/>
          <w:sz w:val="18"/>
          <w:szCs w:val="18"/>
        </w:rPr>
        <w:t>GBD Compare Viz Hub’</w:t>
      </w:r>
      <w:r w:rsidRPr="00EA64CB">
        <w:rPr>
          <w:rFonts w:cstheme="minorHAnsi"/>
          <w:sz w:val="18"/>
          <w:szCs w:val="18"/>
        </w:rPr>
        <w:t xml:space="preserve">. Available at: </w:t>
      </w:r>
      <w:hyperlink r:id="rId31" w:history="1">
        <w:r w:rsidRPr="00EA64CB">
          <w:rPr>
            <w:rStyle w:val="Hyperlink"/>
            <w:rFonts w:cstheme="minorHAnsi"/>
            <w:sz w:val="18"/>
            <w:szCs w:val="18"/>
          </w:rPr>
          <w:t>Institute for Health Metrics and Evaluation</w:t>
        </w:r>
      </w:hyperlink>
      <w:r>
        <w:rPr>
          <w:rFonts w:cstheme="minorHAnsi"/>
          <w:sz w:val="18"/>
          <w:szCs w:val="18"/>
        </w:rPr>
        <w:t xml:space="preserve"> (accessed 28</w:t>
      </w:r>
      <w:r w:rsidRPr="00EA64CB">
        <w:rPr>
          <w:rFonts w:cstheme="minorHAnsi"/>
          <w:sz w:val="18"/>
          <w:szCs w:val="18"/>
        </w:rPr>
        <w:t xml:space="preserve"> </w:t>
      </w:r>
      <w:r>
        <w:rPr>
          <w:rFonts w:cstheme="minorHAnsi"/>
          <w:sz w:val="18"/>
          <w:szCs w:val="18"/>
        </w:rPr>
        <w:t>February 2019</w:t>
      </w:r>
      <w:r w:rsidRPr="00EA64CB">
        <w:rPr>
          <w:rFonts w:cstheme="minorHAnsi"/>
          <w:sz w:val="18"/>
          <w:szCs w:val="18"/>
        </w:rPr>
        <w:t>).</w:t>
      </w:r>
    </w:p>
  </w:footnote>
  <w:footnote w:id="56">
    <w:p w14:paraId="1000216A" w14:textId="66C2C78E" w:rsidR="00AA37B6" w:rsidRPr="00EA64CB" w:rsidRDefault="00AA37B6" w:rsidP="00704EB8">
      <w:pPr>
        <w:pStyle w:val="FootnoteText"/>
        <w:spacing w:before="0" w:after="0"/>
        <w:rPr>
          <w:rFonts w:cstheme="minorHAnsi"/>
          <w:sz w:val="18"/>
          <w:szCs w:val="18"/>
        </w:rPr>
      </w:pPr>
      <w:r w:rsidRPr="00EA64CB">
        <w:rPr>
          <w:rStyle w:val="FootnoteReference"/>
          <w:rFonts w:cstheme="minorHAnsi"/>
          <w:sz w:val="18"/>
          <w:szCs w:val="18"/>
        </w:rPr>
        <w:footnoteRef/>
      </w:r>
      <w:r>
        <w:rPr>
          <w:rFonts w:cstheme="minorHAnsi"/>
          <w:sz w:val="18"/>
          <w:szCs w:val="18"/>
        </w:rPr>
        <w:t xml:space="preserve"> Pricew</w:t>
      </w:r>
      <w:r w:rsidRPr="00EA64CB">
        <w:rPr>
          <w:rFonts w:cstheme="minorHAnsi"/>
          <w:sz w:val="18"/>
          <w:szCs w:val="18"/>
        </w:rPr>
        <w:t>aterhouseCooper</w:t>
      </w:r>
      <w:r>
        <w:rPr>
          <w:rFonts w:cstheme="minorHAnsi"/>
          <w:sz w:val="18"/>
          <w:szCs w:val="18"/>
        </w:rPr>
        <w:t>s, 2015.</w:t>
      </w:r>
      <w:r w:rsidRPr="00EA64CB">
        <w:rPr>
          <w:rFonts w:cstheme="minorHAnsi"/>
          <w:sz w:val="18"/>
          <w:szCs w:val="18"/>
        </w:rPr>
        <w:t xml:space="preserve"> ‘Weighing the cost of obesity: A case for action’. Available at: </w:t>
      </w:r>
      <w:hyperlink r:id="rId32" w:history="1">
        <w:r w:rsidRPr="00EA64CB">
          <w:rPr>
            <w:rStyle w:val="Hyperlink"/>
            <w:rFonts w:cstheme="minorHAnsi"/>
            <w:sz w:val="18"/>
            <w:szCs w:val="18"/>
          </w:rPr>
          <w:t>PwC</w:t>
        </w:r>
      </w:hyperlink>
      <w:r>
        <w:rPr>
          <w:rFonts w:cstheme="minorHAnsi"/>
          <w:sz w:val="18"/>
          <w:szCs w:val="18"/>
        </w:rPr>
        <w:t xml:space="preserve"> (accessed 3 April 2018).</w:t>
      </w:r>
    </w:p>
  </w:footnote>
  <w:footnote w:id="57">
    <w:p w14:paraId="1A9ADBA4" w14:textId="3DF131DB" w:rsidR="00AA37B6" w:rsidRPr="00A16691" w:rsidRDefault="00AA37B6" w:rsidP="00704EB8">
      <w:pPr>
        <w:pStyle w:val="FootnoteText"/>
        <w:spacing w:before="0" w:after="0"/>
        <w:rPr>
          <w:rFonts w:ascii="Times New Roman" w:hAnsi="Times New Roman" w:cs="Times New Roman"/>
          <w:sz w:val="18"/>
          <w:szCs w:val="18"/>
        </w:rPr>
      </w:pPr>
      <w:r w:rsidRPr="00EA64CB">
        <w:rPr>
          <w:rStyle w:val="FootnoteReference"/>
          <w:rFonts w:cstheme="minorHAnsi"/>
          <w:sz w:val="18"/>
          <w:szCs w:val="18"/>
        </w:rPr>
        <w:footnoteRef/>
      </w:r>
      <w:r>
        <w:rPr>
          <w:rFonts w:cstheme="minorHAnsi"/>
          <w:sz w:val="18"/>
          <w:szCs w:val="18"/>
        </w:rPr>
        <w:t xml:space="preserve"> Lal, A., et al,</w:t>
      </w:r>
      <w:r w:rsidRPr="00EA64CB">
        <w:rPr>
          <w:rFonts w:cstheme="minorHAnsi"/>
          <w:sz w:val="18"/>
          <w:szCs w:val="18"/>
        </w:rPr>
        <w:t xml:space="preserve"> 2012. ‘Health care and lost productivity costs of overweight and obesity in New Zealand’. </w:t>
      </w:r>
      <w:r w:rsidRPr="00EA64CB">
        <w:rPr>
          <w:rFonts w:cstheme="minorHAnsi"/>
          <w:i/>
          <w:sz w:val="18"/>
          <w:szCs w:val="18"/>
        </w:rPr>
        <w:t>Australian and New Zealand Journal of Public Health</w:t>
      </w:r>
      <w:r w:rsidRPr="00EA64CB">
        <w:rPr>
          <w:rFonts w:cstheme="minorHAnsi"/>
          <w:sz w:val="18"/>
          <w:szCs w:val="18"/>
        </w:rPr>
        <w:t>, 36(6)</w:t>
      </w:r>
      <w:r>
        <w:rPr>
          <w:rFonts w:cstheme="minorHAnsi"/>
          <w:sz w:val="18"/>
          <w:szCs w:val="18"/>
        </w:rPr>
        <w:t>:</w:t>
      </w:r>
      <w:r w:rsidRPr="00EA64CB">
        <w:rPr>
          <w:rFonts w:cstheme="minorHAnsi"/>
          <w:sz w:val="18"/>
          <w:szCs w:val="18"/>
        </w:rPr>
        <w:t xml:space="preserve"> </w:t>
      </w:r>
      <w:r>
        <w:rPr>
          <w:rFonts w:cstheme="minorHAnsi"/>
          <w:sz w:val="18"/>
          <w:szCs w:val="18"/>
        </w:rPr>
        <w:t>p</w:t>
      </w:r>
      <w:r w:rsidRPr="00EA64CB">
        <w:rPr>
          <w:rFonts w:cstheme="minorHAnsi"/>
          <w:sz w:val="18"/>
          <w:szCs w:val="18"/>
        </w:rPr>
        <w:t>550-556.</w:t>
      </w:r>
    </w:p>
  </w:footnote>
  <w:footnote w:id="58">
    <w:p w14:paraId="5C1D9B5E" w14:textId="774E2919" w:rsidR="00AA37B6" w:rsidRPr="00EA64CB" w:rsidRDefault="00AA37B6" w:rsidP="00704EB8">
      <w:pPr>
        <w:pStyle w:val="FootnoteText"/>
        <w:spacing w:before="0" w:after="0"/>
        <w:rPr>
          <w:rFonts w:cstheme="minorHAnsi"/>
          <w:sz w:val="18"/>
          <w:szCs w:val="18"/>
        </w:rPr>
      </w:pPr>
      <w:r w:rsidRPr="00EA64CB">
        <w:rPr>
          <w:rStyle w:val="FootnoteReference"/>
          <w:rFonts w:cstheme="minorHAnsi"/>
          <w:sz w:val="18"/>
          <w:szCs w:val="18"/>
        </w:rPr>
        <w:footnoteRef/>
      </w:r>
      <w:r w:rsidRPr="00EA64CB">
        <w:rPr>
          <w:rFonts w:cstheme="minorHAnsi"/>
          <w:sz w:val="18"/>
          <w:szCs w:val="18"/>
        </w:rPr>
        <w:t xml:space="preserve"> Australian Health Policy Collaboration and the Australian Dental Association, 2018. ‘</w:t>
      </w:r>
      <w:r w:rsidRPr="00EA64CB">
        <w:rPr>
          <w:rFonts w:cstheme="minorHAnsi"/>
          <w:i/>
          <w:sz w:val="18"/>
          <w:szCs w:val="18"/>
        </w:rPr>
        <w:t>Australia’s Oral Health Tracker Technical Paper</w:t>
      </w:r>
      <w:r w:rsidRPr="00EA64CB">
        <w:rPr>
          <w:rFonts w:cstheme="minorHAnsi"/>
          <w:sz w:val="18"/>
          <w:szCs w:val="18"/>
        </w:rPr>
        <w:t xml:space="preserve">’. Available at: </w:t>
      </w:r>
      <w:hyperlink r:id="rId33" w:history="1">
        <w:r w:rsidRPr="00EA64CB">
          <w:rPr>
            <w:rStyle w:val="Hyperlink"/>
            <w:rFonts w:cstheme="minorHAnsi"/>
            <w:sz w:val="18"/>
            <w:szCs w:val="18"/>
          </w:rPr>
          <w:t>Oral Health Tracker</w:t>
        </w:r>
      </w:hyperlink>
      <w:r>
        <w:rPr>
          <w:rFonts w:cstheme="minorHAnsi"/>
          <w:sz w:val="18"/>
          <w:szCs w:val="18"/>
        </w:rPr>
        <w:t xml:space="preserve"> (accessed 3 April 2018).</w:t>
      </w:r>
    </w:p>
  </w:footnote>
  <w:footnote w:id="59">
    <w:p w14:paraId="76DE40B5" w14:textId="0CDCDF83" w:rsidR="00AA37B6" w:rsidRPr="00E55A1F" w:rsidRDefault="00AA37B6" w:rsidP="00704EB8">
      <w:pPr>
        <w:spacing w:before="0" w:after="0"/>
        <w:rPr>
          <w:sz w:val="18"/>
          <w:szCs w:val="18"/>
        </w:rPr>
      </w:pPr>
      <w:r w:rsidRPr="00EA64CB">
        <w:rPr>
          <w:rStyle w:val="FootnoteReference"/>
          <w:rFonts w:cstheme="minorHAnsi"/>
          <w:sz w:val="18"/>
          <w:szCs w:val="18"/>
        </w:rPr>
        <w:footnoteRef/>
      </w:r>
      <w:r w:rsidRPr="00EA64CB">
        <w:rPr>
          <w:rFonts w:cstheme="minorHAnsi"/>
          <w:sz w:val="18"/>
          <w:szCs w:val="18"/>
        </w:rPr>
        <w:t xml:space="preserve"> Australian Institute of Health and Welfare (AIHW)</w:t>
      </w:r>
      <w:r>
        <w:rPr>
          <w:rFonts w:cstheme="minorHAnsi"/>
          <w:sz w:val="18"/>
          <w:szCs w:val="18"/>
        </w:rPr>
        <w:t>,</w:t>
      </w:r>
      <w:r w:rsidRPr="00EA64CB">
        <w:rPr>
          <w:rFonts w:cstheme="minorHAnsi"/>
          <w:sz w:val="18"/>
          <w:szCs w:val="18"/>
        </w:rPr>
        <w:t xml:space="preserve"> 2012. ‘</w:t>
      </w:r>
      <w:r w:rsidRPr="00EA64CB">
        <w:rPr>
          <w:rFonts w:cstheme="minorHAnsi"/>
          <w:i/>
          <w:sz w:val="18"/>
          <w:szCs w:val="18"/>
        </w:rPr>
        <w:t>Child Dental Health Survey Australia 2007 – 30 year trends in child oral health’</w:t>
      </w:r>
      <w:r w:rsidRPr="00EA64CB">
        <w:rPr>
          <w:rFonts w:cstheme="minorHAnsi"/>
          <w:sz w:val="18"/>
          <w:szCs w:val="18"/>
        </w:rPr>
        <w:t>. Available at</w:t>
      </w:r>
      <w:r>
        <w:rPr>
          <w:rFonts w:cstheme="minorHAnsi"/>
          <w:sz w:val="18"/>
          <w:szCs w:val="18"/>
        </w:rPr>
        <w:t>:</w:t>
      </w:r>
      <w:r w:rsidRPr="00EA64CB">
        <w:rPr>
          <w:rFonts w:cstheme="minorHAnsi"/>
          <w:sz w:val="18"/>
          <w:szCs w:val="18"/>
        </w:rPr>
        <w:t xml:space="preserve"> </w:t>
      </w:r>
      <w:hyperlink r:id="rId34" w:history="1">
        <w:r w:rsidRPr="00EA64CB">
          <w:rPr>
            <w:rStyle w:val="Hyperlink"/>
            <w:rFonts w:eastAsiaTheme="majorEastAsia" w:cstheme="minorHAnsi"/>
            <w:sz w:val="18"/>
            <w:szCs w:val="18"/>
          </w:rPr>
          <w:t>Australian Institute of Health and Welfare</w:t>
        </w:r>
      </w:hyperlink>
      <w:r w:rsidRPr="00EA64CB">
        <w:rPr>
          <w:rFonts w:cstheme="minorHAnsi"/>
          <w:sz w:val="18"/>
          <w:szCs w:val="18"/>
        </w:rPr>
        <w:t xml:space="preserve"> (accessed 22 August 2016).</w:t>
      </w:r>
    </w:p>
  </w:footnote>
  <w:footnote w:id="60">
    <w:p w14:paraId="47655E9B" w14:textId="77777777" w:rsidR="00AA37B6" w:rsidRPr="00EA64CB" w:rsidRDefault="00AA37B6" w:rsidP="00704EB8">
      <w:pPr>
        <w:pStyle w:val="FootnoteText"/>
        <w:spacing w:before="0" w:after="0"/>
        <w:rPr>
          <w:rFonts w:cstheme="minorHAnsi"/>
          <w:sz w:val="18"/>
          <w:szCs w:val="18"/>
        </w:rPr>
      </w:pPr>
      <w:r w:rsidRPr="00EA64CB">
        <w:rPr>
          <w:rStyle w:val="FootnoteReference"/>
          <w:rFonts w:cstheme="minorHAnsi"/>
          <w:sz w:val="18"/>
          <w:szCs w:val="18"/>
        </w:rPr>
        <w:footnoteRef/>
      </w:r>
      <w:r w:rsidRPr="00EA64CB">
        <w:rPr>
          <w:rFonts w:cstheme="minorHAnsi"/>
          <w:sz w:val="18"/>
          <w:szCs w:val="18"/>
        </w:rPr>
        <w:t xml:space="preserve"> Australian Health Policy Collaboration and the Australian Dental Association, 2018. ‘</w:t>
      </w:r>
      <w:r w:rsidRPr="00EA64CB">
        <w:rPr>
          <w:rFonts w:cstheme="minorHAnsi"/>
          <w:i/>
          <w:sz w:val="18"/>
          <w:szCs w:val="18"/>
        </w:rPr>
        <w:t>Australia’s Oral Health Tracker Technical Paper</w:t>
      </w:r>
      <w:r w:rsidRPr="00EA64CB">
        <w:rPr>
          <w:rFonts w:cstheme="minorHAnsi"/>
          <w:sz w:val="18"/>
          <w:szCs w:val="18"/>
        </w:rPr>
        <w:t xml:space="preserve">’. Available at: </w:t>
      </w:r>
      <w:hyperlink r:id="rId35" w:history="1">
        <w:r w:rsidRPr="00EA64CB">
          <w:rPr>
            <w:rStyle w:val="Hyperlink"/>
            <w:rFonts w:cstheme="minorHAnsi"/>
            <w:sz w:val="18"/>
            <w:szCs w:val="18"/>
          </w:rPr>
          <w:t>Oral Health Tracker</w:t>
        </w:r>
      </w:hyperlink>
      <w:r w:rsidRPr="00EA64CB">
        <w:rPr>
          <w:rFonts w:cstheme="minorHAnsi"/>
          <w:sz w:val="18"/>
          <w:szCs w:val="18"/>
        </w:rPr>
        <w:t xml:space="preserve"> (accessed 3 April 2018).</w:t>
      </w:r>
    </w:p>
  </w:footnote>
  <w:footnote w:id="61">
    <w:p w14:paraId="37ECBAF1" w14:textId="599FD7D1" w:rsidR="00AA37B6" w:rsidRPr="00376563" w:rsidRDefault="00AA37B6" w:rsidP="00704EB8">
      <w:pPr>
        <w:pStyle w:val="FootnoteText"/>
        <w:spacing w:before="0" w:after="0"/>
        <w:rPr>
          <w:rFonts w:cstheme="minorHAnsi"/>
          <w:sz w:val="18"/>
          <w:szCs w:val="18"/>
        </w:rPr>
      </w:pPr>
      <w:r w:rsidRPr="00376563">
        <w:rPr>
          <w:rStyle w:val="FootnoteReference"/>
          <w:rFonts w:cstheme="minorHAnsi"/>
          <w:sz w:val="18"/>
          <w:szCs w:val="18"/>
        </w:rPr>
        <w:footnoteRef/>
      </w:r>
      <w:r w:rsidRPr="00376563">
        <w:rPr>
          <w:rFonts w:cstheme="minorHAnsi"/>
          <w:sz w:val="18"/>
          <w:szCs w:val="18"/>
        </w:rPr>
        <w:t xml:space="preserve"> </w:t>
      </w:r>
      <w:r w:rsidRPr="00376563">
        <w:rPr>
          <w:rFonts w:cstheme="minorHAnsi"/>
          <w:sz w:val="18"/>
          <w:szCs w:val="18"/>
          <w:shd w:val="clear" w:color="auto" w:fill="FFFFFF"/>
        </w:rPr>
        <w:t>Mela, D. J. and Woolner, E.M., 2018. ‘Perspective: Total, Added, or Free? What Kind of Sugars Should We Be Talking About?’. </w:t>
      </w:r>
      <w:r w:rsidRPr="00376563">
        <w:rPr>
          <w:rStyle w:val="Emphasis"/>
          <w:rFonts w:cstheme="minorHAnsi"/>
          <w:sz w:val="18"/>
          <w:szCs w:val="18"/>
          <w:bdr w:val="none" w:sz="0" w:space="0" w:color="auto" w:frame="1"/>
          <w:shd w:val="clear" w:color="auto" w:fill="FFFFFF"/>
        </w:rPr>
        <w:t>Advances in Nutrition</w:t>
      </w:r>
      <w:r w:rsidRPr="00376563">
        <w:rPr>
          <w:rFonts w:cstheme="minorHAnsi"/>
          <w:sz w:val="18"/>
          <w:szCs w:val="18"/>
          <w:shd w:val="clear" w:color="auto" w:fill="FFFFFF"/>
        </w:rPr>
        <w:t>, 9(2): p63–69.</w:t>
      </w:r>
    </w:p>
  </w:footnote>
  <w:footnote w:id="62">
    <w:p w14:paraId="7C070A96" w14:textId="376B6C1B" w:rsidR="00AA37B6" w:rsidRPr="00376563" w:rsidRDefault="00AA37B6" w:rsidP="00704EB8">
      <w:pPr>
        <w:pStyle w:val="FootnoteText"/>
        <w:spacing w:before="0" w:after="0"/>
        <w:rPr>
          <w:rFonts w:cstheme="minorHAnsi"/>
          <w:sz w:val="18"/>
          <w:szCs w:val="18"/>
        </w:rPr>
      </w:pPr>
      <w:r w:rsidRPr="00376563">
        <w:rPr>
          <w:rStyle w:val="FootnoteReference"/>
          <w:rFonts w:cstheme="minorHAnsi"/>
          <w:sz w:val="18"/>
          <w:szCs w:val="18"/>
        </w:rPr>
        <w:footnoteRef/>
      </w:r>
      <w:r w:rsidRPr="00376563">
        <w:rPr>
          <w:rFonts w:cstheme="minorHAnsi"/>
          <w:sz w:val="18"/>
          <w:szCs w:val="18"/>
        </w:rPr>
        <w:t xml:space="preserve"> Dietitians Association of Australia, 2015. ‘</w:t>
      </w:r>
      <w:r w:rsidRPr="00376563">
        <w:rPr>
          <w:rFonts w:cstheme="minorHAnsi"/>
          <w:i/>
          <w:sz w:val="18"/>
          <w:szCs w:val="18"/>
        </w:rPr>
        <w:t>Understanding Food Labels’</w:t>
      </w:r>
      <w:r w:rsidRPr="00376563">
        <w:rPr>
          <w:rFonts w:cstheme="minorHAnsi"/>
          <w:sz w:val="18"/>
          <w:szCs w:val="18"/>
        </w:rPr>
        <w:t xml:space="preserve">. Available at: </w:t>
      </w:r>
      <w:hyperlink r:id="rId36" w:history="1">
        <w:r w:rsidRPr="00376563">
          <w:rPr>
            <w:rStyle w:val="Hyperlink"/>
            <w:rFonts w:cstheme="minorHAnsi"/>
            <w:color w:val="auto"/>
            <w:sz w:val="18"/>
            <w:szCs w:val="18"/>
          </w:rPr>
          <w:t>Australia's Healthy Weight Week</w:t>
        </w:r>
      </w:hyperlink>
      <w:r w:rsidRPr="00376563">
        <w:rPr>
          <w:rFonts w:cstheme="minorHAnsi"/>
          <w:sz w:val="18"/>
          <w:szCs w:val="18"/>
        </w:rPr>
        <w:t xml:space="preserve"> (accessed 20 June 2017).</w:t>
      </w:r>
    </w:p>
  </w:footnote>
  <w:footnote w:id="63">
    <w:p w14:paraId="352E09D0" w14:textId="6E2B7991" w:rsidR="00AA37B6" w:rsidRPr="002222CC" w:rsidRDefault="00AA37B6" w:rsidP="00704EB8">
      <w:pPr>
        <w:pStyle w:val="FootnoteText"/>
        <w:spacing w:before="0" w:after="0"/>
        <w:rPr>
          <w:rFonts w:ascii="Times New Roman" w:hAnsi="Times New Roman" w:cs="Times New Roman"/>
          <w:sz w:val="18"/>
          <w:szCs w:val="18"/>
        </w:rPr>
      </w:pPr>
      <w:r w:rsidRPr="00376563">
        <w:rPr>
          <w:rStyle w:val="FootnoteReference"/>
          <w:rFonts w:cstheme="minorHAnsi"/>
          <w:sz w:val="18"/>
          <w:szCs w:val="18"/>
        </w:rPr>
        <w:footnoteRef/>
      </w:r>
      <w:r w:rsidRPr="00376563">
        <w:rPr>
          <w:rFonts w:cstheme="minorHAnsi"/>
          <w:sz w:val="18"/>
          <w:szCs w:val="18"/>
        </w:rPr>
        <w:t xml:space="preserve"> Australian Government Department of Health, n.d. ‘</w:t>
      </w:r>
      <w:r w:rsidRPr="00376563">
        <w:rPr>
          <w:rFonts w:cstheme="minorHAnsi"/>
          <w:i/>
          <w:sz w:val="18"/>
          <w:szCs w:val="18"/>
        </w:rPr>
        <w:t>Reading food labels’</w:t>
      </w:r>
      <w:r w:rsidRPr="00376563">
        <w:rPr>
          <w:rFonts w:cstheme="minorHAnsi"/>
          <w:sz w:val="18"/>
          <w:szCs w:val="18"/>
        </w:rPr>
        <w:t xml:space="preserve">. Available at: </w:t>
      </w:r>
      <w:hyperlink r:id="rId37" w:history="1">
        <w:r w:rsidRPr="00376563">
          <w:rPr>
            <w:rStyle w:val="Hyperlink"/>
            <w:rFonts w:cstheme="minorHAnsi"/>
            <w:color w:val="auto"/>
            <w:sz w:val="18"/>
            <w:szCs w:val="18"/>
          </w:rPr>
          <w:t>Australian Government Department of Health</w:t>
        </w:r>
      </w:hyperlink>
      <w:r w:rsidRPr="00376563">
        <w:rPr>
          <w:rFonts w:cstheme="minorHAnsi"/>
          <w:sz w:val="18"/>
          <w:szCs w:val="18"/>
        </w:rPr>
        <w:t xml:space="preserve"> (accessed 5 August 2016).</w:t>
      </w:r>
    </w:p>
  </w:footnote>
  <w:footnote w:id="64">
    <w:p w14:paraId="5F6ACCFC" w14:textId="15A9DE40" w:rsidR="00AA37B6" w:rsidRPr="00EA64CB" w:rsidRDefault="00AA37B6" w:rsidP="00704EB8">
      <w:pPr>
        <w:pStyle w:val="FootnoteText"/>
        <w:spacing w:before="0" w:after="0"/>
        <w:rPr>
          <w:rFonts w:cstheme="minorHAnsi"/>
          <w:sz w:val="18"/>
          <w:szCs w:val="18"/>
        </w:rPr>
      </w:pPr>
      <w:r w:rsidRPr="00EA64CB">
        <w:rPr>
          <w:rStyle w:val="FootnoteReference"/>
          <w:rFonts w:cstheme="minorHAnsi"/>
          <w:sz w:val="18"/>
          <w:szCs w:val="18"/>
        </w:rPr>
        <w:footnoteRef/>
      </w:r>
      <w:r w:rsidRPr="00EA64CB">
        <w:rPr>
          <w:rFonts w:cstheme="minorHAnsi"/>
          <w:sz w:val="18"/>
          <w:szCs w:val="18"/>
        </w:rPr>
        <w:t xml:space="preserve"> Based on a reference value of 8,700kJ for daily energy</w:t>
      </w:r>
      <w:r>
        <w:rPr>
          <w:rFonts w:cstheme="minorHAnsi"/>
          <w:sz w:val="18"/>
          <w:szCs w:val="18"/>
        </w:rPr>
        <w:t>.</w:t>
      </w:r>
    </w:p>
  </w:footnote>
  <w:footnote w:id="65">
    <w:p w14:paraId="423B4B00" w14:textId="75762E03" w:rsidR="00AA37B6" w:rsidRPr="00EA64CB" w:rsidRDefault="00AA37B6" w:rsidP="001D2BFF">
      <w:pPr>
        <w:pStyle w:val="FootnoteText"/>
        <w:spacing w:before="0" w:after="0"/>
        <w:rPr>
          <w:rFonts w:cstheme="minorHAnsi"/>
          <w:sz w:val="18"/>
          <w:szCs w:val="18"/>
        </w:rPr>
      </w:pPr>
      <w:r w:rsidRPr="00EA64CB">
        <w:rPr>
          <w:rStyle w:val="FootnoteReference"/>
          <w:rFonts w:cstheme="minorHAnsi"/>
          <w:sz w:val="18"/>
          <w:szCs w:val="18"/>
        </w:rPr>
        <w:footnoteRef/>
      </w:r>
      <w:r w:rsidRPr="00EA64CB">
        <w:rPr>
          <w:rFonts w:cstheme="minorHAnsi"/>
          <w:sz w:val="18"/>
          <w:szCs w:val="18"/>
        </w:rPr>
        <w:t xml:space="preserve"> National Health and Medical Research Council, 2003. ‘</w:t>
      </w:r>
      <w:r w:rsidRPr="00EA64CB">
        <w:rPr>
          <w:rFonts w:cstheme="minorHAnsi"/>
          <w:i/>
          <w:sz w:val="18"/>
          <w:szCs w:val="18"/>
        </w:rPr>
        <w:t>Dietary Guidelines for Australian Adults</w:t>
      </w:r>
      <w:r w:rsidRPr="00EA64CB">
        <w:rPr>
          <w:rFonts w:cstheme="minorHAnsi"/>
          <w:sz w:val="18"/>
          <w:szCs w:val="18"/>
        </w:rPr>
        <w:t>’</w:t>
      </w:r>
      <w:r>
        <w:rPr>
          <w:rFonts w:cstheme="minorHAnsi"/>
          <w:sz w:val="18"/>
          <w:szCs w:val="18"/>
        </w:rPr>
        <w:t>.</w:t>
      </w:r>
      <w:r w:rsidRPr="00EA64CB">
        <w:rPr>
          <w:rFonts w:cstheme="minorHAnsi"/>
          <w:sz w:val="18"/>
          <w:szCs w:val="18"/>
        </w:rPr>
        <w:t xml:space="preserve"> Available at: </w:t>
      </w:r>
      <w:hyperlink r:id="rId38" w:history="1">
        <w:r w:rsidRPr="00EA64CB">
          <w:rPr>
            <w:rStyle w:val="Hyperlink"/>
            <w:rFonts w:cstheme="minorHAnsi"/>
            <w:sz w:val="18"/>
            <w:szCs w:val="18"/>
          </w:rPr>
          <w:t>National Health and Medical Research Council</w:t>
        </w:r>
      </w:hyperlink>
      <w:r w:rsidRPr="00EA64CB">
        <w:rPr>
          <w:rFonts w:cstheme="minorHAnsi"/>
          <w:sz w:val="18"/>
          <w:szCs w:val="18"/>
        </w:rPr>
        <w:t xml:space="preserve"> (</w:t>
      </w:r>
      <w:r>
        <w:rPr>
          <w:rFonts w:cstheme="minorHAnsi"/>
          <w:sz w:val="18"/>
          <w:szCs w:val="18"/>
        </w:rPr>
        <w:t>accessed 20 June 2017).</w:t>
      </w:r>
    </w:p>
  </w:footnote>
  <w:footnote w:id="66">
    <w:p w14:paraId="77B9220D" w14:textId="77777777" w:rsidR="00AA37B6" w:rsidRPr="00CD1484" w:rsidRDefault="00AA37B6" w:rsidP="001D2BFF">
      <w:pPr>
        <w:pStyle w:val="FootnoteText"/>
        <w:spacing w:before="0" w:after="0"/>
        <w:rPr>
          <w:sz w:val="18"/>
          <w:szCs w:val="18"/>
        </w:rPr>
      </w:pPr>
      <w:r w:rsidRPr="00EA64CB">
        <w:rPr>
          <w:rStyle w:val="FootnoteReference"/>
          <w:rFonts w:cstheme="minorHAnsi"/>
          <w:sz w:val="18"/>
          <w:szCs w:val="18"/>
        </w:rPr>
        <w:footnoteRef/>
      </w:r>
      <w:r w:rsidRPr="00EA64CB">
        <w:rPr>
          <w:rFonts w:cstheme="minorHAnsi"/>
          <w:sz w:val="18"/>
          <w:szCs w:val="18"/>
        </w:rPr>
        <w:t xml:space="preserve"> The first definition of sugars in the Code is for NIP purposes.</w:t>
      </w:r>
      <w:r w:rsidRPr="00CD1484">
        <w:rPr>
          <w:sz w:val="18"/>
          <w:szCs w:val="18"/>
        </w:rPr>
        <w:t xml:space="preserve"> </w:t>
      </w:r>
    </w:p>
  </w:footnote>
  <w:footnote w:id="67">
    <w:p w14:paraId="37ADDB35" w14:textId="459545FF" w:rsidR="00AA37B6" w:rsidRPr="00EA64CB" w:rsidRDefault="00AA37B6" w:rsidP="001D2BFF">
      <w:pPr>
        <w:spacing w:before="0" w:after="0"/>
        <w:rPr>
          <w:rFonts w:eastAsia="Times New Roman" w:cstheme="minorHAnsi"/>
          <w:sz w:val="18"/>
          <w:szCs w:val="18"/>
        </w:rPr>
      </w:pPr>
      <w:r w:rsidRPr="00EA64CB">
        <w:rPr>
          <w:rStyle w:val="FootnoteReference"/>
          <w:rFonts w:eastAsia="Times New Roman" w:cstheme="minorHAnsi"/>
          <w:sz w:val="18"/>
          <w:szCs w:val="18"/>
        </w:rPr>
        <w:footnoteRef/>
      </w:r>
      <w:r w:rsidRPr="00EA64CB">
        <w:rPr>
          <w:rFonts w:eastAsia="Times New Roman" w:cstheme="minorHAnsi"/>
          <w:sz w:val="18"/>
          <w:szCs w:val="18"/>
        </w:rPr>
        <w:t xml:space="preserve"> Brownbill</w:t>
      </w:r>
      <w:r>
        <w:rPr>
          <w:rFonts w:eastAsia="Times New Roman" w:cstheme="minorHAnsi"/>
          <w:sz w:val="18"/>
          <w:szCs w:val="18"/>
        </w:rPr>
        <w:t>,</w:t>
      </w:r>
      <w:r w:rsidRPr="00EA64CB">
        <w:rPr>
          <w:rFonts w:eastAsia="Times New Roman" w:cstheme="minorHAnsi"/>
          <w:sz w:val="18"/>
          <w:szCs w:val="18"/>
        </w:rPr>
        <w:t xml:space="preserve"> A.</w:t>
      </w:r>
      <w:r>
        <w:rPr>
          <w:rFonts w:eastAsia="Times New Roman" w:cstheme="minorHAnsi"/>
          <w:sz w:val="18"/>
          <w:szCs w:val="18"/>
        </w:rPr>
        <w:t xml:space="preserve"> </w:t>
      </w:r>
      <w:r w:rsidRPr="00EA64CB">
        <w:rPr>
          <w:rFonts w:eastAsia="Times New Roman" w:cstheme="minorHAnsi"/>
          <w:sz w:val="18"/>
          <w:szCs w:val="18"/>
        </w:rPr>
        <w:t>L., Miller</w:t>
      </w:r>
      <w:r>
        <w:rPr>
          <w:rFonts w:eastAsia="Times New Roman" w:cstheme="minorHAnsi"/>
          <w:sz w:val="18"/>
          <w:szCs w:val="18"/>
        </w:rPr>
        <w:t>,</w:t>
      </w:r>
      <w:r w:rsidRPr="00EA64CB">
        <w:rPr>
          <w:rFonts w:eastAsia="Times New Roman" w:cstheme="minorHAnsi"/>
          <w:sz w:val="18"/>
          <w:szCs w:val="18"/>
        </w:rPr>
        <w:t xml:space="preserve"> C.</w:t>
      </w:r>
      <w:r>
        <w:rPr>
          <w:rFonts w:eastAsia="Times New Roman" w:cstheme="minorHAnsi"/>
          <w:sz w:val="18"/>
          <w:szCs w:val="18"/>
        </w:rPr>
        <w:t xml:space="preserve"> L.</w:t>
      </w:r>
      <w:r w:rsidRPr="00EA64CB">
        <w:rPr>
          <w:rFonts w:eastAsia="Times New Roman" w:cstheme="minorHAnsi"/>
          <w:sz w:val="18"/>
          <w:szCs w:val="18"/>
        </w:rPr>
        <w:t xml:space="preserve"> &amp; Braunack-Mayer</w:t>
      </w:r>
      <w:r>
        <w:rPr>
          <w:rFonts w:eastAsia="Times New Roman" w:cstheme="minorHAnsi"/>
          <w:sz w:val="18"/>
          <w:szCs w:val="18"/>
        </w:rPr>
        <w:t>,</w:t>
      </w:r>
      <w:r w:rsidRPr="00EA64CB">
        <w:rPr>
          <w:rFonts w:eastAsia="Times New Roman" w:cstheme="minorHAnsi"/>
          <w:sz w:val="18"/>
          <w:szCs w:val="18"/>
        </w:rPr>
        <w:t xml:space="preserve"> A.</w:t>
      </w:r>
      <w:r>
        <w:rPr>
          <w:rFonts w:eastAsia="Times New Roman" w:cstheme="minorHAnsi"/>
          <w:sz w:val="18"/>
          <w:szCs w:val="18"/>
        </w:rPr>
        <w:t xml:space="preserve"> </w:t>
      </w:r>
      <w:r w:rsidRPr="00EA64CB">
        <w:rPr>
          <w:rFonts w:eastAsia="Times New Roman" w:cstheme="minorHAnsi"/>
          <w:sz w:val="18"/>
          <w:szCs w:val="18"/>
        </w:rPr>
        <w:t>J.</w:t>
      </w:r>
      <w:r>
        <w:rPr>
          <w:rFonts w:eastAsia="Times New Roman" w:cstheme="minorHAnsi"/>
          <w:sz w:val="18"/>
          <w:szCs w:val="18"/>
        </w:rPr>
        <w:t>,</w:t>
      </w:r>
      <w:r w:rsidRPr="00EA64CB">
        <w:rPr>
          <w:rFonts w:eastAsia="Times New Roman" w:cstheme="minorHAnsi"/>
          <w:sz w:val="18"/>
          <w:szCs w:val="18"/>
        </w:rPr>
        <w:t xml:space="preserve"> 2018</w:t>
      </w:r>
      <w:r>
        <w:rPr>
          <w:rFonts w:eastAsia="Times New Roman" w:cstheme="minorHAnsi"/>
          <w:sz w:val="18"/>
          <w:szCs w:val="18"/>
        </w:rPr>
        <w:t>.</w:t>
      </w:r>
      <w:r w:rsidRPr="00EA64CB">
        <w:rPr>
          <w:rFonts w:eastAsia="Times New Roman" w:cstheme="minorHAnsi"/>
          <w:sz w:val="18"/>
          <w:szCs w:val="18"/>
        </w:rPr>
        <w:t xml:space="preserve"> ‘Industry use of ‘better-for-you’ features on labels of sugar-containing beverages’. </w:t>
      </w:r>
      <w:r w:rsidRPr="00EA64CB">
        <w:rPr>
          <w:rFonts w:eastAsia="Times New Roman" w:cstheme="minorHAnsi"/>
          <w:i/>
          <w:sz w:val="18"/>
          <w:szCs w:val="18"/>
        </w:rPr>
        <w:t>Public Health Nutrition</w:t>
      </w:r>
      <w:r>
        <w:rPr>
          <w:rFonts w:eastAsia="Times New Roman" w:cstheme="minorHAnsi"/>
          <w:sz w:val="18"/>
          <w:szCs w:val="18"/>
        </w:rPr>
        <w:t>, 21(18): p3335-43.</w:t>
      </w:r>
    </w:p>
  </w:footnote>
  <w:footnote w:id="68">
    <w:p w14:paraId="6594FA1E" w14:textId="525FA20C" w:rsidR="00AA37B6" w:rsidRPr="000403B2" w:rsidRDefault="00AA37B6" w:rsidP="001D2BFF">
      <w:pPr>
        <w:pStyle w:val="FootnoteText"/>
        <w:spacing w:before="0" w:after="0"/>
        <w:rPr>
          <w:rFonts w:eastAsia="Times New Roman" w:cstheme="minorHAnsi"/>
          <w:sz w:val="18"/>
          <w:szCs w:val="18"/>
        </w:rPr>
      </w:pPr>
      <w:r w:rsidRPr="00EA64CB">
        <w:rPr>
          <w:rStyle w:val="FootnoteReference"/>
          <w:rFonts w:cstheme="minorHAnsi"/>
          <w:sz w:val="18"/>
          <w:szCs w:val="18"/>
        </w:rPr>
        <w:footnoteRef/>
      </w:r>
      <w:r w:rsidRPr="00EA64CB">
        <w:rPr>
          <w:rFonts w:cstheme="minorHAnsi"/>
          <w:sz w:val="18"/>
          <w:szCs w:val="18"/>
        </w:rPr>
        <w:t xml:space="preserve"> Food Standards Australia New Zealand, 2017. ‘</w:t>
      </w:r>
      <w:r w:rsidRPr="00EA64CB">
        <w:rPr>
          <w:rFonts w:cstheme="minorHAnsi"/>
          <w:i/>
          <w:sz w:val="18"/>
          <w:szCs w:val="18"/>
        </w:rPr>
        <w:t>Literature review on consumer knowledge, attitudes and behaviours relating to sugars and food labelling’</w:t>
      </w:r>
      <w:r w:rsidRPr="00EA64CB">
        <w:rPr>
          <w:rFonts w:cstheme="minorHAnsi"/>
          <w:sz w:val="18"/>
          <w:szCs w:val="18"/>
        </w:rPr>
        <w:t xml:space="preserve">. Available at: </w:t>
      </w:r>
      <w:hyperlink r:id="rId39" w:history="1">
        <w:r w:rsidRPr="00EA64CB">
          <w:rPr>
            <w:rStyle w:val="Hyperlink"/>
            <w:rFonts w:cstheme="minorHAnsi"/>
            <w:sz w:val="18"/>
            <w:szCs w:val="18"/>
          </w:rPr>
          <w:t>Food Regulation website</w:t>
        </w:r>
      </w:hyperlink>
      <w:r w:rsidRPr="00EA64CB">
        <w:rPr>
          <w:rFonts w:cstheme="minorHAnsi"/>
          <w:sz w:val="18"/>
          <w:szCs w:val="18"/>
        </w:rPr>
        <w:t xml:space="preserve"> (accessed 24 April 2018</w:t>
      </w:r>
      <w:r w:rsidRPr="000403B2">
        <w:rPr>
          <w:rFonts w:eastAsia="Times New Roman" w:cstheme="minorHAnsi"/>
          <w:sz w:val="18"/>
          <w:szCs w:val="18"/>
        </w:rPr>
        <w:t>).</w:t>
      </w:r>
    </w:p>
  </w:footnote>
  <w:footnote w:id="69">
    <w:p w14:paraId="30B33514" w14:textId="4533CC9B" w:rsidR="00AA37B6" w:rsidRPr="00C64CDB" w:rsidRDefault="00AA37B6" w:rsidP="001D2BFF">
      <w:pPr>
        <w:pStyle w:val="FootnoteText"/>
        <w:spacing w:before="0" w:after="0"/>
        <w:rPr>
          <w:rFonts w:cstheme="minorHAnsi"/>
          <w:sz w:val="18"/>
          <w:szCs w:val="18"/>
        </w:rPr>
      </w:pPr>
      <w:r w:rsidRPr="00C64CDB">
        <w:rPr>
          <w:rStyle w:val="FootnoteReference"/>
          <w:rFonts w:cstheme="minorHAnsi"/>
          <w:sz w:val="18"/>
          <w:szCs w:val="18"/>
        </w:rPr>
        <w:footnoteRef/>
      </w:r>
      <w:r w:rsidRPr="00C64CDB">
        <w:rPr>
          <w:rFonts w:cstheme="minorHAnsi"/>
          <w:sz w:val="18"/>
          <w:szCs w:val="18"/>
        </w:rPr>
        <w:t xml:space="preserve"> Food Standards Australia New Zealand, 2018</w:t>
      </w:r>
      <w:r>
        <w:rPr>
          <w:rFonts w:cstheme="minorHAnsi"/>
          <w:sz w:val="18"/>
          <w:szCs w:val="18"/>
        </w:rPr>
        <w:t>.</w:t>
      </w:r>
      <w:r w:rsidRPr="00C64CDB">
        <w:rPr>
          <w:rFonts w:cstheme="minorHAnsi"/>
          <w:sz w:val="18"/>
          <w:szCs w:val="18"/>
        </w:rPr>
        <w:t xml:space="preserve"> ‘</w:t>
      </w:r>
      <w:r w:rsidRPr="00C64CDB">
        <w:rPr>
          <w:rFonts w:cstheme="minorHAnsi"/>
          <w:i/>
          <w:sz w:val="18"/>
          <w:szCs w:val="18"/>
        </w:rPr>
        <w:t>AUSNUT 2011-13 food nutrient database</w:t>
      </w:r>
      <w:r>
        <w:rPr>
          <w:rFonts w:cstheme="minorHAnsi"/>
          <w:sz w:val="18"/>
          <w:szCs w:val="18"/>
        </w:rPr>
        <w:t>’.</w:t>
      </w:r>
      <w:r w:rsidRPr="00C64CDB">
        <w:rPr>
          <w:rFonts w:cstheme="minorHAnsi"/>
          <w:sz w:val="18"/>
          <w:szCs w:val="18"/>
        </w:rPr>
        <w:t xml:space="preserve"> Available at:</w:t>
      </w:r>
      <w:hyperlink r:id="rId40" w:history="1">
        <w:r w:rsidRPr="00C64CDB">
          <w:rPr>
            <w:rStyle w:val="Hyperlink"/>
            <w:rFonts w:cstheme="minorHAnsi"/>
            <w:sz w:val="18"/>
            <w:szCs w:val="18"/>
          </w:rPr>
          <w:t xml:space="preserve"> AUSNUT database</w:t>
        </w:r>
      </w:hyperlink>
      <w:r w:rsidRPr="00C64CDB">
        <w:rPr>
          <w:rFonts w:cstheme="minorHAnsi"/>
          <w:sz w:val="18"/>
          <w:szCs w:val="18"/>
        </w:rPr>
        <w:t xml:space="preserve"> (accessed 18 April 2018)</w:t>
      </w:r>
      <w:r>
        <w:rPr>
          <w:rFonts w:cstheme="minorHAnsi"/>
          <w:sz w:val="18"/>
          <w:szCs w:val="18"/>
        </w:rPr>
        <w:t>.</w:t>
      </w:r>
    </w:p>
  </w:footnote>
  <w:footnote w:id="70">
    <w:p w14:paraId="14B3696B" w14:textId="3C589795" w:rsidR="00AA37B6" w:rsidRPr="00C64CDB" w:rsidRDefault="00AA37B6" w:rsidP="001D2BFF">
      <w:pPr>
        <w:pStyle w:val="FootnoteText"/>
        <w:spacing w:before="0" w:after="0"/>
        <w:rPr>
          <w:rFonts w:cstheme="minorHAnsi"/>
          <w:sz w:val="18"/>
          <w:szCs w:val="18"/>
        </w:rPr>
      </w:pPr>
      <w:r w:rsidRPr="00C64CDB">
        <w:rPr>
          <w:rStyle w:val="FootnoteReference"/>
          <w:rFonts w:cstheme="minorHAnsi"/>
          <w:sz w:val="18"/>
          <w:szCs w:val="18"/>
        </w:rPr>
        <w:footnoteRef/>
      </w:r>
      <w:r w:rsidRPr="00C64CDB">
        <w:rPr>
          <w:rFonts w:cstheme="minorHAnsi"/>
          <w:sz w:val="18"/>
          <w:szCs w:val="18"/>
        </w:rPr>
        <w:t xml:space="preserve"> The process used to develop this database is described at: </w:t>
      </w:r>
      <w:hyperlink r:id="rId41" w:history="1">
        <w:r w:rsidRPr="00C64CDB">
          <w:rPr>
            <w:rStyle w:val="Hyperlink"/>
            <w:rFonts w:cstheme="minorHAnsi"/>
            <w:sz w:val="18"/>
            <w:szCs w:val="18"/>
          </w:rPr>
          <w:t>Determining the amount of added sugars and free sugars in foods listed in the AUSNUT 2011-13 dataset.</w:t>
        </w:r>
      </w:hyperlink>
    </w:p>
  </w:footnote>
  <w:footnote w:id="71">
    <w:p w14:paraId="570290D1" w14:textId="4F6348C1" w:rsidR="00AA37B6" w:rsidRPr="00C64CDB" w:rsidRDefault="00AA37B6" w:rsidP="001D2BFF">
      <w:pPr>
        <w:pStyle w:val="FootnoteText"/>
        <w:spacing w:before="0" w:after="0"/>
        <w:rPr>
          <w:sz w:val="18"/>
          <w:szCs w:val="18"/>
        </w:rPr>
      </w:pPr>
      <w:r w:rsidRPr="00C64CDB">
        <w:rPr>
          <w:rStyle w:val="FootnoteReference"/>
          <w:sz w:val="18"/>
          <w:szCs w:val="18"/>
        </w:rPr>
        <w:footnoteRef/>
      </w:r>
      <w:r w:rsidRPr="00C64CDB">
        <w:rPr>
          <w:sz w:val="18"/>
          <w:szCs w:val="18"/>
        </w:rPr>
        <w:t xml:space="preserve"> Food Standards Australia New Zealand, 2019</w:t>
      </w:r>
      <w:r>
        <w:rPr>
          <w:sz w:val="18"/>
          <w:szCs w:val="18"/>
        </w:rPr>
        <w:t>.</w:t>
      </w:r>
      <w:r w:rsidRPr="00C64CDB">
        <w:rPr>
          <w:sz w:val="18"/>
          <w:szCs w:val="18"/>
        </w:rPr>
        <w:t xml:space="preserve"> ‘Australian Food Composition Database’. Available at: </w:t>
      </w:r>
      <w:hyperlink r:id="rId42" w:history="1">
        <w:r w:rsidRPr="00C64CDB">
          <w:rPr>
            <w:rStyle w:val="Hyperlink"/>
            <w:sz w:val="18"/>
            <w:szCs w:val="18"/>
          </w:rPr>
          <w:t>FSANZ website</w:t>
        </w:r>
      </w:hyperlink>
      <w:r w:rsidRPr="00C64CDB">
        <w:rPr>
          <w:sz w:val="18"/>
          <w:szCs w:val="18"/>
        </w:rPr>
        <w:t xml:space="preserve"> (accessed 29 January 2019)</w:t>
      </w:r>
      <w:r>
        <w:rPr>
          <w:sz w:val="18"/>
          <w:szCs w:val="18"/>
        </w:rPr>
        <w:t>.</w:t>
      </w:r>
    </w:p>
  </w:footnote>
  <w:footnote w:id="72">
    <w:p w14:paraId="55006865" w14:textId="55A3FCEA" w:rsidR="00AA37B6" w:rsidRPr="00645BC6" w:rsidRDefault="00AA37B6" w:rsidP="001D2BFF">
      <w:pPr>
        <w:pStyle w:val="FootnoteText"/>
        <w:spacing w:before="0" w:after="0"/>
      </w:pPr>
      <w:r w:rsidRPr="00C64CDB">
        <w:rPr>
          <w:rStyle w:val="FootnoteReference"/>
          <w:rFonts w:cstheme="minorHAnsi"/>
          <w:sz w:val="18"/>
          <w:szCs w:val="18"/>
        </w:rPr>
        <w:footnoteRef/>
      </w:r>
      <w:r w:rsidRPr="00C64CDB">
        <w:rPr>
          <w:rFonts w:cstheme="minorHAnsi"/>
          <w:sz w:val="18"/>
          <w:szCs w:val="18"/>
        </w:rPr>
        <w:t xml:space="preserve"> Kibblewhite, R.</w:t>
      </w:r>
      <w:r>
        <w:rPr>
          <w:rFonts w:cstheme="minorHAnsi"/>
          <w:sz w:val="18"/>
          <w:szCs w:val="18"/>
        </w:rPr>
        <w:t>, et al,</w:t>
      </w:r>
      <w:r w:rsidRPr="00C64CDB">
        <w:rPr>
          <w:rFonts w:cstheme="minorHAnsi"/>
          <w:sz w:val="18"/>
          <w:szCs w:val="18"/>
        </w:rPr>
        <w:t xml:space="preserve"> 2017. ‘Estimating Free and Added Sugar Intakes</w:t>
      </w:r>
      <w:r>
        <w:rPr>
          <w:rFonts w:cstheme="minorHAnsi"/>
          <w:sz w:val="18"/>
          <w:szCs w:val="18"/>
        </w:rPr>
        <w:t xml:space="preserve"> in New Zealand’. </w:t>
      </w:r>
      <w:r>
        <w:rPr>
          <w:rFonts w:cstheme="minorHAnsi"/>
          <w:i/>
          <w:sz w:val="18"/>
          <w:szCs w:val="18"/>
        </w:rPr>
        <w:t xml:space="preserve">Nutrients, </w:t>
      </w:r>
      <w:r>
        <w:rPr>
          <w:rFonts w:cstheme="minorHAnsi"/>
          <w:sz w:val="18"/>
          <w:szCs w:val="18"/>
        </w:rPr>
        <w:t>9(12): p1292.</w:t>
      </w:r>
    </w:p>
  </w:footnote>
  <w:footnote w:id="73">
    <w:p w14:paraId="6B15189C" w14:textId="25F42659" w:rsidR="00AA37B6" w:rsidRPr="006E72DB" w:rsidRDefault="00AA37B6" w:rsidP="001D2BFF">
      <w:pPr>
        <w:pStyle w:val="FootnoteText"/>
        <w:spacing w:before="0" w:after="0"/>
        <w:rPr>
          <w:rFonts w:cstheme="minorHAnsi"/>
          <w:sz w:val="18"/>
          <w:szCs w:val="18"/>
        </w:rPr>
      </w:pPr>
      <w:r w:rsidRPr="006E72DB">
        <w:rPr>
          <w:rStyle w:val="FootnoteReference"/>
          <w:rFonts w:cstheme="minorHAnsi"/>
          <w:sz w:val="18"/>
          <w:szCs w:val="18"/>
        </w:rPr>
        <w:footnoteRef/>
      </w:r>
      <w:r w:rsidRPr="006E72DB">
        <w:rPr>
          <w:rFonts w:cstheme="minorHAnsi"/>
          <w:sz w:val="18"/>
          <w:szCs w:val="18"/>
        </w:rPr>
        <w:t xml:space="preserve"> Food Standards Australia New Zealand, 2017. ‘</w:t>
      </w:r>
      <w:r w:rsidRPr="006E72DB">
        <w:rPr>
          <w:rFonts w:cstheme="minorHAnsi"/>
          <w:i/>
          <w:sz w:val="18"/>
          <w:szCs w:val="18"/>
        </w:rPr>
        <w:t>Literature review on consumer knowledge, attitudes and behaviours relating to sugars and food labelling’</w:t>
      </w:r>
      <w:r>
        <w:rPr>
          <w:rFonts w:cstheme="minorHAnsi"/>
          <w:sz w:val="18"/>
          <w:szCs w:val="18"/>
        </w:rPr>
        <w:t xml:space="preserve">. </w:t>
      </w:r>
      <w:r w:rsidRPr="006E72DB">
        <w:rPr>
          <w:rFonts w:cstheme="minorHAnsi"/>
          <w:sz w:val="18"/>
          <w:szCs w:val="18"/>
        </w:rPr>
        <w:t xml:space="preserve">Available at: </w:t>
      </w:r>
      <w:hyperlink r:id="rId43" w:history="1">
        <w:r w:rsidRPr="006E72DB">
          <w:rPr>
            <w:rStyle w:val="Hyperlink"/>
            <w:rFonts w:cstheme="minorHAnsi"/>
            <w:sz w:val="18"/>
            <w:szCs w:val="18"/>
          </w:rPr>
          <w:t>Food Regulation website</w:t>
        </w:r>
      </w:hyperlink>
      <w:r w:rsidRPr="006E72DB">
        <w:rPr>
          <w:rFonts w:cstheme="minorHAnsi"/>
          <w:sz w:val="18"/>
          <w:szCs w:val="18"/>
        </w:rPr>
        <w:t xml:space="preserve"> (accessed 24 April 2018)</w:t>
      </w:r>
      <w:r>
        <w:rPr>
          <w:rFonts w:cstheme="minorHAnsi"/>
          <w:sz w:val="18"/>
          <w:szCs w:val="18"/>
        </w:rPr>
        <w:t>.</w:t>
      </w:r>
    </w:p>
  </w:footnote>
  <w:footnote w:id="74">
    <w:p w14:paraId="3BD95771" w14:textId="64E1A701" w:rsidR="00AA37B6" w:rsidRPr="005E6C7F" w:rsidRDefault="00AA37B6" w:rsidP="002B3D81">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Food Standards Australia New Zealand, 2017. ‘</w:t>
      </w:r>
      <w:r w:rsidRPr="005E6C7F">
        <w:rPr>
          <w:rFonts w:cstheme="minorHAnsi"/>
          <w:i/>
          <w:sz w:val="18"/>
          <w:szCs w:val="18"/>
        </w:rPr>
        <w:t>Literature review on consumer knowledge, attitudes and behaviours relating to sugars and food labelling’</w:t>
      </w:r>
      <w:r>
        <w:rPr>
          <w:rFonts w:cstheme="minorHAnsi"/>
          <w:sz w:val="18"/>
          <w:szCs w:val="18"/>
        </w:rPr>
        <w:t xml:space="preserve">. </w:t>
      </w:r>
      <w:r w:rsidRPr="005E6C7F">
        <w:rPr>
          <w:rFonts w:cstheme="minorHAnsi"/>
          <w:sz w:val="18"/>
          <w:szCs w:val="18"/>
        </w:rPr>
        <w:t xml:space="preserve">Available at: </w:t>
      </w:r>
      <w:hyperlink r:id="rId44" w:history="1">
        <w:r w:rsidRPr="005E6C7F">
          <w:rPr>
            <w:rStyle w:val="Hyperlink"/>
            <w:rFonts w:cstheme="minorHAnsi"/>
            <w:sz w:val="18"/>
            <w:szCs w:val="18"/>
          </w:rPr>
          <w:t>Food Regulation website</w:t>
        </w:r>
      </w:hyperlink>
      <w:r w:rsidRPr="005E6C7F">
        <w:rPr>
          <w:rFonts w:cstheme="minorHAnsi"/>
          <w:sz w:val="18"/>
          <w:szCs w:val="18"/>
        </w:rPr>
        <w:t xml:space="preserve"> (accessed 24 April 2018)</w:t>
      </w:r>
      <w:r>
        <w:rPr>
          <w:rFonts w:cstheme="minorHAnsi"/>
          <w:sz w:val="18"/>
          <w:szCs w:val="18"/>
        </w:rPr>
        <w:t>.</w:t>
      </w:r>
    </w:p>
  </w:footnote>
  <w:footnote w:id="75">
    <w:p w14:paraId="235DFB81" w14:textId="7FF57B90" w:rsidR="00AA37B6" w:rsidRPr="005E6C7F" w:rsidRDefault="00AA37B6" w:rsidP="002B3D81">
      <w:pPr>
        <w:pStyle w:val="FootnoteText"/>
        <w:tabs>
          <w:tab w:val="left" w:pos="142"/>
        </w:tabs>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Australian Government Department of Health and National Health Medical and R</w:t>
      </w:r>
      <w:r>
        <w:rPr>
          <w:rFonts w:cstheme="minorHAnsi"/>
          <w:sz w:val="18"/>
          <w:szCs w:val="18"/>
        </w:rPr>
        <w:t>esearch Council, 2018.</w:t>
      </w:r>
      <w:r w:rsidRPr="005E6C7F">
        <w:rPr>
          <w:rFonts w:cstheme="minorHAnsi"/>
          <w:sz w:val="18"/>
          <w:szCs w:val="18"/>
        </w:rPr>
        <w:t xml:space="preserve"> ‘</w:t>
      </w:r>
      <w:r w:rsidRPr="005E6C7F">
        <w:rPr>
          <w:rFonts w:cstheme="minorHAnsi"/>
          <w:i/>
          <w:sz w:val="18"/>
          <w:szCs w:val="18"/>
        </w:rPr>
        <w:t>How to understand food labels’</w:t>
      </w:r>
      <w:r w:rsidRPr="005E6C7F">
        <w:rPr>
          <w:rFonts w:cstheme="minorHAnsi"/>
          <w:sz w:val="18"/>
          <w:szCs w:val="18"/>
        </w:rPr>
        <w:t xml:space="preserve">. Available at: </w:t>
      </w:r>
      <w:hyperlink r:id="rId45" w:history="1">
        <w:r w:rsidRPr="005E6C7F">
          <w:rPr>
            <w:rStyle w:val="Hyperlink"/>
            <w:rFonts w:cstheme="minorHAnsi"/>
            <w:sz w:val="18"/>
            <w:szCs w:val="18"/>
          </w:rPr>
          <w:t>Eat for Health website</w:t>
        </w:r>
      </w:hyperlink>
      <w:r w:rsidRPr="005E6C7F">
        <w:rPr>
          <w:rFonts w:cstheme="minorHAnsi"/>
          <w:sz w:val="18"/>
          <w:szCs w:val="18"/>
        </w:rPr>
        <w:t xml:space="preserve"> (accessed 24 April 2018).</w:t>
      </w:r>
    </w:p>
  </w:footnote>
  <w:footnote w:id="76">
    <w:p w14:paraId="67864DD1" w14:textId="74D88EC7" w:rsidR="00AA37B6" w:rsidRPr="00A16691" w:rsidRDefault="00AA37B6" w:rsidP="002B3D81">
      <w:pPr>
        <w:pStyle w:val="FootnoteText"/>
        <w:spacing w:before="0" w:after="0"/>
        <w:rPr>
          <w:rFonts w:cstheme="minorHAnsi"/>
          <w:sz w:val="18"/>
          <w:szCs w:val="18"/>
        </w:rPr>
      </w:pPr>
      <w:r w:rsidRPr="00A16691">
        <w:rPr>
          <w:rStyle w:val="FootnoteReference"/>
          <w:rFonts w:cstheme="minorHAnsi"/>
          <w:sz w:val="18"/>
          <w:szCs w:val="18"/>
        </w:rPr>
        <w:footnoteRef/>
      </w:r>
      <w:r w:rsidRPr="00A16691">
        <w:rPr>
          <w:rFonts w:cstheme="minorHAnsi"/>
          <w:sz w:val="18"/>
          <w:szCs w:val="18"/>
        </w:rPr>
        <w:t xml:space="preserve"> Food Standards Australia New Zealand, 2015. ‘</w:t>
      </w:r>
      <w:r w:rsidRPr="00A16691">
        <w:rPr>
          <w:rFonts w:cstheme="minorHAnsi"/>
          <w:i/>
          <w:sz w:val="18"/>
          <w:szCs w:val="18"/>
        </w:rPr>
        <w:t>Labelling’</w:t>
      </w:r>
      <w:r>
        <w:rPr>
          <w:rFonts w:cstheme="minorHAnsi"/>
          <w:sz w:val="18"/>
          <w:szCs w:val="18"/>
        </w:rPr>
        <w:t>.</w:t>
      </w:r>
      <w:r w:rsidRPr="00A16691">
        <w:rPr>
          <w:rFonts w:cstheme="minorHAnsi"/>
          <w:i/>
          <w:sz w:val="18"/>
          <w:szCs w:val="18"/>
        </w:rPr>
        <w:t xml:space="preserve"> </w:t>
      </w:r>
      <w:r w:rsidRPr="00A16691">
        <w:rPr>
          <w:rFonts w:cstheme="minorHAnsi"/>
          <w:sz w:val="18"/>
          <w:szCs w:val="18"/>
        </w:rPr>
        <w:t xml:space="preserve">Available at: </w:t>
      </w:r>
      <w:hyperlink r:id="rId46" w:history="1">
        <w:r w:rsidRPr="00A16691">
          <w:rPr>
            <w:rStyle w:val="Hyperlink"/>
            <w:rFonts w:cstheme="minorHAnsi"/>
            <w:sz w:val="18"/>
            <w:szCs w:val="18"/>
          </w:rPr>
          <w:t>FSANZ website</w:t>
        </w:r>
      </w:hyperlink>
      <w:r>
        <w:rPr>
          <w:rFonts w:cstheme="minorHAnsi"/>
          <w:sz w:val="18"/>
          <w:szCs w:val="18"/>
        </w:rPr>
        <w:t xml:space="preserve"> (accessed 24 April 2018).</w:t>
      </w:r>
    </w:p>
  </w:footnote>
  <w:footnote w:id="77">
    <w:p w14:paraId="26642F7B" w14:textId="515E8B03" w:rsidR="00AA37B6" w:rsidRPr="00A16691" w:rsidRDefault="00AA37B6" w:rsidP="002B3D81">
      <w:pPr>
        <w:pStyle w:val="FootnoteText"/>
        <w:spacing w:before="0" w:after="0"/>
        <w:rPr>
          <w:rFonts w:cstheme="minorHAnsi"/>
          <w:sz w:val="18"/>
          <w:szCs w:val="18"/>
        </w:rPr>
      </w:pPr>
      <w:r w:rsidRPr="00A16691">
        <w:rPr>
          <w:rStyle w:val="FootnoteReference"/>
          <w:rFonts w:cstheme="minorHAnsi"/>
          <w:sz w:val="18"/>
          <w:szCs w:val="18"/>
        </w:rPr>
        <w:footnoteRef/>
      </w:r>
      <w:r w:rsidRPr="00A16691">
        <w:rPr>
          <w:rFonts w:cstheme="minorHAnsi"/>
          <w:sz w:val="18"/>
          <w:szCs w:val="18"/>
        </w:rPr>
        <w:t xml:space="preserve"> Victorian Sta</w:t>
      </w:r>
      <w:r>
        <w:rPr>
          <w:rFonts w:cstheme="minorHAnsi"/>
          <w:sz w:val="18"/>
          <w:szCs w:val="18"/>
        </w:rPr>
        <w:t>te Government Better Health Chan</w:t>
      </w:r>
      <w:r w:rsidRPr="00A16691">
        <w:rPr>
          <w:rFonts w:cstheme="minorHAnsi"/>
          <w:sz w:val="18"/>
          <w:szCs w:val="18"/>
        </w:rPr>
        <w:t>el, 2013. ‘</w:t>
      </w:r>
      <w:r w:rsidRPr="00A16691">
        <w:rPr>
          <w:rFonts w:cstheme="minorHAnsi"/>
          <w:i/>
          <w:sz w:val="18"/>
          <w:szCs w:val="18"/>
        </w:rPr>
        <w:t>Food labels’</w:t>
      </w:r>
      <w:r>
        <w:rPr>
          <w:rFonts w:cstheme="minorHAnsi"/>
          <w:i/>
          <w:sz w:val="18"/>
          <w:szCs w:val="18"/>
        </w:rPr>
        <w:t>.</w:t>
      </w:r>
      <w:r w:rsidRPr="00A16691">
        <w:rPr>
          <w:rFonts w:cstheme="minorHAnsi"/>
          <w:i/>
          <w:sz w:val="18"/>
          <w:szCs w:val="18"/>
        </w:rPr>
        <w:t xml:space="preserve"> </w:t>
      </w:r>
      <w:r w:rsidRPr="00A16691">
        <w:rPr>
          <w:rFonts w:cstheme="minorHAnsi"/>
          <w:sz w:val="18"/>
          <w:szCs w:val="18"/>
        </w:rPr>
        <w:t xml:space="preserve">Available at: </w:t>
      </w:r>
      <w:hyperlink r:id="rId47" w:history="1">
        <w:r w:rsidRPr="00A16691">
          <w:rPr>
            <w:rStyle w:val="Hyperlink"/>
            <w:rFonts w:cstheme="minorHAnsi"/>
            <w:sz w:val="18"/>
            <w:szCs w:val="18"/>
          </w:rPr>
          <w:t>Better Health Chanel</w:t>
        </w:r>
      </w:hyperlink>
      <w:r w:rsidRPr="00A16691">
        <w:rPr>
          <w:rFonts w:cstheme="minorHAnsi"/>
          <w:sz w:val="18"/>
          <w:szCs w:val="18"/>
        </w:rPr>
        <w:t xml:space="preserve"> (access</w:t>
      </w:r>
      <w:r>
        <w:rPr>
          <w:rFonts w:cstheme="minorHAnsi"/>
          <w:sz w:val="18"/>
          <w:szCs w:val="18"/>
        </w:rPr>
        <w:t>ed 24 April 2018).</w:t>
      </w:r>
    </w:p>
  </w:footnote>
  <w:footnote w:id="78">
    <w:p w14:paraId="6F087FF5" w14:textId="3839A560" w:rsidR="00AA37B6" w:rsidRPr="00A16691" w:rsidRDefault="00AA37B6" w:rsidP="002B3D81">
      <w:pPr>
        <w:pStyle w:val="FootnoteText"/>
        <w:spacing w:before="0" w:after="0"/>
        <w:rPr>
          <w:rFonts w:cstheme="minorHAnsi"/>
          <w:sz w:val="18"/>
          <w:szCs w:val="18"/>
        </w:rPr>
      </w:pPr>
      <w:r w:rsidRPr="00A16691">
        <w:rPr>
          <w:rStyle w:val="FootnoteReference"/>
          <w:rFonts w:cstheme="minorHAnsi"/>
          <w:sz w:val="18"/>
          <w:szCs w:val="18"/>
        </w:rPr>
        <w:footnoteRef/>
      </w:r>
      <w:r w:rsidRPr="00A16691">
        <w:rPr>
          <w:rFonts w:cstheme="minorHAnsi"/>
          <w:sz w:val="18"/>
          <w:szCs w:val="18"/>
        </w:rPr>
        <w:t xml:space="preserve"> ACT Government, n.d. ‘</w:t>
      </w:r>
      <w:r w:rsidRPr="00A16691">
        <w:rPr>
          <w:rFonts w:cstheme="minorHAnsi"/>
          <w:i/>
          <w:sz w:val="18"/>
          <w:szCs w:val="18"/>
        </w:rPr>
        <w:t>Good Habits for Life: Sugar Swap Challenge Brochure’</w:t>
      </w:r>
      <w:r w:rsidRPr="00A16691">
        <w:rPr>
          <w:rFonts w:cstheme="minorHAnsi"/>
          <w:sz w:val="18"/>
          <w:szCs w:val="18"/>
        </w:rPr>
        <w:t xml:space="preserve">. Available at: </w:t>
      </w:r>
      <w:hyperlink r:id="rId48" w:history="1">
        <w:r w:rsidRPr="00A16691">
          <w:rPr>
            <w:rStyle w:val="Hyperlink"/>
            <w:rFonts w:cstheme="minorHAnsi"/>
            <w:sz w:val="18"/>
            <w:szCs w:val="18"/>
          </w:rPr>
          <w:t>Good Habits for Life website</w:t>
        </w:r>
      </w:hyperlink>
      <w:r w:rsidRPr="00A16691">
        <w:rPr>
          <w:rFonts w:cstheme="minorHAnsi"/>
          <w:sz w:val="18"/>
          <w:szCs w:val="18"/>
        </w:rPr>
        <w:t xml:space="preserve"> (accessed 24 April 2018). </w:t>
      </w:r>
    </w:p>
  </w:footnote>
  <w:footnote w:id="79">
    <w:p w14:paraId="5E3193F0" w14:textId="36A77974" w:rsidR="00AA37B6" w:rsidRPr="00A16691" w:rsidRDefault="00AA37B6" w:rsidP="002B3D81">
      <w:pPr>
        <w:pStyle w:val="FootnoteText"/>
        <w:spacing w:before="0" w:after="0"/>
        <w:rPr>
          <w:rFonts w:cstheme="minorHAnsi"/>
          <w:sz w:val="18"/>
          <w:szCs w:val="18"/>
        </w:rPr>
      </w:pPr>
      <w:r w:rsidRPr="00A16691">
        <w:rPr>
          <w:rStyle w:val="FootnoteReference"/>
          <w:rFonts w:cstheme="minorHAnsi"/>
          <w:sz w:val="18"/>
          <w:szCs w:val="18"/>
        </w:rPr>
        <w:footnoteRef/>
      </w:r>
      <w:r w:rsidRPr="00A16691">
        <w:rPr>
          <w:rFonts w:cstheme="minorHAnsi"/>
          <w:sz w:val="18"/>
          <w:szCs w:val="18"/>
        </w:rPr>
        <w:t xml:space="preserve"> Dietitian’s Association of Australia, 2018. </w:t>
      </w:r>
      <w:r w:rsidRPr="000F745A">
        <w:rPr>
          <w:rFonts w:cstheme="minorHAnsi"/>
          <w:i/>
          <w:sz w:val="18"/>
          <w:szCs w:val="18"/>
        </w:rPr>
        <w:t>‘Food Labels’</w:t>
      </w:r>
      <w:r w:rsidRPr="00A16691">
        <w:rPr>
          <w:rFonts w:cstheme="minorHAnsi"/>
          <w:sz w:val="18"/>
          <w:szCs w:val="18"/>
        </w:rPr>
        <w:t xml:space="preserve">. Available at: </w:t>
      </w:r>
      <w:hyperlink r:id="rId49" w:history="1">
        <w:r w:rsidRPr="00A16691">
          <w:rPr>
            <w:rStyle w:val="Hyperlink"/>
            <w:rFonts w:cstheme="minorHAnsi"/>
            <w:sz w:val="18"/>
            <w:szCs w:val="18"/>
          </w:rPr>
          <w:t>DAA website</w:t>
        </w:r>
      </w:hyperlink>
      <w:r w:rsidRPr="00A16691">
        <w:rPr>
          <w:rFonts w:cstheme="minorHAnsi"/>
          <w:sz w:val="18"/>
          <w:szCs w:val="18"/>
        </w:rPr>
        <w:t xml:space="preserve"> (accessed 24 April 2018)</w:t>
      </w:r>
      <w:r>
        <w:rPr>
          <w:rFonts w:cstheme="minorHAnsi"/>
          <w:sz w:val="18"/>
          <w:szCs w:val="18"/>
        </w:rPr>
        <w:t>.</w:t>
      </w:r>
    </w:p>
  </w:footnote>
  <w:footnote w:id="80">
    <w:p w14:paraId="65DE6F70" w14:textId="1266844C" w:rsidR="00AA37B6" w:rsidRPr="00A16691" w:rsidRDefault="00AA37B6" w:rsidP="002B3D81">
      <w:pPr>
        <w:pStyle w:val="FootnoteText"/>
        <w:spacing w:before="0" w:after="0"/>
        <w:rPr>
          <w:rFonts w:cstheme="minorHAnsi"/>
          <w:sz w:val="18"/>
          <w:szCs w:val="18"/>
        </w:rPr>
      </w:pPr>
      <w:r w:rsidRPr="00A16691">
        <w:rPr>
          <w:rFonts w:cstheme="minorHAnsi"/>
          <w:sz w:val="18"/>
          <w:szCs w:val="18"/>
        </w:rPr>
        <w:footnoteRef/>
      </w:r>
      <w:r w:rsidRPr="00A16691">
        <w:rPr>
          <w:rFonts w:cstheme="minorHAnsi"/>
          <w:sz w:val="18"/>
          <w:szCs w:val="18"/>
        </w:rPr>
        <w:t xml:space="preserve"> National Heart Foundation of Australia, n.d. ‘</w:t>
      </w:r>
      <w:r w:rsidRPr="00A16691">
        <w:rPr>
          <w:rFonts w:cstheme="minorHAnsi"/>
          <w:i/>
          <w:sz w:val="18"/>
          <w:szCs w:val="18"/>
        </w:rPr>
        <w:t>Food Labels’</w:t>
      </w:r>
      <w:r w:rsidRPr="00A16691">
        <w:rPr>
          <w:rFonts w:cstheme="minorHAnsi"/>
          <w:sz w:val="18"/>
          <w:szCs w:val="18"/>
        </w:rPr>
        <w:t xml:space="preserve">. Available at: </w:t>
      </w:r>
      <w:hyperlink r:id="rId50" w:history="1">
        <w:r w:rsidRPr="00A16691">
          <w:rPr>
            <w:rFonts w:cstheme="minorHAnsi"/>
            <w:sz w:val="18"/>
            <w:szCs w:val="18"/>
          </w:rPr>
          <w:t>Heart Foundation website</w:t>
        </w:r>
      </w:hyperlink>
      <w:r w:rsidRPr="00A16691">
        <w:rPr>
          <w:rFonts w:cstheme="minorHAnsi"/>
          <w:sz w:val="18"/>
          <w:szCs w:val="18"/>
        </w:rPr>
        <w:t xml:space="preserve"> (accessed 24 April 2018)</w:t>
      </w:r>
      <w:r>
        <w:rPr>
          <w:rFonts w:cstheme="minorHAnsi"/>
          <w:sz w:val="18"/>
          <w:szCs w:val="18"/>
        </w:rPr>
        <w:t>.</w:t>
      </w:r>
    </w:p>
  </w:footnote>
  <w:footnote w:id="81">
    <w:p w14:paraId="6C7E5261" w14:textId="110C22F8" w:rsidR="00AA37B6" w:rsidRPr="00A16691" w:rsidRDefault="00AA37B6" w:rsidP="002B3D81">
      <w:pPr>
        <w:pStyle w:val="FootnoteText"/>
        <w:spacing w:before="0" w:after="0"/>
        <w:rPr>
          <w:rFonts w:cstheme="minorHAnsi"/>
          <w:sz w:val="18"/>
          <w:szCs w:val="18"/>
        </w:rPr>
      </w:pPr>
      <w:r w:rsidRPr="00A16691">
        <w:rPr>
          <w:rStyle w:val="FootnoteReference"/>
          <w:rFonts w:cstheme="minorHAnsi"/>
          <w:sz w:val="18"/>
          <w:szCs w:val="18"/>
        </w:rPr>
        <w:footnoteRef/>
      </w:r>
      <w:r w:rsidRPr="00A16691">
        <w:rPr>
          <w:rFonts w:cstheme="minorHAnsi"/>
          <w:sz w:val="18"/>
          <w:szCs w:val="18"/>
        </w:rPr>
        <w:t xml:space="preserve"> Health Navigator New Zealand, 2018. ‘</w:t>
      </w:r>
      <w:r w:rsidRPr="00A16691">
        <w:rPr>
          <w:rFonts w:cstheme="minorHAnsi"/>
          <w:i/>
          <w:sz w:val="18"/>
          <w:szCs w:val="18"/>
        </w:rPr>
        <w:t xml:space="preserve">Using Food Labels’. </w:t>
      </w:r>
      <w:r w:rsidRPr="00A16691">
        <w:rPr>
          <w:rFonts w:cstheme="minorHAnsi"/>
          <w:sz w:val="18"/>
          <w:szCs w:val="18"/>
        </w:rPr>
        <w:t xml:space="preserve">Available at: </w:t>
      </w:r>
      <w:hyperlink r:id="rId51" w:history="1">
        <w:r w:rsidRPr="00A16691">
          <w:rPr>
            <w:rStyle w:val="Hyperlink"/>
            <w:rFonts w:cstheme="minorHAnsi"/>
            <w:sz w:val="18"/>
            <w:szCs w:val="18"/>
          </w:rPr>
          <w:t>Health Navigator website</w:t>
        </w:r>
      </w:hyperlink>
      <w:r>
        <w:rPr>
          <w:rFonts w:cstheme="minorHAnsi"/>
          <w:sz w:val="18"/>
          <w:szCs w:val="18"/>
        </w:rPr>
        <w:t xml:space="preserve"> (accessed 24 April 2018).</w:t>
      </w:r>
    </w:p>
  </w:footnote>
  <w:footnote w:id="82">
    <w:p w14:paraId="6FC4646E" w14:textId="7001B446" w:rsidR="00AA37B6" w:rsidRPr="00A16691" w:rsidRDefault="00AA37B6" w:rsidP="002B3D81">
      <w:pPr>
        <w:pStyle w:val="FootnoteText"/>
        <w:spacing w:before="0" w:after="0"/>
        <w:rPr>
          <w:rFonts w:cstheme="minorHAnsi"/>
          <w:sz w:val="18"/>
          <w:szCs w:val="18"/>
        </w:rPr>
      </w:pPr>
      <w:r w:rsidRPr="00A16691">
        <w:rPr>
          <w:rStyle w:val="FootnoteReference"/>
          <w:rFonts w:cstheme="minorHAnsi"/>
          <w:sz w:val="18"/>
          <w:szCs w:val="18"/>
        </w:rPr>
        <w:footnoteRef/>
      </w:r>
      <w:r w:rsidRPr="00A16691">
        <w:rPr>
          <w:rFonts w:cstheme="minorHAnsi"/>
          <w:sz w:val="18"/>
          <w:szCs w:val="18"/>
        </w:rPr>
        <w:t xml:space="preserve"> New Zealand Ministry of Health and Health Promotion Agency</w:t>
      </w:r>
      <w:r>
        <w:rPr>
          <w:rFonts w:cstheme="minorHAnsi"/>
          <w:sz w:val="18"/>
          <w:szCs w:val="18"/>
        </w:rPr>
        <w:t>,</w:t>
      </w:r>
      <w:r w:rsidRPr="00A16691">
        <w:rPr>
          <w:rFonts w:cstheme="minorHAnsi"/>
          <w:sz w:val="18"/>
          <w:szCs w:val="18"/>
        </w:rPr>
        <w:t xml:space="preserve"> 2015</w:t>
      </w:r>
      <w:r>
        <w:rPr>
          <w:rFonts w:cstheme="minorHAnsi"/>
          <w:sz w:val="18"/>
          <w:szCs w:val="18"/>
        </w:rPr>
        <w:t>.</w:t>
      </w:r>
      <w:r w:rsidRPr="00A16691">
        <w:rPr>
          <w:rFonts w:cstheme="minorHAnsi"/>
          <w:sz w:val="18"/>
          <w:szCs w:val="18"/>
        </w:rPr>
        <w:t xml:space="preserve"> ‘</w:t>
      </w:r>
      <w:r w:rsidRPr="00A16691">
        <w:rPr>
          <w:rFonts w:cstheme="minorHAnsi"/>
          <w:i/>
          <w:sz w:val="18"/>
          <w:szCs w:val="18"/>
        </w:rPr>
        <w:t>Healthy eating, active living’</w:t>
      </w:r>
      <w:r w:rsidRPr="00A16691">
        <w:rPr>
          <w:rFonts w:cstheme="minorHAnsi"/>
          <w:sz w:val="18"/>
          <w:szCs w:val="18"/>
        </w:rPr>
        <w:t xml:space="preserve">. Available a </w:t>
      </w:r>
      <w:hyperlink r:id="rId52" w:history="1">
        <w:r w:rsidRPr="00A16691">
          <w:rPr>
            <w:rStyle w:val="Hyperlink"/>
            <w:rFonts w:cstheme="minorHAnsi"/>
            <w:sz w:val="18"/>
            <w:szCs w:val="18"/>
          </w:rPr>
          <w:t>HealthEd website</w:t>
        </w:r>
      </w:hyperlink>
      <w:r>
        <w:rPr>
          <w:rFonts w:cstheme="minorHAnsi"/>
          <w:sz w:val="18"/>
          <w:szCs w:val="18"/>
        </w:rPr>
        <w:t xml:space="preserve"> (accessed 26 April 2018).</w:t>
      </w:r>
    </w:p>
  </w:footnote>
  <w:footnote w:id="83">
    <w:p w14:paraId="1A29DCE2" w14:textId="51BE305E" w:rsidR="00AA37B6" w:rsidRPr="000F745A" w:rsidRDefault="00AA37B6" w:rsidP="002B3D81">
      <w:pPr>
        <w:pStyle w:val="FootnoteText"/>
        <w:spacing w:before="0" w:after="0"/>
        <w:rPr>
          <w:rFonts w:cstheme="minorHAnsi"/>
          <w:sz w:val="18"/>
          <w:szCs w:val="18"/>
        </w:rPr>
      </w:pPr>
      <w:r w:rsidRPr="00A16691">
        <w:rPr>
          <w:rStyle w:val="FootnoteReference"/>
          <w:rFonts w:cstheme="minorHAnsi"/>
          <w:sz w:val="18"/>
          <w:szCs w:val="18"/>
        </w:rPr>
        <w:footnoteRef/>
      </w:r>
      <w:r w:rsidRPr="00A16691">
        <w:rPr>
          <w:rFonts w:cstheme="minorHAnsi"/>
          <w:sz w:val="18"/>
          <w:szCs w:val="18"/>
        </w:rPr>
        <w:t xml:space="preserve"> New Zealand Heath Promotion Agency, n.d. ‘</w:t>
      </w:r>
      <w:r w:rsidRPr="00A16691">
        <w:rPr>
          <w:rFonts w:cstheme="minorHAnsi"/>
          <w:i/>
          <w:sz w:val="18"/>
          <w:szCs w:val="18"/>
        </w:rPr>
        <w:t>Nutrition and Activity’</w:t>
      </w:r>
      <w:r w:rsidRPr="00A16691">
        <w:rPr>
          <w:rFonts w:cstheme="minorHAnsi"/>
          <w:sz w:val="18"/>
          <w:szCs w:val="18"/>
        </w:rPr>
        <w:t xml:space="preserve">. Available at </w:t>
      </w:r>
      <w:hyperlink r:id="rId53" w:history="1">
        <w:r w:rsidRPr="00A16691">
          <w:rPr>
            <w:rStyle w:val="Hyperlink"/>
            <w:rFonts w:cstheme="minorHAnsi"/>
            <w:sz w:val="18"/>
            <w:szCs w:val="18"/>
          </w:rPr>
          <w:t>New Zealand Health Promotion Agency website</w:t>
        </w:r>
      </w:hyperlink>
      <w:r w:rsidRPr="000F745A">
        <w:rPr>
          <w:rStyle w:val="Hyperlink"/>
          <w:rFonts w:cstheme="minorHAnsi"/>
          <w:color w:val="auto"/>
          <w:sz w:val="18"/>
          <w:szCs w:val="18"/>
          <w:u w:val="none"/>
        </w:rPr>
        <w:t xml:space="preserve"> (accessed </w:t>
      </w:r>
      <w:r>
        <w:rPr>
          <w:rStyle w:val="Hyperlink"/>
          <w:rFonts w:cstheme="minorHAnsi"/>
          <w:color w:val="auto"/>
          <w:sz w:val="18"/>
          <w:szCs w:val="18"/>
          <w:u w:val="none"/>
        </w:rPr>
        <w:t>20 November 2018).</w:t>
      </w:r>
    </w:p>
  </w:footnote>
  <w:footnote w:id="84">
    <w:p w14:paraId="2D6A8748" w14:textId="69973A42" w:rsidR="00AA37B6" w:rsidRPr="00A16691" w:rsidRDefault="00AA37B6" w:rsidP="002B3D81">
      <w:pPr>
        <w:pStyle w:val="FootnoteText"/>
        <w:spacing w:before="0" w:after="0"/>
        <w:rPr>
          <w:rFonts w:cstheme="minorHAnsi"/>
          <w:sz w:val="18"/>
          <w:szCs w:val="18"/>
        </w:rPr>
      </w:pPr>
      <w:r w:rsidRPr="00A16691">
        <w:rPr>
          <w:rStyle w:val="FootnoteReference"/>
          <w:rFonts w:cstheme="minorHAnsi"/>
          <w:sz w:val="18"/>
          <w:szCs w:val="18"/>
        </w:rPr>
        <w:footnoteRef/>
      </w:r>
      <w:r w:rsidRPr="00A16691">
        <w:rPr>
          <w:rFonts w:cstheme="minorHAnsi"/>
          <w:sz w:val="18"/>
          <w:szCs w:val="18"/>
        </w:rPr>
        <w:t xml:space="preserve"> Coles, 2018. </w:t>
      </w:r>
      <w:r w:rsidRPr="000F745A">
        <w:rPr>
          <w:rFonts w:cstheme="minorHAnsi"/>
          <w:i/>
          <w:sz w:val="18"/>
          <w:szCs w:val="18"/>
        </w:rPr>
        <w:t>‘Magazine’</w:t>
      </w:r>
      <w:r>
        <w:rPr>
          <w:rFonts w:cstheme="minorHAnsi"/>
          <w:i/>
          <w:sz w:val="18"/>
          <w:szCs w:val="18"/>
        </w:rPr>
        <w:t>.</w:t>
      </w:r>
      <w:r w:rsidRPr="00A16691">
        <w:rPr>
          <w:rFonts w:cstheme="minorHAnsi"/>
          <w:sz w:val="18"/>
          <w:szCs w:val="18"/>
        </w:rPr>
        <w:t xml:space="preserve"> Available at: </w:t>
      </w:r>
      <w:hyperlink r:id="rId54" w:anchor="2018" w:history="1">
        <w:r w:rsidRPr="00A16691">
          <w:rPr>
            <w:rStyle w:val="Hyperlink"/>
            <w:rFonts w:cstheme="minorHAnsi"/>
            <w:sz w:val="18"/>
            <w:szCs w:val="18"/>
          </w:rPr>
          <w:t>Coles website</w:t>
        </w:r>
      </w:hyperlink>
      <w:r w:rsidRPr="00A16691">
        <w:rPr>
          <w:rFonts w:cstheme="minorHAnsi"/>
          <w:sz w:val="18"/>
          <w:szCs w:val="18"/>
        </w:rPr>
        <w:t xml:space="preserve"> (accessed 12 December 2018).</w:t>
      </w:r>
    </w:p>
  </w:footnote>
  <w:footnote w:id="85">
    <w:p w14:paraId="6AD494D8" w14:textId="77777777" w:rsidR="00AA37B6" w:rsidRPr="002B3D81" w:rsidRDefault="00AA37B6" w:rsidP="002B3D81">
      <w:pPr>
        <w:pStyle w:val="FootnoteText"/>
        <w:spacing w:before="0" w:after="0"/>
        <w:rPr>
          <w:rFonts w:ascii="Calibri Light" w:hAnsi="Calibri Light" w:cs="Calibri Light"/>
          <w:sz w:val="18"/>
          <w:szCs w:val="18"/>
        </w:rPr>
      </w:pPr>
      <w:r w:rsidRPr="00A16691">
        <w:rPr>
          <w:rStyle w:val="FootnoteReference"/>
          <w:rFonts w:cstheme="minorHAnsi"/>
          <w:sz w:val="18"/>
          <w:szCs w:val="18"/>
        </w:rPr>
        <w:footnoteRef/>
      </w:r>
      <w:r w:rsidRPr="00A16691">
        <w:rPr>
          <w:rFonts w:cstheme="minorHAnsi"/>
          <w:sz w:val="18"/>
          <w:szCs w:val="18"/>
        </w:rPr>
        <w:t xml:space="preserve"> Woolworths, 2018</w:t>
      </w:r>
      <w:r w:rsidRPr="000F745A">
        <w:rPr>
          <w:rFonts w:cstheme="minorHAnsi"/>
          <w:i/>
          <w:sz w:val="18"/>
          <w:szCs w:val="18"/>
        </w:rPr>
        <w:t>. ‘Making healthier choices easier: The Health Star Rating System’</w:t>
      </w:r>
      <w:r w:rsidRPr="00A16691">
        <w:rPr>
          <w:rFonts w:cstheme="minorHAnsi"/>
          <w:sz w:val="18"/>
          <w:szCs w:val="18"/>
        </w:rPr>
        <w:t xml:space="preserve">. Available at: </w:t>
      </w:r>
      <w:hyperlink r:id="rId55" w:history="1">
        <w:r w:rsidRPr="00A16691">
          <w:rPr>
            <w:rStyle w:val="Hyperlink"/>
            <w:rFonts w:cstheme="minorHAnsi"/>
            <w:sz w:val="18"/>
            <w:szCs w:val="18"/>
          </w:rPr>
          <w:t>Woolworths website</w:t>
        </w:r>
      </w:hyperlink>
      <w:r w:rsidRPr="00A16691">
        <w:rPr>
          <w:rFonts w:cstheme="minorHAnsi"/>
          <w:sz w:val="18"/>
          <w:szCs w:val="18"/>
        </w:rPr>
        <w:t xml:space="preserve"> (accessed 12 December 2018).</w:t>
      </w:r>
    </w:p>
  </w:footnote>
  <w:footnote w:id="86">
    <w:p w14:paraId="2AD9FAE2" w14:textId="1E20FDD2" w:rsidR="00AA37B6" w:rsidRPr="005E6C7F" w:rsidRDefault="00AA37B6" w:rsidP="002B3D81">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Government of Canada, 2017. ‘</w:t>
      </w:r>
      <w:r w:rsidRPr="005E6C7F">
        <w:rPr>
          <w:rFonts w:cstheme="minorHAnsi"/>
          <w:i/>
          <w:sz w:val="18"/>
          <w:szCs w:val="18"/>
        </w:rPr>
        <w:t>Food labelling changes’</w:t>
      </w:r>
      <w:r>
        <w:rPr>
          <w:rFonts w:cstheme="minorHAnsi"/>
          <w:i/>
          <w:sz w:val="18"/>
          <w:szCs w:val="18"/>
        </w:rPr>
        <w:t>.</w:t>
      </w:r>
      <w:r w:rsidRPr="005E6C7F">
        <w:rPr>
          <w:rFonts w:cstheme="minorHAnsi"/>
          <w:i/>
          <w:sz w:val="18"/>
          <w:szCs w:val="18"/>
        </w:rPr>
        <w:t xml:space="preserve"> </w:t>
      </w:r>
      <w:r w:rsidRPr="005E6C7F">
        <w:rPr>
          <w:rFonts w:cstheme="minorHAnsi"/>
          <w:sz w:val="18"/>
          <w:szCs w:val="18"/>
        </w:rPr>
        <w:t xml:space="preserve">Available at: </w:t>
      </w:r>
      <w:hyperlink r:id="rId56" w:history="1">
        <w:r w:rsidRPr="0088602C">
          <w:rPr>
            <w:rStyle w:val="Hyperlink"/>
            <w:rFonts w:cstheme="minorHAnsi"/>
            <w:sz w:val="18"/>
            <w:szCs w:val="18"/>
          </w:rPr>
          <w:t>Government of Canada website</w:t>
        </w:r>
      </w:hyperlink>
      <w:r w:rsidRPr="005E6C7F">
        <w:rPr>
          <w:rFonts w:cstheme="minorHAnsi"/>
          <w:sz w:val="18"/>
          <w:szCs w:val="18"/>
        </w:rPr>
        <w:t xml:space="preserve"> (accessed 2 January 2019).</w:t>
      </w:r>
    </w:p>
  </w:footnote>
  <w:footnote w:id="87">
    <w:p w14:paraId="67DE4FDA" w14:textId="61ABC810" w:rsidR="00AA37B6" w:rsidRPr="005E6C7F" w:rsidRDefault="00AA37B6" w:rsidP="002B3D81">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Food Standards Australia New Zealand, 2017. ‘</w:t>
      </w:r>
      <w:r w:rsidRPr="005E6C7F">
        <w:rPr>
          <w:rFonts w:cstheme="minorHAnsi"/>
          <w:i/>
          <w:sz w:val="18"/>
          <w:szCs w:val="18"/>
        </w:rPr>
        <w:t>Literature review on consumer knowledge, attitudes and behaviours relating to sugars and food labelling’</w:t>
      </w:r>
      <w:r>
        <w:rPr>
          <w:rFonts w:cstheme="minorHAnsi"/>
          <w:sz w:val="18"/>
          <w:szCs w:val="18"/>
        </w:rPr>
        <w:t xml:space="preserve">. </w:t>
      </w:r>
      <w:r w:rsidRPr="005E6C7F">
        <w:rPr>
          <w:rFonts w:cstheme="minorHAnsi"/>
          <w:sz w:val="18"/>
          <w:szCs w:val="18"/>
        </w:rPr>
        <w:t xml:space="preserve">Available at: </w:t>
      </w:r>
      <w:hyperlink r:id="rId57" w:history="1">
        <w:r w:rsidRPr="005E6C7F">
          <w:rPr>
            <w:rStyle w:val="Hyperlink"/>
            <w:rFonts w:cstheme="minorHAnsi"/>
            <w:sz w:val="18"/>
            <w:szCs w:val="18"/>
          </w:rPr>
          <w:t>Food Regulation website</w:t>
        </w:r>
      </w:hyperlink>
      <w:r w:rsidRPr="005E6C7F">
        <w:rPr>
          <w:rFonts w:cstheme="minorHAnsi"/>
          <w:sz w:val="18"/>
          <w:szCs w:val="18"/>
        </w:rPr>
        <w:t xml:space="preserve"> (accessed 4 April 2018)</w:t>
      </w:r>
      <w:r>
        <w:rPr>
          <w:rFonts w:cstheme="minorHAnsi"/>
          <w:sz w:val="18"/>
          <w:szCs w:val="18"/>
        </w:rPr>
        <w:t>.</w:t>
      </w:r>
    </w:p>
  </w:footnote>
  <w:footnote w:id="88">
    <w:p w14:paraId="5FA3CC8D" w14:textId="0BAEAD9A" w:rsidR="00AA37B6" w:rsidRPr="002D02F0" w:rsidRDefault="00AA37B6" w:rsidP="002B3D81">
      <w:pPr>
        <w:pStyle w:val="FootnoteText"/>
        <w:spacing w:before="0" w:after="0"/>
      </w:pPr>
      <w:r w:rsidRPr="005E6C7F">
        <w:rPr>
          <w:rStyle w:val="FootnoteReference"/>
          <w:rFonts w:cstheme="minorHAnsi"/>
          <w:sz w:val="18"/>
          <w:szCs w:val="18"/>
        </w:rPr>
        <w:footnoteRef/>
      </w:r>
      <w:r w:rsidRPr="005E6C7F">
        <w:rPr>
          <w:rFonts w:cstheme="minorHAnsi"/>
          <w:sz w:val="18"/>
          <w:szCs w:val="18"/>
        </w:rPr>
        <w:t xml:space="preserve"> Government of Canada, 2017. ‘</w:t>
      </w:r>
      <w:r w:rsidRPr="005E6C7F">
        <w:rPr>
          <w:rFonts w:cstheme="minorHAnsi"/>
          <w:i/>
          <w:sz w:val="18"/>
          <w:szCs w:val="18"/>
        </w:rPr>
        <w:t>Food labelling changes’</w:t>
      </w:r>
      <w:r>
        <w:rPr>
          <w:rFonts w:cstheme="minorHAnsi"/>
          <w:i/>
          <w:sz w:val="18"/>
          <w:szCs w:val="18"/>
        </w:rPr>
        <w:t>.</w:t>
      </w:r>
      <w:r w:rsidRPr="005E6C7F">
        <w:rPr>
          <w:rFonts w:cstheme="minorHAnsi"/>
          <w:i/>
          <w:sz w:val="18"/>
          <w:szCs w:val="18"/>
        </w:rPr>
        <w:t xml:space="preserve"> </w:t>
      </w:r>
      <w:r w:rsidRPr="005E6C7F">
        <w:rPr>
          <w:rFonts w:cstheme="minorHAnsi"/>
          <w:sz w:val="18"/>
          <w:szCs w:val="18"/>
        </w:rPr>
        <w:t xml:space="preserve">Available at: </w:t>
      </w:r>
      <w:hyperlink r:id="rId58" w:history="1">
        <w:r w:rsidRPr="0088602C">
          <w:rPr>
            <w:rStyle w:val="Hyperlink"/>
            <w:rFonts w:cstheme="minorHAnsi"/>
            <w:sz w:val="18"/>
            <w:szCs w:val="18"/>
          </w:rPr>
          <w:t>Government of Canada website</w:t>
        </w:r>
      </w:hyperlink>
      <w:r w:rsidRPr="005E6C7F">
        <w:rPr>
          <w:rFonts w:cstheme="minorHAnsi"/>
          <w:sz w:val="18"/>
          <w:szCs w:val="18"/>
        </w:rPr>
        <w:t xml:space="preserve"> (accessed 2 January 2019).</w:t>
      </w:r>
    </w:p>
  </w:footnote>
  <w:footnote w:id="89">
    <w:p w14:paraId="34A8949D" w14:textId="08E8EDEB" w:rsidR="00AA37B6" w:rsidRPr="005E6C7F" w:rsidRDefault="00AA37B6" w:rsidP="002B3D81">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Food Standards Australia New Zealand, 2017. ‘</w:t>
      </w:r>
      <w:r w:rsidRPr="005E6C7F">
        <w:rPr>
          <w:rFonts w:cstheme="minorHAnsi"/>
          <w:i/>
          <w:sz w:val="18"/>
          <w:szCs w:val="18"/>
        </w:rPr>
        <w:t>Literature review on consumer knowledge, attitudes and behaviours relating to sugars and food labelling’</w:t>
      </w:r>
      <w:r>
        <w:rPr>
          <w:rFonts w:cstheme="minorHAnsi"/>
          <w:sz w:val="18"/>
          <w:szCs w:val="18"/>
        </w:rPr>
        <w:t xml:space="preserve">. </w:t>
      </w:r>
      <w:r w:rsidRPr="005E6C7F">
        <w:rPr>
          <w:rFonts w:cstheme="minorHAnsi"/>
          <w:sz w:val="18"/>
          <w:szCs w:val="18"/>
        </w:rPr>
        <w:t xml:space="preserve">Available at: </w:t>
      </w:r>
      <w:hyperlink r:id="rId59" w:history="1">
        <w:r w:rsidRPr="005E6C7F">
          <w:rPr>
            <w:rStyle w:val="Hyperlink"/>
            <w:rFonts w:cstheme="minorHAnsi"/>
            <w:sz w:val="18"/>
            <w:szCs w:val="18"/>
          </w:rPr>
          <w:t>Food Regulation website</w:t>
        </w:r>
      </w:hyperlink>
      <w:r w:rsidRPr="005E6C7F">
        <w:rPr>
          <w:rFonts w:cstheme="minorHAnsi"/>
          <w:sz w:val="18"/>
          <w:szCs w:val="18"/>
        </w:rPr>
        <w:t xml:space="preserve"> (accessed 4 April 2018)</w:t>
      </w:r>
      <w:r>
        <w:rPr>
          <w:rFonts w:cstheme="minorHAnsi"/>
          <w:sz w:val="18"/>
          <w:szCs w:val="18"/>
        </w:rPr>
        <w:t>.</w:t>
      </w:r>
    </w:p>
  </w:footnote>
  <w:footnote w:id="90">
    <w:p w14:paraId="368ADB49" w14:textId="04260CB0" w:rsidR="00AA37B6" w:rsidRPr="005E6C7F" w:rsidRDefault="00AA37B6" w:rsidP="002B3D81">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Food Standards Australia New Zealand, 2017. ‘</w:t>
      </w:r>
      <w:r w:rsidRPr="005E6C7F">
        <w:rPr>
          <w:rFonts w:cstheme="minorHAnsi"/>
          <w:i/>
          <w:sz w:val="18"/>
          <w:szCs w:val="18"/>
        </w:rPr>
        <w:t>Literature review on consumer knowledge, attitudes and behaviours relating to sugars and food labelling’</w:t>
      </w:r>
      <w:r>
        <w:rPr>
          <w:rFonts w:cstheme="minorHAnsi"/>
          <w:sz w:val="18"/>
          <w:szCs w:val="18"/>
        </w:rPr>
        <w:t xml:space="preserve">. </w:t>
      </w:r>
      <w:r w:rsidRPr="005E6C7F">
        <w:rPr>
          <w:rFonts w:cstheme="minorHAnsi"/>
          <w:sz w:val="18"/>
          <w:szCs w:val="18"/>
        </w:rPr>
        <w:t xml:space="preserve">Available at: </w:t>
      </w:r>
      <w:hyperlink r:id="rId60" w:history="1">
        <w:r w:rsidRPr="005E6C7F">
          <w:rPr>
            <w:rStyle w:val="Hyperlink"/>
            <w:rFonts w:cstheme="minorHAnsi"/>
            <w:sz w:val="18"/>
            <w:szCs w:val="18"/>
          </w:rPr>
          <w:t>Food Regulation website</w:t>
        </w:r>
      </w:hyperlink>
      <w:r w:rsidRPr="005E6C7F">
        <w:rPr>
          <w:rFonts w:cstheme="minorHAnsi"/>
          <w:sz w:val="18"/>
          <w:szCs w:val="18"/>
        </w:rPr>
        <w:t xml:space="preserve"> (accessed 4 April 2018)</w:t>
      </w:r>
      <w:r>
        <w:rPr>
          <w:rFonts w:cstheme="minorHAnsi"/>
          <w:sz w:val="18"/>
          <w:szCs w:val="18"/>
        </w:rPr>
        <w:t>.</w:t>
      </w:r>
    </w:p>
  </w:footnote>
  <w:footnote w:id="91">
    <w:p w14:paraId="4C5219C6" w14:textId="7175634A" w:rsidR="00AA37B6" w:rsidRPr="005E6C7F" w:rsidRDefault="00AA37B6" w:rsidP="002B3D81">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CHOICE Australia, 2018. </w:t>
      </w:r>
      <w:r w:rsidRPr="005E6C7F">
        <w:rPr>
          <w:rFonts w:cstheme="minorHAnsi"/>
          <w:i/>
          <w:sz w:val="18"/>
          <w:szCs w:val="18"/>
        </w:rPr>
        <w:t>People’s choice on sugar labelling.</w:t>
      </w:r>
      <w:r w:rsidRPr="005E6C7F">
        <w:rPr>
          <w:rFonts w:cstheme="minorHAnsi"/>
          <w:sz w:val="18"/>
          <w:szCs w:val="18"/>
        </w:rPr>
        <w:t xml:space="preserve"> Available at: </w:t>
      </w:r>
      <w:hyperlink r:id="rId61" w:history="1">
        <w:r w:rsidRPr="005E6C7F">
          <w:rPr>
            <w:rStyle w:val="Hyperlink"/>
            <w:rFonts w:cstheme="minorHAnsi"/>
            <w:sz w:val="18"/>
            <w:szCs w:val="18"/>
          </w:rPr>
          <w:t>CHOICE website</w:t>
        </w:r>
      </w:hyperlink>
      <w:r w:rsidRPr="005E6C7F">
        <w:rPr>
          <w:rFonts w:cstheme="minorHAnsi"/>
          <w:sz w:val="18"/>
          <w:szCs w:val="18"/>
        </w:rPr>
        <w:t xml:space="preserve"> (accessed 13 November 2018)</w:t>
      </w:r>
      <w:r>
        <w:rPr>
          <w:rFonts w:cstheme="minorHAnsi"/>
          <w:sz w:val="18"/>
          <w:szCs w:val="18"/>
        </w:rPr>
        <w:t>.</w:t>
      </w:r>
    </w:p>
  </w:footnote>
  <w:footnote w:id="92">
    <w:p w14:paraId="0D83D293" w14:textId="61ABB735" w:rsidR="00AA37B6" w:rsidRPr="005E6C7F" w:rsidRDefault="00AA37B6" w:rsidP="002B3D81">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United States Food and Drug Administration, 2018. </w:t>
      </w:r>
      <w:r w:rsidRPr="005E6C7F">
        <w:rPr>
          <w:rFonts w:cstheme="minorHAnsi"/>
          <w:i/>
          <w:sz w:val="18"/>
          <w:szCs w:val="18"/>
        </w:rPr>
        <w:t>Changes to the Nutrition Facts Label</w:t>
      </w:r>
      <w:r w:rsidRPr="005E6C7F">
        <w:rPr>
          <w:rFonts w:cstheme="minorHAnsi"/>
          <w:sz w:val="18"/>
          <w:szCs w:val="18"/>
        </w:rPr>
        <w:t xml:space="preserve">. Available at: </w:t>
      </w:r>
      <w:hyperlink r:id="rId62" w:history="1">
        <w:r w:rsidRPr="005E6C7F">
          <w:rPr>
            <w:rStyle w:val="Hyperlink"/>
            <w:rFonts w:cstheme="minorHAnsi"/>
            <w:sz w:val="18"/>
            <w:szCs w:val="18"/>
          </w:rPr>
          <w:t>United States Food and Drug Administration website</w:t>
        </w:r>
      </w:hyperlink>
      <w:r>
        <w:rPr>
          <w:rFonts w:cstheme="minorHAnsi"/>
          <w:sz w:val="18"/>
          <w:szCs w:val="18"/>
        </w:rPr>
        <w:t xml:space="preserve"> (accessed 19 November 2018).</w:t>
      </w:r>
    </w:p>
  </w:footnote>
  <w:footnote w:id="93">
    <w:p w14:paraId="2A1626B0" w14:textId="37B574A1" w:rsidR="00AA37B6" w:rsidRPr="005E6C7F" w:rsidRDefault="00AA37B6" w:rsidP="002B3D81">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Englyst, K.</w:t>
      </w:r>
      <w:r>
        <w:rPr>
          <w:rFonts w:cstheme="minorHAnsi"/>
          <w:sz w:val="18"/>
          <w:szCs w:val="18"/>
        </w:rPr>
        <w:t xml:space="preserve"> </w:t>
      </w:r>
      <w:r w:rsidRPr="005E6C7F">
        <w:rPr>
          <w:rFonts w:cstheme="minorHAnsi"/>
          <w:sz w:val="18"/>
          <w:szCs w:val="18"/>
        </w:rPr>
        <w:t xml:space="preserve">N., Liu, S. </w:t>
      </w:r>
      <w:r>
        <w:rPr>
          <w:rFonts w:cstheme="minorHAnsi"/>
          <w:sz w:val="18"/>
          <w:szCs w:val="18"/>
        </w:rPr>
        <w:t>&amp;</w:t>
      </w:r>
      <w:r w:rsidRPr="005E6C7F">
        <w:rPr>
          <w:rFonts w:cstheme="minorHAnsi"/>
          <w:sz w:val="18"/>
          <w:szCs w:val="18"/>
        </w:rPr>
        <w:t xml:space="preserve"> Englyst</w:t>
      </w:r>
      <w:r>
        <w:rPr>
          <w:rFonts w:cstheme="minorHAnsi"/>
          <w:sz w:val="18"/>
          <w:szCs w:val="18"/>
        </w:rPr>
        <w:t>,</w:t>
      </w:r>
      <w:r w:rsidRPr="005E6C7F">
        <w:rPr>
          <w:rFonts w:cstheme="minorHAnsi"/>
          <w:sz w:val="18"/>
          <w:szCs w:val="18"/>
        </w:rPr>
        <w:t xml:space="preserve"> H.</w:t>
      </w:r>
      <w:r>
        <w:rPr>
          <w:rFonts w:cstheme="minorHAnsi"/>
          <w:sz w:val="18"/>
          <w:szCs w:val="18"/>
        </w:rPr>
        <w:t xml:space="preserve"> </w:t>
      </w:r>
      <w:r w:rsidRPr="005E6C7F">
        <w:rPr>
          <w:rFonts w:cstheme="minorHAnsi"/>
          <w:sz w:val="18"/>
          <w:szCs w:val="18"/>
        </w:rPr>
        <w:t>N.</w:t>
      </w:r>
      <w:r>
        <w:rPr>
          <w:rFonts w:cstheme="minorHAnsi"/>
          <w:sz w:val="18"/>
          <w:szCs w:val="18"/>
        </w:rPr>
        <w:t>, 2007.</w:t>
      </w:r>
      <w:r w:rsidRPr="005E6C7F">
        <w:rPr>
          <w:rFonts w:cstheme="minorHAnsi"/>
          <w:sz w:val="18"/>
          <w:szCs w:val="18"/>
        </w:rPr>
        <w:t xml:space="preserve"> ‘Nutritional characterization and measurement of dietary carbohydrates’. </w:t>
      </w:r>
      <w:r w:rsidRPr="005E6C7F">
        <w:rPr>
          <w:rFonts w:cstheme="minorHAnsi"/>
          <w:i/>
          <w:sz w:val="18"/>
          <w:szCs w:val="18"/>
        </w:rPr>
        <w:t xml:space="preserve">European Journal of Clinical Nutrition, </w:t>
      </w:r>
      <w:r w:rsidRPr="00836487">
        <w:rPr>
          <w:rFonts w:cstheme="minorHAnsi"/>
          <w:sz w:val="18"/>
          <w:szCs w:val="18"/>
        </w:rPr>
        <w:t xml:space="preserve">61: </w:t>
      </w:r>
      <w:r>
        <w:rPr>
          <w:rFonts w:cstheme="minorHAnsi"/>
          <w:sz w:val="18"/>
          <w:szCs w:val="18"/>
        </w:rPr>
        <w:t>p.</w:t>
      </w:r>
      <w:r w:rsidRPr="00836487">
        <w:rPr>
          <w:rFonts w:cstheme="minorHAnsi"/>
          <w:sz w:val="18"/>
          <w:szCs w:val="18"/>
        </w:rPr>
        <w:t>S19-S39</w:t>
      </w:r>
      <w:r>
        <w:rPr>
          <w:rFonts w:cstheme="minorHAnsi"/>
          <w:i/>
          <w:sz w:val="18"/>
          <w:szCs w:val="18"/>
        </w:rPr>
        <w:t>.</w:t>
      </w:r>
    </w:p>
  </w:footnote>
  <w:footnote w:id="94">
    <w:p w14:paraId="658E590A" w14:textId="7644932A" w:rsidR="00AA37B6" w:rsidRPr="00D76C49" w:rsidRDefault="00AA37B6" w:rsidP="00696D94">
      <w:pPr>
        <w:pStyle w:val="FootnoteText"/>
        <w:spacing w:before="0" w:after="0"/>
        <w:rPr>
          <w:sz w:val="16"/>
          <w:szCs w:val="16"/>
        </w:rPr>
      </w:pPr>
      <w:r w:rsidRPr="005E6C7F">
        <w:rPr>
          <w:rStyle w:val="FootnoteReference"/>
          <w:rFonts w:cstheme="minorHAnsi"/>
          <w:sz w:val="18"/>
          <w:szCs w:val="18"/>
        </w:rPr>
        <w:footnoteRef/>
      </w:r>
      <w:r w:rsidRPr="005E6C7F">
        <w:rPr>
          <w:rFonts w:cstheme="minorHAnsi"/>
          <w:sz w:val="18"/>
          <w:szCs w:val="18"/>
        </w:rPr>
        <w:t xml:space="preserve"> Food Standards Australia New Zealand, 2017. ‘</w:t>
      </w:r>
      <w:r w:rsidRPr="005E6C7F">
        <w:rPr>
          <w:rFonts w:cstheme="minorHAnsi"/>
          <w:i/>
          <w:sz w:val="18"/>
          <w:szCs w:val="18"/>
        </w:rPr>
        <w:t>Literature review on consumer knowledge, attitudes and behaviours relating to sugars and food labelling’</w:t>
      </w:r>
      <w:r w:rsidRPr="005E6C7F">
        <w:rPr>
          <w:rFonts w:cstheme="minorHAnsi"/>
          <w:sz w:val="18"/>
          <w:szCs w:val="18"/>
        </w:rPr>
        <w:t xml:space="preserve">. Available at: </w:t>
      </w:r>
      <w:hyperlink r:id="rId63" w:history="1">
        <w:r w:rsidRPr="005E6C7F">
          <w:rPr>
            <w:rStyle w:val="Hyperlink"/>
            <w:rFonts w:cstheme="minorHAnsi"/>
            <w:sz w:val="18"/>
            <w:szCs w:val="18"/>
          </w:rPr>
          <w:t>Food Regulation website</w:t>
        </w:r>
      </w:hyperlink>
      <w:r w:rsidRPr="005E6C7F">
        <w:rPr>
          <w:rFonts w:cstheme="minorHAnsi"/>
          <w:sz w:val="18"/>
          <w:szCs w:val="18"/>
        </w:rPr>
        <w:t xml:space="preserve"> (accessed 4 April 2018)</w:t>
      </w:r>
      <w:r>
        <w:rPr>
          <w:rFonts w:cstheme="minorHAnsi"/>
          <w:sz w:val="18"/>
          <w:szCs w:val="18"/>
        </w:rPr>
        <w:t>.</w:t>
      </w:r>
    </w:p>
  </w:footnote>
  <w:footnote w:id="95">
    <w:p w14:paraId="0AD48009" w14:textId="4D29A631" w:rsidR="00AA37B6" w:rsidRPr="005E6C7F" w:rsidRDefault="00AA37B6" w:rsidP="00696D94">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w:t>
      </w:r>
      <w:r w:rsidRPr="005E6C7F">
        <w:rPr>
          <w:rFonts w:cstheme="minorHAnsi"/>
          <w:sz w:val="18"/>
          <w:szCs w:val="18"/>
          <w:shd w:val="clear" w:color="auto" w:fill="FFFFFF"/>
        </w:rPr>
        <w:t>Laquatra, I.</w:t>
      </w:r>
      <w:r>
        <w:rPr>
          <w:rFonts w:cstheme="minorHAnsi"/>
          <w:sz w:val="18"/>
          <w:szCs w:val="18"/>
          <w:shd w:val="clear" w:color="auto" w:fill="FFFFFF"/>
        </w:rPr>
        <w:t xml:space="preserve">, </w:t>
      </w:r>
      <w:r w:rsidRPr="005E6C7F">
        <w:rPr>
          <w:rFonts w:cstheme="minorHAnsi"/>
          <w:sz w:val="18"/>
          <w:szCs w:val="18"/>
          <w:shd w:val="clear" w:color="auto" w:fill="FFFFFF"/>
        </w:rPr>
        <w:t>et a</w:t>
      </w:r>
      <w:r>
        <w:rPr>
          <w:rFonts w:cstheme="minorHAnsi"/>
          <w:sz w:val="18"/>
          <w:szCs w:val="18"/>
          <w:shd w:val="clear" w:color="auto" w:fill="FFFFFF"/>
        </w:rPr>
        <w:t>l,</w:t>
      </w:r>
      <w:r w:rsidRPr="005E6C7F">
        <w:rPr>
          <w:rFonts w:cstheme="minorHAnsi"/>
          <w:sz w:val="18"/>
          <w:szCs w:val="18"/>
          <w:shd w:val="clear" w:color="auto" w:fill="FFFFFF"/>
        </w:rPr>
        <w:t xml:space="preserve"> 2015. ‘Including “added sugars” on the Nutrition Facts panel: how consumers perceive the proposed change’. </w:t>
      </w:r>
      <w:r w:rsidRPr="005E6C7F">
        <w:rPr>
          <w:rFonts w:cstheme="minorHAnsi"/>
          <w:i/>
          <w:sz w:val="18"/>
          <w:szCs w:val="18"/>
          <w:shd w:val="clear" w:color="auto" w:fill="FFFFFF"/>
        </w:rPr>
        <w:t>Journal of the Academy of Nutrition and Dietetics</w:t>
      </w:r>
      <w:r>
        <w:rPr>
          <w:rFonts w:cstheme="minorHAnsi"/>
          <w:sz w:val="18"/>
          <w:szCs w:val="18"/>
          <w:shd w:val="clear" w:color="auto" w:fill="FFFFFF"/>
        </w:rPr>
        <w:t>, 115(11): p</w:t>
      </w:r>
      <w:r w:rsidRPr="005E6C7F">
        <w:rPr>
          <w:rFonts w:cstheme="minorHAnsi"/>
          <w:sz w:val="18"/>
          <w:szCs w:val="18"/>
          <w:shd w:val="clear" w:color="auto" w:fill="FFFFFF"/>
        </w:rPr>
        <w:t>1758-1763</w:t>
      </w:r>
      <w:r>
        <w:rPr>
          <w:rFonts w:cstheme="minorHAnsi"/>
          <w:sz w:val="18"/>
          <w:szCs w:val="18"/>
          <w:shd w:val="clear" w:color="auto" w:fill="FFFFFF"/>
        </w:rPr>
        <w:t>.</w:t>
      </w:r>
    </w:p>
  </w:footnote>
  <w:footnote w:id="96">
    <w:p w14:paraId="15408841" w14:textId="4AF4953F" w:rsidR="00AA37B6" w:rsidRPr="005E6C7F" w:rsidRDefault="00AA37B6" w:rsidP="00696D94">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w:t>
      </w:r>
      <w:r w:rsidRPr="005E6C7F">
        <w:rPr>
          <w:rFonts w:cstheme="minorHAnsi"/>
          <w:sz w:val="18"/>
          <w:szCs w:val="18"/>
          <w:shd w:val="clear" w:color="auto" w:fill="FFFFFF"/>
        </w:rPr>
        <w:t>Laquatra, I.</w:t>
      </w:r>
      <w:r>
        <w:rPr>
          <w:rFonts w:cstheme="minorHAnsi"/>
          <w:sz w:val="18"/>
          <w:szCs w:val="18"/>
          <w:shd w:val="clear" w:color="auto" w:fill="FFFFFF"/>
        </w:rPr>
        <w:t xml:space="preserve">, </w:t>
      </w:r>
      <w:r w:rsidRPr="005E6C7F">
        <w:rPr>
          <w:rFonts w:cstheme="minorHAnsi"/>
          <w:sz w:val="18"/>
          <w:szCs w:val="18"/>
          <w:shd w:val="clear" w:color="auto" w:fill="FFFFFF"/>
        </w:rPr>
        <w:t>et a</w:t>
      </w:r>
      <w:r>
        <w:rPr>
          <w:rFonts w:cstheme="minorHAnsi"/>
          <w:sz w:val="18"/>
          <w:szCs w:val="18"/>
          <w:shd w:val="clear" w:color="auto" w:fill="FFFFFF"/>
        </w:rPr>
        <w:t>l,</w:t>
      </w:r>
      <w:r w:rsidRPr="005E6C7F">
        <w:rPr>
          <w:rFonts w:cstheme="minorHAnsi"/>
          <w:sz w:val="18"/>
          <w:szCs w:val="18"/>
          <w:shd w:val="clear" w:color="auto" w:fill="FFFFFF"/>
        </w:rPr>
        <w:t xml:space="preserve"> 2015. ‘Including “added sugars” on the Nutrition Facts panel: how consumers perceive the proposed change’. </w:t>
      </w:r>
      <w:r w:rsidRPr="005E6C7F">
        <w:rPr>
          <w:rFonts w:cstheme="minorHAnsi"/>
          <w:i/>
          <w:sz w:val="18"/>
          <w:szCs w:val="18"/>
          <w:shd w:val="clear" w:color="auto" w:fill="FFFFFF"/>
        </w:rPr>
        <w:t>Journal of the Academy of Nutrition and Dietetics</w:t>
      </w:r>
      <w:r>
        <w:rPr>
          <w:rFonts w:cstheme="minorHAnsi"/>
          <w:sz w:val="18"/>
          <w:szCs w:val="18"/>
          <w:shd w:val="clear" w:color="auto" w:fill="FFFFFF"/>
        </w:rPr>
        <w:t>, 115(11): p</w:t>
      </w:r>
      <w:r w:rsidRPr="005E6C7F">
        <w:rPr>
          <w:rFonts w:cstheme="minorHAnsi"/>
          <w:sz w:val="18"/>
          <w:szCs w:val="18"/>
          <w:shd w:val="clear" w:color="auto" w:fill="FFFFFF"/>
        </w:rPr>
        <w:t>1758-1763</w:t>
      </w:r>
      <w:r>
        <w:rPr>
          <w:rFonts w:cstheme="minorHAnsi"/>
          <w:sz w:val="18"/>
          <w:szCs w:val="18"/>
          <w:shd w:val="clear" w:color="auto" w:fill="FFFFFF"/>
        </w:rPr>
        <w:t>.</w:t>
      </w:r>
    </w:p>
  </w:footnote>
  <w:footnote w:id="97">
    <w:p w14:paraId="42826F53" w14:textId="46CF8BBC" w:rsidR="00AA37B6" w:rsidRDefault="00AA37B6" w:rsidP="00696D94">
      <w:pPr>
        <w:pStyle w:val="FootnoteText"/>
        <w:spacing w:before="0" w:after="0"/>
      </w:pPr>
      <w:r w:rsidRPr="005E6C7F">
        <w:rPr>
          <w:rStyle w:val="FootnoteReference"/>
          <w:rFonts w:cstheme="minorHAnsi"/>
          <w:sz w:val="18"/>
          <w:szCs w:val="18"/>
        </w:rPr>
        <w:footnoteRef/>
      </w:r>
      <w:r w:rsidRPr="005E6C7F">
        <w:rPr>
          <w:rFonts w:cstheme="minorHAnsi"/>
          <w:sz w:val="18"/>
          <w:szCs w:val="18"/>
        </w:rPr>
        <w:t xml:space="preserve"> Food Standards Australia New Zealand, 2017. ‘</w:t>
      </w:r>
      <w:r w:rsidRPr="005E6C7F">
        <w:rPr>
          <w:rFonts w:cstheme="minorHAnsi"/>
          <w:i/>
          <w:sz w:val="18"/>
          <w:szCs w:val="18"/>
        </w:rPr>
        <w:t>Literature review on consumer knowledge, attitudes and behaviours relating to sugars and food labelling’</w:t>
      </w:r>
      <w:r w:rsidRPr="005E6C7F">
        <w:rPr>
          <w:rFonts w:cstheme="minorHAnsi"/>
          <w:sz w:val="18"/>
          <w:szCs w:val="18"/>
        </w:rPr>
        <w:t xml:space="preserve">. Available at: </w:t>
      </w:r>
      <w:hyperlink r:id="rId64" w:history="1">
        <w:r w:rsidRPr="005E6C7F">
          <w:rPr>
            <w:rStyle w:val="Hyperlink"/>
            <w:rFonts w:cstheme="minorHAnsi"/>
            <w:sz w:val="18"/>
            <w:szCs w:val="18"/>
          </w:rPr>
          <w:t>Food Regulation website</w:t>
        </w:r>
      </w:hyperlink>
      <w:r w:rsidRPr="005E6C7F">
        <w:rPr>
          <w:rFonts w:cstheme="minorHAnsi"/>
          <w:sz w:val="18"/>
          <w:szCs w:val="18"/>
        </w:rPr>
        <w:t xml:space="preserve"> (accessed 4 April 2018)</w:t>
      </w:r>
      <w:r>
        <w:rPr>
          <w:rFonts w:cstheme="minorHAnsi"/>
          <w:sz w:val="18"/>
          <w:szCs w:val="18"/>
        </w:rPr>
        <w:t>.</w:t>
      </w:r>
    </w:p>
  </w:footnote>
  <w:footnote w:id="98">
    <w:p w14:paraId="3693C52C" w14:textId="1F222452" w:rsidR="00AA37B6" w:rsidRPr="005E6C7F" w:rsidRDefault="00AA37B6" w:rsidP="00696D94">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Health Canada, 2016. ‘</w:t>
      </w:r>
      <w:r w:rsidRPr="005E6C7F">
        <w:rPr>
          <w:rFonts w:cstheme="minorHAnsi"/>
          <w:i/>
          <w:sz w:val="18"/>
          <w:szCs w:val="18"/>
        </w:rPr>
        <w:t>Toward Front-of-Package Nutrition Labels for Canadians-Consultation Document’</w:t>
      </w:r>
      <w:r w:rsidRPr="005E6C7F">
        <w:rPr>
          <w:rFonts w:cstheme="minorHAnsi"/>
          <w:sz w:val="18"/>
          <w:szCs w:val="18"/>
        </w:rPr>
        <w:t xml:space="preserve">. Available at: </w:t>
      </w:r>
      <w:hyperlink r:id="rId65" w:history="1">
        <w:r w:rsidRPr="005E6C7F">
          <w:rPr>
            <w:rStyle w:val="Hyperlink"/>
            <w:rFonts w:cstheme="minorHAnsi"/>
            <w:sz w:val="18"/>
            <w:szCs w:val="18"/>
          </w:rPr>
          <w:t>Health Canada</w:t>
        </w:r>
      </w:hyperlink>
      <w:r w:rsidRPr="005E6C7F">
        <w:rPr>
          <w:rFonts w:cstheme="minorHAnsi"/>
          <w:sz w:val="18"/>
          <w:szCs w:val="18"/>
        </w:rPr>
        <w:t xml:space="preserve"> (accessed 4 April 2018).</w:t>
      </w:r>
    </w:p>
  </w:footnote>
  <w:footnote w:id="99">
    <w:p w14:paraId="5E000658" w14:textId="6F12C401" w:rsidR="00AA37B6" w:rsidRPr="005E6C7F" w:rsidRDefault="00AA37B6" w:rsidP="00696D94">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Lumen Learning, n.d. </w:t>
      </w:r>
      <w:r w:rsidRPr="00836487">
        <w:rPr>
          <w:rFonts w:cstheme="minorHAnsi"/>
          <w:i/>
          <w:sz w:val="18"/>
          <w:szCs w:val="18"/>
        </w:rPr>
        <w:t>‘Reading: Symbols and Language’</w:t>
      </w:r>
      <w:r w:rsidRPr="005E6C7F">
        <w:rPr>
          <w:rFonts w:cstheme="minorHAnsi"/>
          <w:sz w:val="18"/>
          <w:szCs w:val="18"/>
        </w:rPr>
        <w:t xml:space="preserve">. Available at: </w:t>
      </w:r>
      <w:hyperlink r:id="rId66" w:history="1">
        <w:r w:rsidRPr="005E6C7F">
          <w:rPr>
            <w:rStyle w:val="Hyperlink"/>
            <w:rFonts w:cstheme="minorHAnsi"/>
            <w:sz w:val="18"/>
            <w:szCs w:val="18"/>
          </w:rPr>
          <w:t>Lumen website</w:t>
        </w:r>
      </w:hyperlink>
      <w:r w:rsidRPr="005E6C7F">
        <w:rPr>
          <w:rFonts w:cstheme="minorHAnsi"/>
          <w:sz w:val="18"/>
          <w:szCs w:val="18"/>
        </w:rPr>
        <w:t xml:space="preserve"> </w:t>
      </w:r>
      <w:r>
        <w:rPr>
          <w:rFonts w:cstheme="minorHAnsi"/>
          <w:sz w:val="18"/>
          <w:szCs w:val="18"/>
        </w:rPr>
        <w:t>(</w:t>
      </w:r>
      <w:r w:rsidRPr="005E6C7F">
        <w:rPr>
          <w:rFonts w:cstheme="minorHAnsi"/>
          <w:sz w:val="18"/>
          <w:szCs w:val="18"/>
        </w:rPr>
        <w:t>accessed 4 April 2018</w:t>
      </w:r>
      <w:r>
        <w:rPr>
          <w:rFonts w:cstheme="minorHAnsi"/>
          <w:sz w:val="18"/>
          <w:szCs w:val="18"/>
        </w:rPr>
        <w:t>)</w:t>
      </w:r>
      <w:r w:rsidRPr="005E6C7F">
        <w:rPr>
          <w:rFonts w:cstheme="minorHAnsi"/>
          <w:sz w:val="18"/>
          <w:szCs w:val="18"/>
        </w:rPr>
        <w:t>.</w:t>
      </w:r>
    </w:p>
  </w:footnote>
  <w:footnote w:id="100">
    <w:p w14:paraId="1F46FC68" w14:textId="4B9202C1" w:rsidR="00AA37B6" w:rsidRPr="005E6C7F" w:rsidRDefault="00AA37B6" w:rsidP="00696D94">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United Nations Children’s Fund (UNICEF), 2016. ‘</w:t>
      </w:r>
      <w:r w:rsidRPr="005E6C7F">
        <w:rPr>
          <w:rFonts w:cstheme="minorHAnsi"/>
          <w:i/>
          <w:sz w:val="18"/>
          <w:szCs w:val="18"/>
        </w:rPr>
        <w:t>Review of current labelling regulations and practices for food and beverage targeting children and adolescents in Latin America countries (Mexico, Chile, Costa Rica and Argentina) and recommendations for facilitating consumer information’</w:t>
      </w:r>
      <w:r w:rsidRPr="005E6C7F">
        <w:rPr>
          <w:rFonts w:cstheme="minorHAnsi"/>
          <w:sz w:val="18"/>
          <w:szCs w:val="18"/>
        </w:rPr>
        <w:t xml:space="preserve">. Available at: </w:t>
      </w:r>
      <w:hyperlink r:id="rId67" w:history="1">
        <w:r w:rsidRPr="005E6C7F">
          <w:rPr>
            <w:rStyle w:val="Hyperlink"/>
            <w:rFonts w:cstheme="minorHAnsi"/>
            <w:sz w:val="18"/>
            <w:szCs w:val="18"/>
          </w:rPr>
          <w:t>UNICEF website</w:t>
        </w:r>
      </w:hyperlink>
      <w:r w:rsidRPr="005E6C7F">
        <w:rPr>
          <w:rFonts w:cstheme="minorHAnsi"/>
          <w:sz w:val="18"/>
          <w:szCs w:val="18"/>
        </w:rPr>
        <w:t xml:space="preserve"> (accessed 3 April 2018).</w:t>
      </w:r>
    </w:p>
  </w:footnote>
  <w:footnote w:id="101">
    <w:p w14:paraId="64BF2B7E" w14:textId="2E66C26B" w:rsidR="00AA37B6" w:rsidRPr="005E6C7F" w:rsidRDefault="00AA37B6" w:rsidP="00696D94">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Food Standards Australia New Zealand, 2017. ‘</w:t>
      </w:r>
      <w:r w:rsidRPr="005E6C7F">
        <w:rPr>
          <w:rFonts w:cstheme="minorHAnsi"/>
          <w:i/>
          <w:sz w:val="18"/>
          <w:szCs w:val="18"/>
        </w:rPr>
        <w:t>Literature review on consumer knowledge, attitudes and behaviours relating to sugars and food labelling’</w:t>
      </w:r>
      <w:r w:rsidRPr="005E6C7F">
        <w:rPr>
          <w:rFonts w:cstheme="minorHAnsi"/>
          <w:sz w:val="18"/>
          <w:szCs w:val="18"/>
        </w:rPr>
        <w:t xml:space="preserve">. Available at: </w:t>
      </w:r>
      <w:hyperlink r:id="rId68" w:history="1">
        <w:r w:rsidRPr="005E6C7F">
          <w:rPr>
            <w:rStyle w:val="Hyperlink"/>
            <w:rFonts w:cstheme="minorHAnsi"/>
            <w:sz w:val="18"/>
            <w:szCs w:val="18"/>
          </w:rPr>
          <w:t>Food Regulation website</w:t>
        </w:r>
      </w:hyperlink>
      <w:r w:rsidRPr="005E6C7F">
        <w:rPr>
          <w:rFonts w:cstheme="minorHAnsi"/>
          <w:sz w:val="18"/>
          <w:szCs w:val="18"/>
        </w:rPr>
        <w:t xml:space="preserve"> (accessed 4 April 2018).</w:t>
      </w:r>
    </w:p>
  </w:footnote>
  <w:footnote w:id="102">
    <w:p w14:paraId="2F4F43F2" w14:textId="040E8B49" w:rsidR="00AA37B6" w:rsidRPr="005E6C7F" w:rsidRDefault="00AA37B6" w:rsidP="00696D94">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Food Standards Australia New Zealand, 2017. ‘</w:t>
      </w:r>
      <w:r w:rsidRPr="005E6C7F">
        <w:rPr>
          <w:rFonts w:cstheme="minorHAnsi"/>
          <w:i/>
          <w:sz w:val="18"/>
          <w:szCs w:val="18"/>
        </w:rPr>
        <w:t>Literature review on consumer knowledge, attitudes and behaviours relating to sugars and food labelling’</w:t>
      </w:r>
      <w:r>
        <w:rPr>
          <w:rFonts w:cstheme="minorHAnsi"/>
          <w:sz w:val="18"/>
          <w:szCs w:val="18"/>
        </w:rPr>
        <w:t xml:space="preserve">. </w:t>
      </w:r>
      <w:r w:rsidRPr="005E6C7F">
        <w:rPr>
          <w:rFonts w:cstheme="minorHAnsi"/>
          <w:sz w:val="18"/>
          <w:szCs w:val="18"/>
        </w:rPr>
        <w:t xml:space="preserve">Available at: </w:t>
      </w:r>
      <w:hyperlink r:id="rId69" w:history="1">
        <w:r w:rsidRPr="005E6C7F">
          <w:rPr>
            <w:rStyle w:val="Hyperlink"/>
            <w:rFonts w:cstheme="minorHAnsi"/>
            <w:sz w:val="18"/>
            <w:szCs w:val="18"/>
          </w:rPr>
          <w:t>Food Regulation website</w:t>
        </w:r>
      </w:hyperlink>
      <w:r w:rsidRPr="005E6C7F">
        <w:rPr>
          <w:rFonts w:cstheme="minorHAnsi"/>
          <w:sz w:val="18"/>
          <w:szCs w:val="18"/>
        </w:rPr>
        <w:t xml:space="preserve"> (accessed 4 April 2018).</w:t>
      </w:r>
    </w:p>
  </w:footnote>
  <w:footnote w:id="103">
    <w:p w14:paraId="6D06EE57" w14:textId="626D5C6F" w:rsidR="00AA37B6" w:rsidRDefault="00AA37B6" w:rsidP="00696D94">
      <w:pPr>
        <w:pStyle w:val="FootnoteText"/>
        <w:spacing w:before="0" w:after="0"/>
      </w:pPr>
      <w:r w:rsidRPr="005E6C7F">
        <w:rPr>
          <w:rStyle w:val="FootnoteReference"/>
          <w:rFonts w:cstheme="minorHAnsi"/>
          <w:sz w:val="18"/>
          <w:szCs w:val="18"/>
        </w:rPr>
        <w:footnoteRef/>
      </w:r>
      <w:r w:rsidRPr="005E6C7F">
        <w:rPr>
          <w:rFonts w:cstheme="minorHAnsi"/>
          <w:sz w:val="18"/>
          <w:szCs w:val="18"/>
        </w:rPr>
        <w:t xml:space="preserve"> United States Food and Drug Administration, 2018. </w:t>
      </w:r>
      <w:r>
        <w:rPr>
          <w:rFonts w:cstheme="minorHAnsi"/>
          <w:sz w:val="18"/>
          <w:szCs w:val="18"/>
        </w:rPr>
        <w:t>‘</w:t>
      </w:r>
      <w:r w:rsidRPr="005E6C7F">
        <w:rPr>
          <w:rFonts w:cstheme="minorHAnsi"/>
          <w:i/>
          <w:sz w:val="18"/>
          <w:szCs w:val="18"/>
        </w:rPr>
        <w:t>Changes to the Nutrition Facts Label</w:t>
      </w:r>
      <w:r>
        <w:rPr>
          <w:rFonts w:cstheme="minorHAnsi"/>
          <w:i/>
          <w:sz w:val="18"/>
          <w:szCs w:val="18"/>
        </w:rPr>
        <w:t>’</w:t>
      </w:r>
      <w:r w:rsidRPr="005E6C7F">
        <w:rPr>
          <w:rFonts w:cstheme="minorHAnsi"/>
          <w:sz w:val="18"/>
          <w:szCs w:val="18"/>
        </w:rPr>
        <w:t xml:space="preserve">. Available at: </w:t>
      </w:r>
      <w:hyperlink r:id="rId70" w:history="1">
        <w:r w:rsidRPr="005E6C7F">
          <w:rPr>
            <w:rStyle w:val="Hyperlink"/>
            <w:rFonts w:cstheme="minorHAnsi"/>
            <w:sz w:val="18"/>
            <w:szCs w:val="18"/>
          </w:rPr>
          <w:t>United States Food and Drug Administration website</w:t>
        </w:r>
      </w:hyperlink>
      <w:r w:rsidRPr="005E6C7F">
        <w:rPr>
          <w:rFonts w:cstheme="minorHAnsi"/>
          <w:sz w:val="18"/>
          <w:szCs w:val="18"/>
        </w:rPr>
        <w:t xml:space="preserve"> (accessed 19 November 2018).</w:t>
      </w:r>
    </w:p>
  </w:footnote>
  <w:footnote w:id="104">
    <w:p w14:paraId="3E8BF5A1" w14:textId="0E00FE4F" w:rsidR="00AA37B6" w:rsidRPr="005E6C7F" w:rsidRDefault="00AA37B6" w:rsidP="00696D94">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Health Canada, 2016. ‘</w:t>
      </w:r>
      <w:r w:rsidRPr="005E6C7F">
        <w:rPr>
          <w:rFonts w:cstheme="minorHAnsi"/>
          <w:i/>
          <w:sz w:val="18"/>
          <w:szCs w:val="18"/>
        </w:rPr>
        <w:t>Toward Front-of-Package Nutrition Labels for Canadians-Consultation Document’</w:t>
      </w:r>
      <w:r w:rsidRPr="005E6C7F">
        <w:rPr>
          <w:rFonts w:cstheme="minorHAnsi"/>
          <w:sz w:val="18"/>
          <w:szCs w:val="18"/>
        </w:rPr>
        <w:t xml:space="preserve">. Available at: </w:t>
      </w:r>
      <w:hyperlink r:id="rId71" w:history="1">
        <w:r w:rsidRPr="005E6C7F">
          <w:rPr>
            <w:rStyle w:val="Hyperlink"/>
            <w:rFonts w:cstheme="minorHAnsi"/>
            <w:sz w:val="18"/>
            <w:szCs w:val="18"/>
          </w:rPr>
          <w:t>Health Canada</w:t>
        </w:r>
      </w:hyperlink>
      <w:r w:rsidRPr="005E6C7F">
        <w:rPr>
          <w:rFonts w:cstheme="minorHAnsi"/>
          <w:sz w:val="18"/>
          <w:szCs w:val="18"/>
        </w:rPr>
        <w:t xml:space="preserve"> (accessed 4 April 2018).</w:t>
      </w:r>
    </w:p>
  </w:footnote>
  <w:footnote w:id="105">
    <w:p w14:paraId="45A081F9" w14:textId="0EFF020B" w:rsidR="00AA37B6" w:rsidRPr="005E6C7F" w:rsidRDefault="00AA37B6" w:rsidP="00696D94">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Food Standards Australia New Zealand, 2017. ‘</w:t>
      </w:r>
      <w:r w:rsidRPr="005E6C7F">
        <w:rPr>
          <w:rFonts w:cstheme="minorHAnsi"/>
          <w:i/>
          <w:sz w:val="18"/>
          <w:szCs w:val="18"/>
        </w:rPr>
        <w:t>Literature review on consumer knowledge, attitudes and behaviours relating to sugars and food labelling’</w:t>
      </w:r>
      <w:r w:rsidRPr="005E6C7F">
        <w:rPr>
          <w:rFonts w:cstheme="minorHAnsi"/>
          <w:sz w:val="18"/>
          <w:szCs w:val="18"/>
        </w:rPr>
        <w:t xml:space="preserve">. Available at: </w:t>
      </w:r>
      <w:hyperlink r:id="rId72" w:history="1">
        <w:r w:rsidRPr="005E6C7F">
          <w:rPr>
            <w:rStyle w:val="Hyperlink"/>
            <w:rFonts w:cstheme="minorHAnsi"/>
            <w:sz w:val="18"/>
            <w:szCs w:val="18"/>
          </w:rPr>
          <w:t>Food Regulation website</w:t>
        </w:r>
      </w:hyperlink>
      <w:r w:rsidRPr="005E6C7F">
        <w:rPr>
          <w:rFonts w:cstheme="minorHAnsi"/>
          <w:sz w:val="18"/>
          <w:szCs w:val="18"/>
        </w:rPr>
        <w:t xml:space="preserve"> (accessed 4 April 2018)</w:t>
      </w:r>
      <w:r>
        <w:rPr>
          <w:rFonts w:cstheme="minorHAnsi"/>
          <w:sz w:val="18"/>
          <w:szCs w:val="18"/>
        </w:rPr>
        <w:t>.</w:t>
      </w:r>
    </w:p>
  </w:footnote>
  <w:footnote w:id="106">
    <w:p w14:paraId="5A384B6F" w14:textId="1809B706" w:rsidR="00AA37B6" w:rsidRPr="005E6C7F" w:rsidRDefault="00AA37B6" w:rsidP="00696D94">
      <w:pPr>
        <w:pStyle w:val="FootnoteText"/>
        <w:spacing w:before="0" w:after="0"/>
        <w:rPr>
          <w:rFonts w:cstheme="minorHAnsi"/>
          <w:sz w:val="18"/>
          <w:szCs w:val="18"/>
          <w:lang w:val="en-NZ"/>
        </w:rPr>
      </w:pPr>
      <w:r w:rsidRPr="005E6C7F">
        <w:rPr>
          <w:rStyle w:val="FootnoteReference"/>
          <w:rFonts w:cstheme="minorHAnsi"/>
          <w:sz w:val="18"/>
          <w:szCs w:val="18"/>
        </w:rPr>
        <w:footnoteRef/>
      </w:r>
      <w:r w:rsidRPr="005E6C7F">
        <w:rPr>
          <w:rFonts w:cstheme="minorHAnsi"/>
          <w:sz w:val="18"/>
          <w:szCs w:val="18"/>
        </w:rPr>
        <w:t xml:space="preserve"> CHOICE Australia, 2018. </w:t>
      </w:r>
      <w:r>
        <w:rPr>
          <w:rFonts w:cstheme="minorHAnsi"/>
          <w:sz w:val="18"/>
          <w:szCs w:val="18"/>
        </w:rPr>
        <w:t>‘</w:t>
      </w:r>
      <w:r w:rsidRPr="005E6C7F">
        <w:rPr>
          <w:rFonts w:cstheme="minorHAnsi"/>
          <w:i/>
          <w:sz w:val="18"/>
          <w:szCs w:val="18"/>
        </w:rPr>
        <w:t>People’s choice on sugar labelling</w:t>
      </w:r>
      <w:r>
        <w:rPr>
          <w:rFonts w:cstheme="minorHAnsi"/>
          <w:i/>
          <w:sz w:val="18"/>
          <w:szCs w:val="18"/>
        </w:rPr>
        <w:t>’</w:t>
      </w:r>
      <w:r w:rsidRPr="005E6C7F">
        <w:rPr>
          <w:rFonts w:cstheme="minorHAnsi"/>
          <w:i/>
          <w:sz w:val="18"/>
          <w:szCs w:val="18"/>
        </w:rPr>
        <w:t>.</w:t>
      </w:r>
      <w:r w:rsidRPr="005E6C7F">
        <w:rPr>
          <w:rFonts w:cstheme="minorHAnsi"/>
          <w:sz w:val="18"/>
          <w:szCs w:val="18"/>
        </w:rPr>
        <w:t xml:space="preserve"> Available at: </w:t>
      </w:r>
      <w:hyperlink r:id="rId73" w:history="1">
        <w:r w:rsidRPr="005E6C7F">
          <w:rPr>
            <w:rStyle w:val="Hyperlink"/>
            <w:rFonts w:cstheme="minorHAnsi"/>
            <w:sz w:val="18"/>
            <w:szCs w:val="18"/>
          </w:rPr>
          <w:t>CHOICE website</w:t>
        </w:r>
      </w:hyperlink>
      <w:r w:rsidRPr="005E6C7F">
        <w:rPr>
          <w:rFonts w:cstheme="minorHAnsi"/>
          <w:sz w:val="18"/>
          <w:szCs w:val="18"/>
        </w:rPr>
        <w:t xml:space="preserve"> (accessed 13 November 2018)</w:t>
      </w:r>
      <w:r>
        <w:rPr>
          <w:rFonts w:cstheme="minorHAnsi"/>
          <w:sz w:val="18"/>
          <w:szCs w:val="18"/>
        </w:rPr>
        <w:t>.</w:t>
      </w:r>
    </w:p>
  </w:footnote>
  <w:footnote w:id="107">
    <w:p w14:paraId="50A45246" w14:textId="318CD618" w:rsidR="00AA37B6" w:rsidRPr="005E6C7F" w:rsidRDefault="00AA37B6" w:rsidP="00696D94">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United States Food and Drug Administration, 2018. </w:t>
      </w:r>
      <w:r>
        <w:rPr>
          <w:rFonts w:cstheme="minorHAnsi"/>
          <w:sz w:val="18"/>
          <w:szCs w:val="18"/>
        </w:rPr>
        <w:t>‘</w:t>
      </w:r>
      <w:r w:rsidRPr="005E6C7F">
        <w:rPr>
          <w:rFonts w:cstheme="minorHAnsi"/>
          <w:i/>
          <w:sz w:val="18"/>
          <w:szCs w:val="18"/>
        </w:rPr>
        <w:t>Changes to the Nutrition Facts Label</w:t>
      </w:r>
      <w:r>
        <w:rPr>
          <w:rFonts w:cstheme="minorHAnsi"/>
          <w:i/>
          <w:sz w:val="18"/>
          <w:szCs w:val="18"/>
        </w:rPr>
        <w:t>’</w:t>
      </w:r>
      <w:r w:rsidRPr="005E6C7F">
        <w:rPr>
          <w:rFonts w:cstheme="minorHAnsi"/>
          <w:sz w:val="18"/>
          <w:szCs w:val="18"/>
        </w:rPr>
        <w:t xml:space="preserve">. Available at: </w:t>
      </w:r>
      <w:hyperlink r:id="rId74" w:history="1">
        <w:r w:rsidRPr="005E6C7F">
          <w:rPr>
            <w:rStyle w:val="Hyperlink"/>
            <w:rFonts w:cstheme="minorHAnsi"/>
            <w:sz w:val="18"/>
            <w:szCs w:val="18"/>
          </w:rPr>
          <w:t>United States Food and Drug Administration website</w:t>
        </w:r>
      </w:hyperlink>
      <w:r>
        <w:rPr>
          <w:rFonts w:cstheme="minorHAnsi"/>
          <w:sz w:val="18"/>
          <w:szCs w:val="18"/>
        </w:rPr>
        <w:t xml:space="preserve"> (accessed 19 November 2018).</w:t>
      </w:r>
    </w:p>
  </w:footnote>
  <w:footnote w:id="108">
    <w:p w14:paraId="58C940A1" w14:textId="27AC4D03" w:rsidR="00AA37B6" w:rsidRPr="00DD2CB7" w:rsidRDefault="00AA37B6" w:rsidP="00696D94">
      <w:pPr>
        <w:pStyle w:val="FootnoteText"/>
        <w:spacing w:before="0" w:after="0"/>
      </w:pPr>
      <w:r w:rsidRPr="005E6C7F">
        <w:rPr>
          <w:rStyle w:val="FootnoteReference"/>
          <w:rFonts w:cstheme="minorHAnsi"/>
          <w:sz w:val="18"/>
          <w:szCs w:val="18"/>
        </w:rPr>
        <w:footnoteRef/>
      </w:r>
      <w:r w:rsidRPr="005E6C7F">
        <w:rPr>
          <w:rFonts w:cstheme="minorHAnsi"/>
          <w:sz w:val="18"/>
          <w:szCs w:val="18"/>
        </w:rPr>
        <w:t xml:space="preserve"> Englyst, K.</w:t>
      </w:r>
      <w:r>
        <w:rPr>
          <w:rFonts w:cstheme="minorHAnsi"/>
          <w:sz w:val="18"/>
          <w:szCs w:val="18"/>
        </w:rPr>
        <w:t xml:space="preserve"> </w:t>
      </w:r>
      <w:r w:rsidRPr="005E6C7F">
        <w:rPr>
          <w:rFonts w:cstheme="minorHAnsi"/>
          <w:sz w:val="18"/>
          <w:szCs w:val="18"/>
        </w:rPr>
        <w:t>N., Liu, S.</w:t>
      </w:r>
      <w:r>
        <w:rPr>
          <w:rFonts w:cstheme="minorHAnsi"/>
          <w:sz w:val="18"/>
          <w:szCs w:val="18"/>
        </w:rPr>
        <w:t xml:space="preserve"> &amp;</w:t>
      </w:r>
      <w:r w:rsidRPr="005E6C7F">
        <w:rPr>
          <w:rFonts w:cstheme="minorHAnsi"/>
          <w:sz w:val="18"/>
          <w:szCs w:val="18"/>
        </w:rPr>
        <w:t xml:space="preserve"> Englyst</w:t>
      </w:r>
      <w:r>
        <w:rPr>
          <w:rFonts w:cstheme="minorHAnsi"/>
          <w:sz w:val="18"/>
          <w:szCs w:val="18"/>
        </w:rPr>
        <w:t>,</w:t>
      </w:r>
      <w:r w:rsidRPr="005E6C7F">
        <w:rPr>
          <w:rFonts w:cstheme="minorHAnsi"/>
          <w:sz w:val="18"/>
          <w:szCs w:val="18"/>
        </w:rPr>
        <w:t xml:space="preserve"> H.</w:t>
      </w:r>
      <w:r>
        <w:rPr>
          <w:rFonts w:cstheme="minorHAnsi"/>
          <w:sz w:val="18"/>
          <w:szCs w:val="18"/>
        </w:rPr>
        <w:t xml:space="preserve"> </w:t>
      </w:r>
      <w:r w:rsidRPr="005E6C7F">
        <w:rPr>
          <w:rFonts w:cstheme="minorHAnsi"/>
          <w:sz w:val="18"/>
          <w:szCs w:val="18"/>
        </w:rPr>
        <w:t>N.</w:t>
      </w:r>
      <w:r>
        <w:rPr>
          <w:rFonts w:cstheme="minorHAnsi"/>
          <w:sz w:val="18"/>
          <w:szCs w:val="18"/>
        </w:rPr>
        <w:t>,</w:t>
      </w:r>
      <w:r w:rsidRPr="005E6C7F">
        <w:rPr>
          <w:rFonts w:cstheme="minorHAnsi"/>
          <w:sz w:val="18"/>
          <w:szCs w:val="18"/>
        </w:rPr>
        <w:t xml:space="preserve"> 2007</w:t>
      </w:r>
      <w:r>
        <w:rPr>
          <w:rFonts w:cstheme="minorHAnsi"/>
          <w:sz w:val="18"/>
          <w:szCs w:val="18"/>
        </w:rPr>
        <w:t>.</w:t>
      </w:r>
      <w:r w:rsidRPr="005E6C7F">
        <w:rPr>
          <w:rFonts w:cstheme="minorHAnsi"/>
          <w:sz w:val="18"/>
          <w:szCs w:val="18"/>
        </w:rPr>
        <w:t xml:space="preserve"> ‘Nutritional characterization and measurement of dietary carbohydrates’. </w:t>
      </w:r>
      <w:r w:rsidRPr="005E6C7F">
        <w:rPr>
          <w:rFonts w:cstheme="minorHAnsi"/>
          <w:i/>
          <w:sz w:val="18"/>
          <w:szCs w:val="18"/>
        </w:rPr>
        <w:t xml:space="preserve">European Journal of Clinical Nutrition, </w:t>
      </w:r>
      <w:r w:rsidRPr="00DD2CB7">
        <w:rPr>
          <w:rFonts w:cstheme="minorHAnsi"/>
          <w:sz w:val="18"/>
          <w:szCs w:val="18"/>
        </w:rPr>
        <w:t>61: S19-S39.</w:t>
      </w:r>
    </w:p>
  </w:footnote>
  <w:footnote w:id="109">
    <w:p w14:paraId="2BFEE8A1" w14:textId="55704692" w:rsidR="00AA37B6" w:rsidRPr="005E6C7F" w:rsidRDefault="00AA37B6" w:rsidP="00696D94">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United States Department of Agriculture, n.d. ‘</w:t>
      </w:r>
      <w:r w:rsidRPr="005E6C7F">
        <w:rPr>
          <w:rFonts w:cstheme="minorHAnsi"/>
          <w:i/>
          <w:sz w:val="18"/>
          <w:szCs w:val="18"/>
        </w:rPr>
        <w:t>GMO Disclosure &amp; Labeling’</w:t>
      </w:r>
      <w:r>
        <w:rPr>
          <w:rFonts w:cstheme="minorHAnsi"/>
          <w:sz w:val="18"/>
          <w:szCs w:val="18"/>
        </w:rPr>
        <w:t xml:space="preserve">. </w:t>
      </w:r>
      <w:r w:rsidRPr="005E6C7F">
        <w:rPr>
          <w:rFonts w:cstheme="minorHAnsi"/>
          <w:sz w:val="18"/>
          <w:szCs w:val="18"/>
        </w:rPr>
        <w:t xml:space="preserve">Available at: </w:t>
      </w:r>
      <w:hyperlink r:id="rId75" w:history="1">
        <w:r w:rsidRPr="005E6C7F">
          <w:rPr>
            <w:rStyle w:val="Hyperlink"/>
            <w:rFonts w:cstheme="minorHAnsi"/>
            <w:sz w:val="18"/>
            <w:szCs w:val="18"/>
          </w:rPr>
          <w:t>USDA website</w:t>
        </w:r>
      </w:hyperlink>
      <w:r w:rsidRPr="005E6C7F">
        <w:rPr>
          <w:rFonts w:cstheme="minorHAnsi"/>
          <w:sz w:val="18"/>
          <w:szCs w:val="18"/>
        </w:rPr>
        <w:t xml:space="preserve"> (accessed 24 April 2018)</w:t>
      </w:r>
      <w:r>
        <w:rPr>
          <w:rFonts w:cstheme="minorHAnsi"/>
          <w:sz w:val="18"/>
          <w:szCs w:val="18"/>
        </w:rPr>
        <w:t>.</w:t>
      </w:r>
    </w:p>
  </w:footnote>
  <w:footnote w:id="110">
    <w:p w14:paraId="3A7AC4B3" w14:textId="3CA6519B" w:rsidR="00AA37B6" w:rsidRDefault="00AA37B6" w:rsidP="00696D94">
      <w:pPr>
        <w:pStyle w:val="FootnoteText"/>
        <w:spacing w:before="0" w:after="0"/>
      </w:pPr>
      <w:r w:rsidRPr="005E6C7F">
        <w:rPr>
          <w:rStyle w:val="FootnoteReference"/>
          <w:rFonts w:cstheme="minorHAnsi"/>
          <w:sz w:val="18"/>
          <w:szCs w:val="18"/>
        </w:rPr>
        <w:footnoteRef/>
      </w:r>
      <w:r>
        <w:rPr>
          <w:rFonts w:cstheme="minorHAnsi"/>
          <w:sz w:val="18"/>
          <w:szCs w:val="18"/>
        </w:rPr>
        <w:t xml:space="preserve"> </w:t>
      </w:r>
      <w:r w:rsidRPr="005E6C7F">
        <w:rPr>
          <w:rFonts w:cstheme="minorHAnsi"/>
          <w:sz w:val="18"/>
          <w:szCs w:val="18"/>
        </w:rPr>
        <w:t>United States Department of Agriculture, 2017. ‘</w:t>
      </w:r>
      <w:r w:rsidRPr="005E6C7F">
        <w:rPr>
          <w:rFonts w:cstheme="minorHAnsi"/>
          <w:i/>
          <w:sz w:val="18"/>
          <w:szCs w:val="18"/>
        </w:rPr>
        <w:t>Study of Electronic or Digital Disclosure’</w:t>
      </w:r>
      <w:r w:rsidRPr="005E6C7F">
        <w:rPr>
          <w:rFonts w:cstheme="minorHAnsi"/>
          <w:sz w:val="18"/>
          <w:szCs w:val="18"/>
        </w:rPr>
        <w:t xml:space="preserve">. Available at: </w:t>
      </w:r>
      <w:hyperlink r:id="rId76" w:history="1">
        <w:r w:rsidRPr="005E6C7F">
          <w:rPr>
            <w:rStyle w:val="Hyperlink"/>
            <w:rFonts w:cstheme="minorHAnsi"/>
            <w:sz w:val="18"/>
            <w:szCs w:val="18"/>
          </w:rPr>
          <w:t>USDA website</w:t>
        </w:r>
      </w:hyperlink>
      <w:r w:rsidRPr="005E6C7F">
        <w:rPr>
          <w:rFonts w:cstheme="minorHAnsi"/>
          <w:sz w:val="18"/>
          <w:szCs w:val="18"/>
        </w:rPr>
        <w:t xml:space="preserve"> (accessed 24 April 2018).</w:t>
      </w:r>
    </w:p>
  </w:footnote>
  <w:footnote w:id="111">
    <w:p w14:paraId="0025BF51" w14:textId="199C1AC7" w:rsidR="00AA37B6" w:rsidRPr="005E6C7F" w:rsidRDefault="00AA37B6" w:rsidP="00696D94">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w:t>
      </w:r>
      <w:r>
        <w:rPr>
          <w:rFonts w:cstheme="minorHAnsi"/>
          <w:sz w:val="18"/>
          <w:szCs w:val="18"/>
        </w:rPr>
        <w:t xml:space="preserve">Smart Label. </w:t>
      </w:r>
      <w:r w:rsidRPr="00DD2CB7">
        <w:rPr>
          <w:rFonts w:cstheme="minorHAnsi"/>
          <w:i/>
          <w:sz w:val="18"/>
          <w:szCs w:val="18"/>
        </w:rPr>
        <w:t>‘Smart Labe</w:t>
      </w:r>
      <w:r>
        <w:rPr>
          <w:rFonts w:cstheme="minorHAnsi"/>
          <w:i/>
          <w:sz w:val="18"/>
          <w:szCs w:val="18"/>
        </w:rPr>
        <w:t>l for Consumers</w:t>
      </w:r>
      <w:r w:rsidRPr="00DD2CB7">
        <w:rPr>
          <w:rFonts w:cstheme="minorHAnsi"/>
          <w:i/>
          <w:sz w:val="18"/>
          <w:szCs w:val="18"/>
        </w:rPr>
        <w:t>l’</w:t>
      </w:r>
      <w:r w:rsidRPr="005E6C7F">
        <w:rPr>
          <w:rFonts w:cstheme="minorHAnsi"/>
          <w:sz w:val="18"/>
          <w:szCs w:val="18"/>
        </w:rPr>
        <w:t xml:space="preserve">. Available at: </w:t>
      </w:r>
      <w:hyperlink r:id="rId77" w:history="1">
        <w:r w:rsidRPr="005E6C7F">
          <w:rPr>
            <w:rStyle w:val="Hyperlink"/>
            <w:rFonts w:cstheme="minorHAnsi"/>
            <w:sz w:val="18"/>
            <w:szCs w:val="18"/>
          </w:rPr>
          <w:t>Smart Label website</w:t>
        </w:r>
      </w:hyperlink>
      <w:r w:rsidRPr="005E6C7F">
        <w:rPr>
          <w:rFonts w:cstheme="minorHAnsi"/>
          <w:sz w:val="18"/>
          <w:szCs w:val="18"/>
        </w:rPr>
        <w:t xml:space="preserve"> (accessed 24 April 2018)</w:t>
      </w:r>
      <w:r>
        <w:rPr>
          <w:rFonts w:cstheme="minorHAnsi"/>
          <w:sz w:val="18"/>
          <w:szCs w:val="18"/>
        </w:rPr>
        <w:t>.</w:t>
      </w:r>
    </w:p>
  </w:footnote>
  <w:footnote w:id="112">
    <w:p w14:paraId="2807E06D" w14:textId="16E1BEF3" w:rsidR="00AA37B6" w:rsidRPr="005E6C7F" w:rsidRDefault="00AA37B6" w:rsidP="00696D94">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Packing Strategies, 2017. ‘</w:t>
      </w:r>
      <w:r w:rsidRPr="00B353FB">
        <w:rPr>
          <w:rFonts w:cstheme="minorHAnsi"/>
          <w:i/>
          <w:sz w:val="18"/>
          <w:szCs w:val="18"/>
        </w:rPr>
        <w:t>Mondelez International launches Smart Label apps’</w:t>
      </w:r>
      <w:r>
        <w:rPr>
          <w:rFonts w:cstheme="minorHAnsi"/>
          <w:sz w:val="18"/>
          <w:szCs w:val="18"/>
        </w:rPr>
        <w:t>.</w:t>
      </w:r>
      <w:r w:rsidRPr="005E6C7F">
        <w:rPr>
          <w:rFonts w:cstheme="minorHAnsi"/>
          <w:sz w:val="18"/>
          <w:szCs w:val="18"/>
        </w:rPr>
        <w:t xml:space="preserve"> Available at: </w:t>
      </w:r>
      <w:hyperlink r:id="rId78" w:history="1">
        <w:r w:rsidRPr="005E6C7F">
          <w:rPr>
            <w:rStyle w:val="Hyperlink"/>
            <w:rFonts w:cstheme="minorHAnsi"/>
            <w:sz w:val="18"/>
            <w:szCs w:val="18"/>
          </w:rPr>
          <w:t>Packing Strategies website</w:t>
        </w:r>
      </w:hyperlink>
      <w:r>
        <w:rPr>
          <w:rFonts w:cstheme="minorHAnsi"/>
          <w:sz w:val="18"/>
          <w:szCs w:val="18"/>
        </w:rPr>
        <w:t xml:space="preserve"> (accessed 24 April 2018).</w:t>
      </w:r>
    </w:p>
  </w:footnote>
  <w:footnote w:id="113">
    <w:p w14:paraId="51397C7B" w14:textId="321F1163" w:rsidR="00AA37B6" w:rsidRPr="005E6C7F" w:rsidRDefault="00AA37B6" w:rsidP="00696D94">
      <w:pPr>
        <w:pStyle w:val="FootnoteText"/>
        <w:spacing w:before="0" w:after="0"/>
        <w:rPr>
          <w:rFonts w:cstheme="minorHAnsi"/>
          <w:sz w:val="18"/>
          <w:szCs w:val="18"/>
        </w:rPr>
      </w:pPr>
      <w:r w:rsidRPr="005E6C7F">
        <w:rPr>
          <w:rStyle w:val="FootnoteReference"/>
          <w:rFonts w:cstheme="minorHAnsi"/>
          <w:sz w:val="18"/>
          <w:szCs w:val="18"/>
        </w:rPr>
        <w:footnoteRef/>
      </w:r>
      <w:r>
        <w:rPr>
          <w:rFonts w:cstheme="minorHAnsi"/>
          <w:sz w:val="18"/>
          <w:szCs w:val="18"/>
        </w:rPr>
        <w:t xml:space="preserve"> </w:t>
      </w:r>
      <w:r w:rsidRPr="005E6C7F">
        <w:rPr>
          <w:rFonts w:cstheme="minorHAnsi"/>
          <w:sz w:val="18"/>
          <w:szCs w:val="18"/>
        </w:rPr>
        <w:t>Unileveler, 2018. ‘</w:t>
      </w:r>
      <w:r w:rsidRPr="005E6C7F">
        <w:rPr>
          <w:rFonts w:cstheme="minorHAnsi"/>
          <w:i/>
          <w:sz w:val="18"/>
          <w:szCs w:val="18"/>
        </w:rPr>
        <w:t>Smart Label: What is a Smart Label?</w:t>
      </w:r>
      <w:r>
        <w:rPr>
          <w:rFonts w:cstheme="minorHAnsi"/>
          <w:sz w:val="18"/>
          <w:szCs w:val="18"/>
        </w:rPr>
        <w:t>’.</w:t>
      </w:r>
      <w:r w:rsidRPr="005E6C7F">
        <w:rPr>
          <w:rFonts w:cstheme="minorHAnsi"/>
          <w:sz w:val="18"/>
          <w:szCs w:val="18"/>
        </w:rPr>
        <w:t xml:space="preserve"> Available at: </w:t>
      </w:r>
      <w:hyperlink r:id="rId79" w:history="1">
        <w:r w:rsidRPr="005E6C7F">
          <w:rPr>
            <w:rStyle w:val="Hyperlink"/>
            <w:rFonts w:cstheme="minorHAnsi"/>
            <w:sz w:val="18"/>
            <w:szCs w:val="18"/>
          </w:rPr>
          <w:t>Unilever website</w:t>
        </w:r>
      </w:hyperlink>
      <w:r>
        <w:rPr>
          <w:rFonts w:cstheme="minorHAnsi"/>
          <w:sz w:val="18"/>
          <w:szCs w:val="18"/>
        </w:rPr>
        <w:t xml:space="preserve"> (accessed 24 April 2018).</w:t>
      </w:r>
    </w:p>
  </w:footnote>
  <w:footnote w:id="114">
    <w:p w14:paraId="191A9090" w14:textId="3D71AFDE" w:rsidR="00AA37B6" w:rsidRPr="005E6C7F" w:rsidRDefault="00AA37B6" w:rsidP="00696D94">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The George Institute for Global Health, 20</w:t>
      </w:r>
      <w:r>
        <w:rPr>
          <w:rFonts w:cstheme="minorHAnsi"/>
          <w:sz w:val="18"/>
          <w:szCs w:val="18"/>
        </w:rPr>
        <w:t xml:space="preserve">18. Food Switch. </w:t>
      </w:r>
      <w:r w:rsidRPr="005E6C7F">
        <w:rPr>
          <w:rFonts w:cstheme="minorHAnsi"/>
          <w:sz w:val="18"/>
          <w:szCs w:val="18"/>
        </w:rPr>
        <w:t xml:space="preserve">Available at: </w:t>
      </w:r>
      <w:hyperlink r:id="rId80" w:history="1">
        <w:r w:rsidRPr="005E6C7F">
          <w:rPr>
            <w:rStyle w:val="Hyperlink"/>
            <w:rFonts w:cstheme="minorHAnsi"/>
            <w:sz w:val="18"/>
            <w:szCs w:val="18"/>
          </w:rPr>
          <w:t>App Store website</w:t>
        </w:r>
      </w:hyperlink>
      <w:r>
        <w:rPr>
          <w:rFonts w:cstheme="minorHAnsi"/>
          <w:sz w:val="18"/>
          <w:szCs w:val="18"/>
        </w:rPr>
        <w:t xml:space="preserve"> (accessed 17 December 2018).</w:t>
      </w:r>
    </w:p>
  </w:footnote>
  <w:footnote w:id="115">
    <w:p w14:paraId="2FDA1454" w14:textId="3A2E7EBF" w:rsidR="00AA37B6" w:rsidRPr="005E6C7F" w:rsidRDefault="00AA37B6" w:rsidP="00696D94">
      <w:pPr>
        <w:pStyle w:val="FootnoteText"/>
        <w:spacing w:before="0" w:after="0"/>
        <w:rPr>
          <w:rFonts w:cstheme="minorHAnsi"/>
          <w:sz w:val="18"/>
          <w:szCs w:val="18"/>
        </w:rPr>
      </w:pPr>
      <w:r w:rsidRPr="005E6C7F">
        <w:rPr>
          <w:rStyle w:val="FootnoteReference"/>
          <w:rFonts w:cstheme="minorHAnsi"/>
          <w:sz w:val="18"/>
          <w:szCs w:val="18"/>
        </w:rPr>
        <w:footnoteRef/>
      </w:r>
      <w:r w:rsidRPr="005E6C7F">
        <w:rPr>
          <w:rFonts w:cstheme="minorHAnsi"/>
          <w:sz w:val="18"/>
          <w:szCs w:val="18"/>
        </w:rPr>
        <w:t xml:space="preserve"> Food Standards Australia New Zealand, 2017. ‘</w:t>
      </w:r>
      <w:r w:rsidRPr="005E6C7F">
        <w:rPr>
          <w:rFonts w:cstheme="minorHAnsi"/>
          <w:i/>
          <w:sz w:val="18"/>
          <w:szCs w:val="18"/>
        </w:rPr>
        <w:t>Literature review on consumer knowledge, attitudes and behaviours relating to sugars and food labelling’</w:t>
      </w:r>
      <w:r>
        <w:rPr>
          <w:rFonts w:cstheme="minorHAnsi"/>
          <w:sz w:val="18"/>
          <w:szCs w:val="18"/>
        </w:rPr>
        <w:t xml:space="preserve">. </w:t>
      </w:r>
      <w:r w:rsidRPr="005E6C7F">
        <w:rPr>
          <w:rFonts w:cstheme="minorHAnsi"/>
          <w:sz w:val="18"/>
          <w:szCs w:val="18"/>
        </w:rPr>
        <w:t xml:space="preserve">Available at: </w:t>
      </w:r>
      <w:hyperlink r:id="rId81" w:history="1">
        <w:r w:rsidRPr="005E6C7F">
          <w:rPr>
            <w:rStyle w:val="Hyperlink"/>
            <w:rFonts w:cstheme="minorHAnsi"/>
            <w:sz w:val="18"/>
            <w:szCs w:val="18"/>
          </w:rPr>
          <w:t>Food Regulation website</w:t>
        </w:r>
      </w:hyperlink>
      <w:r w:rsidRPr="005E6C7F">
        <w:rPr>
          <w:rFonts w:cstheme="minorHAnsi"/>
          <w:sz w:val="18"/>
          <w:szCs w:val="18"/>
        </w:rPr>
        <w:t xml:space="preserve"> (accessed 4 April 2018)</w:t>
      </w:r>
      <w:r>
        <w:rPr>
          <w:rFonts w:cstheme="minorHAnsi"/>
          <w:sz w:val="18"/>
          <w:szCs w:val="18"/>
        </w:rPr>
        <w:t>.</w:t>
      </w:r>
    </w:p>
  </w:footnote>
  <w:footnote w:id="116">
    <w:p w14:paraId="77145CFE" w14:textId="0CC66D40" w:rsidR="00AA37B6" w:rsidRDefault="00AA37B6" w:rsidP="00696D94">
      <w:pPr>
        <w:pStyle w:val="FootnoteText"/>
        <w:spacing w:before="0" w:after="0"/>
      </w:pPr>
      <w:r w:rsidRPr="005E6C7F">
        <w:rPr>
          <w:rStyle w:val="FootnoteReference"/>
          <w:rFonts w:cstheme="minorHAnsi"/>
          <w:sz w:val="18"/>
          <w:szCs w:val="18"/>
        </w:rPr>
        <w:footnoteRef/>
      </w:r>
      <w:r w:rsidRPr="005E6C7F">
        <w:rPr>
          <w:rFonts w:cstheme="minorHAnsi"/>
          <w:sz w:val="18"/>
          <w:szCs w:val="18"/>
        </w:rPr>
        <w:t xml:space="preserve"> United States Food and Drug Administration, 2018. </w:t>
      </w:r>
      <w:r w:rsidRPr="005E6C7F">
        <w:rPr>
          <w:rFonts w:cstheme="minorHAnsi"/>
          <w:i/>
          <w:sz w:val="18"/>
          <w:szCs w:val="18"/>
        </w:rPr>
        <w:t>Changes to the Nutrition Facts Label</w:t>
      </w:r>
      <w:r w:rsidRPr="005E6C7F">
        <w:rPr>
          <w:rFonts w:cstheme="minorHAnsi"/>
          <w:sz w:val="18"/>
          <w:szCs w:val="18"/>
        </w:rPr>
        <w:t xml:space="preserve">. Available at: </w:t>
      </w:r>
      <w:hyperlink r:id="rId82" w:history="1">
        <w:r w:rsidRPr="005E6C7F">
          <w:rPr>
            <w:rStyle w:val="Hyperlink"/>
            <w:rFonts w:cstheme="minorHAnsi"/>
            <w:sz w:val="18"/>
            <w:szCs w:val="18"/>
          </w:rPr>
          <w:t>United States Food and Drug Administration website</w:t>
        </w:r>
      </w:hyperlink>
      <w:r w:rsidRPr="005E6C7F">
        <w:rPr>
          <w:rFonts w:cstheme="minorHAnsi"/>
          <w:sz w:val="18"/>
          <w:szCs w:val="18"/>
        </w:rPr>
        <w:t xml:space="preserve"> (accessed 19 November 2018).</w:t>
      </w:r>
    </w:p>
  </w:footnote>
  <w:footnote w:id="117">
    <w:p w14:paraId="51645AA1" w14:textId="77777777" w:rsidR="00AA37B6" w:rsidRPr="008A3D23" w:rsidRDefault="00AA37B6" w:rsidP="00696D94">
      <w:pPr>
        <w:pStyle w:val="FootnoteText"/>
        <w:spacing w:before="0" w:after="0"/>
        <w:rPr>
          <w:rFonts w:cstheme="minorHAnsi"/>
          <w:sz w:val="18"/>
          <w:szCs w:val="18"/>
        </w:rPr>
      </w:pPr>
      <w:r w:rsidRPr="008A3D23">
        <w:rPr>
          <w:rStyle w:val="FootnoteReference"/>
          <w:rFonts w:cstheme="minorHAnsi"/>
          <w:sz w:val="18"/>
          <w:szCs w:val="18"/>
        </w:rPr>
        <w:footnoteRef/>
      </w:r>
      <w:r w:rsidRPr="008A3D23">
        <w:rPr>
          <w:rFonts w:cstheme="minorHAnsi"/>
          <w:sz w:val="18"/>
          <w:szCs w:val="18"/>
        </w:rPr>
        <w:t xml:space="preserve"> Mela,</w:t>
      </w:r>
      <w:r>
        <w:rPr>
          <w:rFonts w:cstheme="minorHAnsi"/>
          <w:sz w:val="18"/>
          <w:szCs w:val="18"/>
        </w:rPr>
        <w:t xml:space="preserve"> D. J. &amp; </w:t>
      </w:r>
      <w:r w:rsidRPr="008A3D23">
        <w:rPr>
          <w:rFonts w:cstheme="minorHAnsi"/>
          <w:sz w:val="18"/>
          <w:szCs w:val="18"/>
        </w:rPr>
        <w:t>Woolner</w:t>
      </w:r>
      <w:r>
        <w:rPr>
          <w:rFonts w:cstheme="minorHAnsi"/>
          <w:sz w:val="18"/>
          <w:szCs w:val="18"/>
        </w:rPr>
        <w:t>, E. M</w:t>
      </w:r>
      <w:r w:rsidRPr="008A3D23">
        <w:rPr>
          <w:rFonts w:cstheme="minorHAnsi"/>
          <w:sz w:val="18"/>
          <w:szCs w:val="18"/>
        </w:rPr>
        <w:t>.</w:t>
      </w:r>
      <w:r>
        <w:rPr>
          <w:rFonts w:cstheme="minorHAnsi"/>
          <w:sz w:val="18"/>
          <w:szCs w:val="18"/>
        </w:rPr>
        <w:t>,</w:t>
      </w:r>
      <w:r w:rsidRPr="008A3D23">
        <w:rPr>
          <w:rFonts w:cstheme="minorHAnsi"/>
          <w:sz w:val="18"/>
          <w:szCs w:val="18"/>
        </w:rPr>
        <w:t xml:space="preserve"> 2018. ‘Perspective: Total, Added, or Free? What Kind of Sugars Should We Be Talking Abo</w:t>
      </w:r>
      <w:r>
        <w:rPr>
          <w:rFonts w:cstheme="minorHAnsi"/>
          <w:sz w:val="18"/>
          <w:szCs w:val="18"/>
        </w:rPr>
        <w:t>ut?’.</w:t>
      </w:r>
      <w:r w:rsidRPr="008A3D23">
        <w:rPr>
          <w:rFonts w:cstheme="minorHAnsi"/>
          <w:sz w:val="18"/>
          <w:szCs w:val="18"/>
        </w:rPr>
        <w:t xml:space="preserve"> </w:t>
      </w:r>
      <w:r w:rsidRPr="008A3D23">
        <w:rPr>
          <w:rFonts w:cstheme="minorHAnsi"/>
          <w:i/>
          <w:sz w:val="18"/>
          <w:szCs w:val="18"/>
        </w:rPr>
        <w:t>Advances in Nutrition</w:t>
      </w:r>
      <w:r>
        <w:rPr>
          <w:rFonts w:cstheme="minorHAnsi"/>
          <w:sz w:val="18"/>
          <w:szCs w:val="18"/>
        </w:rPr>
        <w:t>, 9(2):</w:t>
      </w:r>
      <w:r w:rsidRPr="008A3D23">
        <w:rPr>
          <w:rFonts w:cstheme="minorHAnsi"/>
          <w:sz w:val="18"/>
          <w:szCs w:val="18"/>
        </w:rPr>
        <w:t xml:space="preserve"> </w:t>
      </w:r>
      <w:r>
        <w:rPr>
          <w:rFonts w:cstheme="minorHAnsi"/>
          <w:sz w:val="18"/>
          <w:szCs w:val="18"/>
        </w:rPr>
        <w:t>p</w:t>
      </w:r>
      <w:r w:rsidRPr="008A3D23">
        <w:rPr>
          <w:rFonts w:cstheme="minorHAnsi"/>
          <w:sz w:val="18"/>
          <w:szCs w:val="18"/>
        </w:rPr>
        <w:t>63–69</w:t>
      </w:r>
      <w:r>
        <w:rPr>
          <w:rFonts w:cstheme="minorHAnsi"/>
          <w:sz w:val="18"/>
          <w:szCs w:val="18"/>
        </w:rPr>
        <w:t>.</w:t>
      </w:r>
    </w:p>
  </w:footnote>
  <w:footnote w:id="118">
    <w:p w14:paraId="11F5B639" w14:textId="77777777" w:rsidR="00AA37B6" w:rsidRPr="00696D94" w:rsidRDefault="00AA37B6" w:rsidP="00696D94">
      <w:pPr>
        <w:pStyle w:val="FootnoteText"/>
        <w:spacing w:before="0" w:after="0"/>
        <w:rPr>
          <w:rFonts w:ascii="Calibri Light" w:hAnsi="Calibri Light" w:cs="Calibri Light"/>
          <w:sz w:val="18"/>
          <w:szCs w:val="18"/>
        </w:rPr>
      </w:pPr>
      <w:r w:rsidRPr="008A3D23">
        <w:rPr>
          <w:rStyle w:val="FootnoteReference"/>
          <w:rFonts w:cstheme="minorHAnsi"/>
          <w:sz w:val="18"/>
          <w:szCs w:val="18"/>
        </w:rPr>
        <w:footnoteRef/>
      </w:r>
      <w:r w:rsidRPr="008A3D23">
        <w:rPr>
          <w:rFonts w:cstheme="minorHAnsi"/>
          <w:sz w:val="18"/>
          <w:szCs w:val="18"/>
        </w:rPr>
        <w:t xml:space="preserve"> Food Standards Australia New Zealand, 2015. </w:t>
      </w:r>
      <w:r w:rsidRPr="008A3D23">
        <w:rPr>
          <w:rFonts w:cstheme="minorHAnsi"/>
          <w:i/>
          <w:sz w:val="18"/>
          <w:szCs w:val="18"/>
        </w:rPr>
        <w:t xml:space="preserve">‘Consumer label survey 2015. Food labelling use and understanding in Australia and New Zealand’. </w:t>
      </w:r>
      <w:r w:rsidRPr="008A3D23">
        <w:rPr>
          <w:rFonts w:cstheme="minorHAnsi"/>
          <w:sz w:val="18"/>
          <w:szCs w:val="18"/>
        </w:rPr>
        <w:t xml:space="preserve">Available at: </w:t>
      </w:r>
      <w:hyperlink r:id="rId83" w:history="1">
        <w:r w:rsidRPr="008A3D23">
          <w:rPr>
            <w:rStyle w:val="Hyperlink"/>
            <w:rFonts w:cstheme="minorHAnsi"/>
            <w:sz w:val="18"/>
            <w:szCs w:val="18"/>
          </w:rPr>
          <w:t>FSANZ website</w:t>
        </w:r>
      </w:hyperlink>
      <w:r w:rsidRPr="008A3D23">
        <w:rPr>
          <w:rFonts w:cstheme="minorHAnsi"/>
          <w:sz w:val="18"/>
          <w:szCs w:val="18"/>
        </w:rPr>
        <w:t xml:space="preserve"> (accessed 13 November 2018)</w:t>
      </w:r>
      <w:r>
        <w:rPr>
          <w:rFonts w:cstheme="minorHAnsi"/>
          <w:sz w:val="18"/>
          <w:szCs w:val="18"/>
        </w:rPr>
        <w:t>.</w:t>
      </w:r>
    </w:p>
  </w:footnote>
  <w:footnote w:id="119">
    <w:p w14:paraId="1A5C531E" w14:textId="4D521FB0" w:rsidR="00AA37B6" w:rsidRPr="002B4751" w:rsidRDefault="00AA37B6" w:rsidP="00696D94">
      <w:pPr>
        <w:pStyle w:val="FootnoteText"/>
        <w:spacing w:before="0" w:after="0"/>
        <w:rPr>
          <w:rFonts w:cstheme="minorHAnsi"/>
          <w:sz w:val="18"/>
          <w:szCs w:val="18"/>
          <w:lang w:val="en-NZ"/>
        </w:rPr>
      </w:pPr>
      <w:r w:rsidRPr="00D07C41">
        <w:rPr>
          <w:rStyle w:val="FootnoteReference"/>
          <w:rFonts w:cstheme="minorHAnsi"/>
          <w:sz w:val="18"/>
          <w:szCs w:val="18"/>
        </w:rPr>
        <w:footnoteRef/>
      </w:r>
      <w:r w:rsidRPr="00D07C41">
        <w:rPr>
          <w:rFonts w:cstheme="minorHAnsi"/>
          <w:sz w:val="18"/>
          <w:szCs w:val="18"/>
          <w:shd w:val="clear" w:color="auto" w:fill="FFFFFF"/>
        </w:rPr>
        <w:t xml:space="preserve"> CHOICE</w:t>
      </w:r>
      <w:r>
        <w:rPr>
          <w:rFonts w:cstheme="minorHAnsi"/>
          <w:sz w:val="18"/>
          <w:szCs w:val="18"/>
          <w:shd w:val="clear" w:color="auto" w:fill="FFFFFF"/>
        </w:rPr>
        <w:t>,</w:t>
      </w:r>
      <w:r w:rsidRPr="00D07C41">
        <w:rPr>
          <w:rFonts w:cstheme="minorHAnsi"/>
          <w:sz w:val="18"/>
          <w:szCs w:val="18"/>
          <w:shd w:val="clear" w:color="auto" w:fill="FFFFFF"/>
        </w:rPr>
        <w:t xml:space="preserve"> 2017</w:t>
      </w:r>
      <w:r>
        <w:rPr>
          <w:rFonts w:cstheme="minorHAnsi"/>
          <w:sz w:val="18"/>
          <w:szCs w:val="18"/>
          <w:shd w:val="clear" w:color="auto" w:fill="FFFFFF"/>
        </w:rPr>
        <w:t>.</w:t>
      </w:r>
      <w:r w:rsidRPr="00D07C41">
        <w:rPr>
          <w:rFonts w:cstheme="minorHAnsi"/>
          <w:sz w:val="18"/>
          <w:szCs w:val="18"/>
          <w:shd w:val="clear" w:color="auto" w:fill="FFFFFF"/>
        </w:rPr>
        <w:t xml:space="preserve"> </w:t>
      </w:r>
      <w:r>
        <w:rPr>
          <w:rFonts w:cstheme="minorHAnsi"/>
          <w:sz w:val="18"/>
          <w:szCs w:val="18"/>
          <w:shd w:val="clear" w:color="auto" w:fill="FFFFFF"/>
        </w:rPr>
        <w:t>‘</w:t>
      </w:r>
      <w:r w:rsidRPr="00D07C41">
        <w:rPr>
          <w:rFonts w:cstheme="minorHAnsi"/>
          <w:i/>
          <w:sz w:val="18"/>
          <w:szCs w:val="18"/>
          <w:shd w:val="clear" w:color="auto" w:fill="FFFFFF"/>
        </w:rPr>
        <w:t>End the sugar-coating: A CHOICE report into added sugar labelling in Australia</w:t>
      </w:r>
      <w:r>
        <w:rPr>
          <w:rFonts w:cstheme="minorHAnsi"/>
          <w:i/>
          <w:sz w:val="18"/>
          <w:szCs w:val="18"/>
          <w:shd w:val="clear" w:color="auto" w:fill="FFFFFF"/>
        </w:rPr>
        <w:t>’</w:t>
      </w:r>
      <w:r w:rsidRPr="00D07C41">
        <w:rPr>
          <w:rFonts w:cstheme="minorHAnsi"/>
          <w:i/>
          <w:sz w:val="18"/>
          <w:szCs w:val="18"/>
          <w:shd w:val="clear" w:color="auto" w:fill="FFFFFF"/>
        </w:rPr>
        <w:t xml:space="preserve">. </w:t>
      </w:r>
      <w:r w:rsidRPr="00D07C41">
        <w:rPr>
          <w:rFonts w:cstheme="minorHAnsi"/>
          <w:sz w:val="18"/>
          <w:szCs w:val="18"/>
          <w:shd w:val="clear" w:color="auto" w:fill="FFFFFF"/>
        </w:rPr>
        <w:t xml:space="preserve">Available at </w:t>
      </w:r>
      <w:hyperlink r:id="rId84" w:history="1">
        <w:r w:rsidRPr="002B4751">
          <w:rPr>
            <w:rStyle w:val="Hyperlink"/>
            <w:rFonts w:cstheme="minorHAnsi"/>
            <w:sz w:val="18"/>
            <w:szCs w:val="18"/>
            <w:shd w:val="clear" w:color="auto" w:fill="FFFFFF"/>
          </w:rPr>
          <w:t>CHOICE</w:t>
        </w:r>
      </w:hyperlink>
      <w:r w:rsidRPr="002B4751">
        <w:rPr>
          <w:rFonts w:cstheme="minorHAnsi"/>
          <w:color w:val="444444"/>
          <w:sz w:val="18"/>
          <w:szCs w:val="18"/>
          <w:shd w:val="clear" w:color="auto" w:fill="FFFFFF"/>
        </w:rPr>
        <w:t xml:space="preserve"> </w:t>
      </w:r>
      <w:r>
        <w:rPr>
          <w:rFonts w:cstheme="minorHAnsi"/>
          <w:sz w:val="18"/>
          <w:szCs w:val="18"/>
          <w:shd w:val="clear" w:color="auto" w:fill="FFFFFF"/>
        </w:rPr>
        <w:t>(accessed 28 February 2019)</w:t>
      </w:r>
    </w:p>
  </w:footnote>
  <w:footnote w:id="120">
    <w:p w14:paraId="62ED7865" w14:textId="77777777" w:rsidR="00AA37B6" w:rsidRPr="00E372B9" w:rsidRDefault="00AA37B6" w:rsidP="00696D94">
      <w:pPr>
        <w:pStyle w:val="FootnoteText"/>
        <w:spacing w:before="0" w:after="0"/>
        <w:rPr>
          <w:sz w:val="18"/>
          <w:szCs w:val="18"/>
        </w:rPr>
      </w:pPr>
      <w:r w:rsidRPr="00E372B9">
        <w:rPr>
          <w:rStyle w:val="FootnoteReference"/>
          <w:sz w:val="18"/>
          <w:szCs w:val="18"/>
        </w:rPr>
        <w:footnoteRef/>
      </w:r>
      <w:r w:rsidRPr="00E372B9">
        <w:rPr>
          <w:sz w:val="18"/>
          <w:szCs w:val="18"/>
        </w:rPr>
        <w:t xml:space="preserve"> Australian Government, 2016. ‘</w:t>
      </w:r>
      <w:r w:rsidRPr="00E372B9">
        <w:rPr>
          <w:i/>
          <w:sz w:val="18"/>
          <w:szCs w:val="18"/>
        </w:rPr>
        <w:t xml:space="preserve">Federal Register of Legislation: Competition and Consumer Amendment (Country of Origin) Bill 2016’. </w:t>
      </w:r>
      <w:r w:rsidRPr="00E372B9">
        <w:rPr>
          <w:sz w:val="18"/>
          <w:szCs w:val="18"/>
        </w:rPr>
        <w:t xml:space="preserve">Available at </w:t>
      </w:r>
      <w:hyperlink r:id="rId85" w:history="1">
        <w:r w:rsidRPr="00E372B9">
          <w:rPr>
            <w:rStyle w:val="Hyperlink"/>
            <w:sz w:val="18"/>
            <w:szCs w:val="18"/>
          </w:rPr>
          <w:t>Australian Government website</w:t>
        </w:r>
      </w:hyperlink>
      <w:r w:rsidRPr="00E372B9">
        <w:rPr>
          <w:sz w:val="18"/>
          <w:szCs w:val="18"/>
        </w:rPr>
        <w:t xml:space="preserve"> (</w:t>
      </w:r>
      <w:r>
        <w:rPr>
          <w:sz w:val="18"/>
          <w:szCs w:val="18"/>
        </w:rPr>
        <w:t>a</w:t>
      </w:r>
      <w:r w:rsidRPr="00E372B9">
        <w:rPr>
          <w:sz w:val="18"/>
          <w:szCs w:val="18"/>
        </w:rPr>
        <w:t>ccessed 14 December 2018).</w:t>
      </w:r>
    </w:p>
  </w:footnote>
  <w:footnote w:id="121">
    <w:p w14:paraId="0C5E480D" w14:textId="01445894" w:rsidR="00AA37B6" w:rsidRPr="000A796F" w:rsidRDefault="00AA37B6" w:rsidP="00696D94">
      <w:pPr>
        <w:pStyle w:val="FootnoteText"/>
        <w:spacing w:before="0" w:after="0"/>
        <w:rPr>
          <w:rFonts w:cstheme="minorHAnsi"/>
          <w:sz w:val="18"/>
          <w:szCs w:val="18"/>
        </w:rPr>
      </w:pPr>
      <w:r w:rsidRPr="000A796F">
        <w:rPr>
          <w:rStyle w:val="FootnoteReference"/>
          <w:rFonts w:eastAsiaTheme="majorEastAsia" w:cstheme="minorHAnsi"/>
          <w:sz w:val="18"/>
          <w:szCs w:val="18"/>
        </w:rPr>
        <w:footnoteRef/>
      </w:r>
      <w:r w:rsidRPr="000A796F">
        <w:rPr>
          <w:rFonts w:cstheme="minorHAnsi"/>
          <w:sz w:val="18"/>
          <w:szCs w:val="18"/>
        </w:rPr>
        <w:t xml:space="preserve"> Food Standards Australia New Zealand, 2017. </w:t>
      </w:r>
      <w:r>
        <w:rPr>
          <w:rFonts w:cstheme="minorHAnsi"/>
          <w:sz w:val="18"/>
          <w:szCs w:val="18"/>
        </w:rPr>
        <w:t>‘</w:t>
      </w:r>
      <w:r w:rsidRPr="000A796F">
        <w:rPr>
          <w:rFonts w:cstheme="minorHAnsi"/>
          <w:i/>
          <w:sz w:val="18"/>
          <w:szCs w:val="18"/>
        </w:rPr>
        <w:t>Consumer Label Survey 2015 – Food labelling Use and Understanding in Australia and New Zealand, Food Standards Australia New Zealand</w:t>
      </w:r>
      <w:r>
        <w:rPr>
          <w:rFonts w:cstheme="minorHAnsi"/>
          <w:i/>
          <w:sz w:val="18"/>
          <w:szCs w:val="18"/>
        </w:rPr>
        <w:t>’</w:t>
      </w:r>
      <w:r w:rsidRPr="000A796F">
        <w:rPr>
          <w:rFonts w:cstheme="minorHAnsi"/>
          <w:sz w:val="18"/>
          <w:szCs w:val="18"/>
        </w:rPr>
        <w:t xml:space="preserve">. Available at: </w:t>
      </w:r>
      <w:hyperlink r:id="rId86" w:history="1">
        <w:r w:rsidRPr="000A796F">
          <w:rPr>
            <w:rStyle w:val="Hyperlink"/>
            <w:rFonts w:cstheme="minorHAnsi"/>
            <w:sz w:val="18"/>
            <w:szCs w:val="18"/>
          </w:rPr>
          <w:t>FSANZ website</w:t>
        </w:r>
      </w:hyperlink>
      <w:r w:rsidRPr="000A796F">
        <w:rPr>
          <w:rFonts w:cstheme="minorHAnsi"/>
          <w:sz w:val="18"/>
          <w:szCs w:val="18"/>
        </w:rPr>
        <w:t xml:space="preserve"> (accessed 17 December 2018)</w:t>
      </w:r>
      <w:r>
        <w:rPr>
          <w:rFonts w:cstheme="minorHAnsi"/>
          <w:sz w:val="18"/>
          <w:szCs w:val="18"/>
        </w:rPr>
        <w:t>.</w:t>
      </w:r>
    </w:p>
  </w:footnote>
  <w:footnote w:id="122">
    <w:p w14:paraId="646E854C" w14:textId="4F0B7C01" w:rsidR="00AA37B6" w:rsidRPr="000A796F" w:rsidRDefault="00AA37B6" w:rsidP="00696D94">
      <w:pPr>
        <w:pStyle w:val="FootnoteText"/>
        <w:spacing w:before="0" w:after="0"/>
        <w:rPr>
          <w:rFonts w:cstheme="minorHAnsi"/>
          <w:sz w:val="18"/>
          <w:szCs w:val="18"/>
        </w:rPr>
      </w:pPr>
      <w:r w:rsidRPr="000A796F">
        <w:rPr>
          <w:rStyle w:val="FootnoteReference"/>
          <w:rFonts w:eastAsiaTheme="majorEastAsia" w:cstheme="minorHAnsi"/>
          <w:sz w:val="18"/>
          <w:szCs w:val="18"/>
        </w:rPr>
        <w:footnoteRef/>
      </w:r>
      <w:r w:rsidRPr="000A796F">
        <w:rPr>
          <w:rFonts w:cstheme="minorHAnsi"/>
          <w:sz w:val="18"/>
          <w:szCs w:val="18"/>
        </w:rPr>
        <w:t xml:space="preserve"> Food Standards Australia New Zealand, 2017. </w:t>
      </w:r>
      <w:r>
        <w:rPr>
          <w:rFonts w:cstheme="minorHAnsi"/>
          <w:sz w:val="18"/>
          <w:szCs w:val="18"/>
        </w:rPr>
        <w:t>‘</w:t>
      </w:r>
      <w:r w:rsidRPr="000A796F">
        <w:rPr>
          <w:rFonts w:cstheme="minorHAnsi"/>
          <w:i/>
          <w:sz w:val="18"/>
          <w:szCs w:val="18"/>
        </w:rPr>
        <w:t>Consumer Label Survey 2015 – Food labelling Use and Understanding in Australia and New Zealand, Food Standards Australia New Zealand</w:t>
      </w:r>
      <w:r>
        <w:rPr>
          <w:rFonts w:cstheme="minorHAnsi"/>
          <w:i/>
          <w:sz w:val="18"/>
          <w:szCs w:val="18"/>
        </w:rPr>
        <w:t>’</w:t>
      </w:r>
      <w:r w:rsidRPr="000A796F">
        <w:rPr>
          <w:rFonts w:cstheme="minorHAnsi"/>
          <w:sz w:val="18"/>
          <w:szCs w:val="18"/>
        </w:rPr>
        <w:t xml:space="preserve">. Available at: </w:t>
      </w:r>
      <w:hyperlink r:id="rId87" w:history="1">
        <w:r w:rsidRPr="000A796F">
          <w:rPr>
            <w:rStyle w:val="Hyperlink"/>
            <w:rFonts w:cstheme="minorHAnsi"/>
            <w:sz w:val="18"/>
            <w:szCs w:val="18"/>
          </w:rPr>
          <w:t>FSANZ website</w:t>
        </w:r>
      </w:hyperlink>
      <w:r w:rsidRPr="000A796F">
        <w:rPr>
          <w:rFonts w:cstheme="minorHAnsi"/>
          <w:sz w:val="18"/>
          <w:szCs w:val="18"/>
        </w:rPr>
        <w:t xml:space="preserve"> (accessed 17 December 2018)</w:t>
      </w:r>
      <w:r>
        <w:rPr>
          <w:rFonts w:cstheme="minorHAnsi"/>
          <w:sz w:val="18"/>
          <w:szCs w:val="18"/>
        </w:rPr>
        <w:t>.</w:t>
      </w:r>
    </w:p>
  </w:footnote>
  <w:footnote w:id="123">
    <w:p w14:paraId="7EFCA4C6" w14:textId="464486A0" w:rsidR="00AA37B6" w:rsidRPr="000A796F" w:rsidRDefault="00AA37B6" w:rsidP="00696D94">
      <w:pPr>
        <w:spacing w:before="0" w:after="0" w:line="256" w:lineRule="auto"/>
        <w:rPr>
          <w:rFonts w:cstheme="minorHAnsi"/>
          <w:sz w:val="18"/>
          <w:szCs w:val="18"/>
        </w:rPr>
      </w:pPr>
      <w:r w:rsidRPr="000A796F">
        <w:rPr>
          <w:rStyle w:val="FootnoteReference"/>
          <w:rFonts w:eastAsiaTheme="majorEastAsia" w:cstheme="minorHAnsi"/>
          <w:sz w:val="18"/>
          <w:szCs w:val="18"/>
        </w:rPr>
        <w:footnoteRef/>
      </w:r>
      <w:r w:rsidRPr="000A796F">
        <w:rPr>
          <w:rFonts w:cstheme="minorHAnsi"/>
          <w:sz w:val="18"/>
          <w:szCs w:val="18"/>
        </w:rPr>
        <w:t xml:space="preserve"> Miller, L., &amp; Cassidy, D.</w:t>
      </w:r>
      <w:r>
        <w:rPr>
          <w:rFonts w:cstheme="minorHAnsi"/>
          <w:sz w:val="18"/>
          <w:szCs w:val="18"/>
        </w:rPr>
        <w:t>,</w:t>
      </w:r>
      <w:r w:rsidRPr="000A796F">
        <w:rPr>
          <w:rFonts w:cstheme="minorHAnsi"/>
          <w:sz w:val="18"/>
          <w:szCs w:val="18"/>
        </w:rPr>
        <w:t xml:space="preserve"> 2015. ‘The effects of nutrition knowledge on food label use. A review of literature’. </w:t>
      </w:r>
      <w:r w:rsidRPr="000A796F">
        <w:rPr>
          <w:rFonts w:cstheme="minorHAnsi"/>
          <w:i/>
          <w:sz w:val="18"/>
          <w:szCs w:val="18"/>
        </w:rPr>
        <w:t>Appetite</w:t>
      </w:r>
      <w:r>
        <w:rPr>
          <w:rFonts w:cstheme="minorHAnsi"/>
          <w:sz w:val="18"/>
          <w:szCs w:val="18"/>
        </w:rPr>
        <w:t>, 92: p</w:t>
      </w:r>
      <w:r w:rsidRPr="000A796F">
        <w:rPr>
          <w:rFonts w:cstheme="minorHAnsi"/>
          <w:sz w:val="18"/>
          <w:szCs w:val="18"/>
        </w:rPr>
        <w:t>207-216</w:t>
      </w:r>
      <w:r>
        <w:rPr>
          <w:rFonts w:cstheme="minorHAnsi"/>
          <w:sz w:val="18"/>
          <w:szCs w:val="18"/>
        </w:rPr>
        <w:t>.</w:t>
      </w:r>
    </w:p>
  </w:footnote>
  <w:footnote w:id="124">
    <w:p w14:paraId="3D4A3CE9" w14:textId="40C969F1" w:rsidR="00AA37B6" w:rsidRPr="000A796F" w:rsidRDefault="00AA37B6" w:rsidP="00696D94">
      <w:pPr>
        <w:autoSpaceDE w:val="0"/>
        <w:autoSpaceDN w:val="0"/>
        <w:adjustRightInd w:val="0"/>
        <w:spacing w:before="0" w:after="0"/>
        <w:rPr>
          <w:rFonts w:cstheme="minorHAnsi"/>
          <w:sz w:val="18"/>
          <w:szCs w:val="18"/>
        </w:rPr>
      </w:pPr>
      <w:r w:rsidRPr="000A796F">
        <w:rPr>
          <w:rStyle w:val="FootnoteReference"/>
          <w:rFonts w:eastAsiaTheme="majorEastAsia" w:cstheme="minorHAnsi"/>
          <w:sz w:val="18"/>
          <w:szCs w:val="18"/>
        </w:rPr>
        <w:footnoteRef/>
      </w:r>
      <w:r>
        <w:rPr>
          <w:rFonts w:cstheme="minorHAnsi"/>
          <w:sz w:val="18"/>
          <w:szCs w:val="18"/>
        </w:rPr>
        <w:t xml:space="preserve"> Robson, B., et al,</w:t>
      </w:r>
      <w:r w:rsidRPr="000A796F">
        <w:rPr>
          <w:rFonts w:cstheme="minorHAnsi"/>
          <w:sz w:val="18"/>
          <w:szCs w:val="18"/>
        </w:rPr>
        <w:t xml:space="preserve"> 2016</w:t>
      </w:r>
      <w:r w:rsidRPr="000A796F">
        <w:rPr>
          <w:rFonts w:cstheme="minorHAnsi"/>
          <w:i/>
          <w:iCs/>
          <w:sz w:val="18"/>
          <w:szCs w:val="18"/>
        </w:rPr>
        <w:t xml:space="preserve">. ‘Tiro Whanui: Bay of Plenty District Health Board Maori Health Profile 2015 at a Glance’. </w:t>
      </w:r>
      <w:r w:rsidRPr="000A796F">
        <w:rPr>
          <w:rFonts w:cstheme="minorHAnsi"/>
          <w:sz w:val="18"/>
          <w:szCs w:val="18"/>
        </w:rPr>
        <w:t xml:space="preserve">Wellington: Te Ropu Rangahau Hauora a Eru Pomare, University of Otago. </w:t>
      </w:r>
      <w:r w:rsidRPr="000A796F">
        <w:rPr>
          <w:rFonts w:cstheme="minorHAnsi"/>
          <w:noProof/>
          <w:sz w:val="18"/>
          <w:szCs w:val="18"/>
        </w:rPr>
        <w:t xml:space="preserve">Available at: </w:t>
      </w:r>
      <w:hyperlink r:id="rId88" w:history="1">
        <w:r w:rsidRPr="000A796F">
          <w:rPr>
            <w:rStyle w:val="Hyperlink"/>
            <w:rFonts w:eastAsiaTheme="majorEastAsia" w:cstheme="minorHAnsi"/>
            <w:noProof/>
            <w:sz w:val="18"/>
            <w:szCs w:val="18"/>
          </w:rPr>
          <w:t>Bay of Plenty District Health Board</w:t>
        </w:r>
      </w:hyperlink>
      <w:r>
        <w:rPr>
          <w:rStyle w:val="Hyperlink"/>
          <w:rFonts w:eastAsiaTheme="majorEastAsia" w:cstheme="minorHAnsi"/>
          <w:noProof/>
          <w:sz w:val="18"/>
          <w:szCs w:val="18"/>
        </w:rPr>
        <w:t>.</w:t>
      </w:r>
      <w:r w:rsidRPr="000A796F">
        <w:rPr>
          <w:rFonts w:cstheme="minorHAnsi"/>
          <w:noProof/>
          <w:sz w:val="18"/>
          <w:szCs w:val="18"/>
        </w:rPr>
        <w:t xml:space="preserve"> </w:t>
      </w:r>
    </w:p>
  </w:footnote>
  <w:footnote w:id="125">
    <w:p w14:paraId="640F8F95" w14:textId="44F14831" w:rsidR="00AA37B6" w:rsidRPr="000A796F" w:rsidRDefault="00AA37B6" w:rsidP="00696D94">
      <w:pPr>
        <w:spacing w:before="0" w:after="0"/>
        <w:jc w:val="both"/>
        <w:rPr>
          <w:rFonts w:cstheme="minorHAnsi"/>
          <w:sz w:val="18"/>
          <w:szCs w:val="18"/>
        </w:rPr>
      </w:pPr>
      <w:r w:rsidRPr="000A796F">
        <w:rPr>
          <w:rStyle w:val="FootnoteReference"/>
          <w:rFonts w:eastAsiaTheme="majorEastAsia" w:cstheme="minorHAnsi"/>
          <w:sz w:val="18"/>
          <w:szCs w:val="18"/>
        </w:rPr>
        <w:footnoteRef/>
      </w:r>
      <w:r w:rsidRPr="000A796F">
        <w:rPr>
          <w:rFonts w:cstheme="minorHAnsi"/>
          <w:sz w:val="18"/>
          <w:szCs w:val="18"/>
        </w:rPr>
        <w:t xml:space="preserve"> Satherley, P., Laws, E., &amp; Sok, S.</w:t>
      </w:r>
      <w:r>
        <w:rPr>
          <w:rFonts w:cstheme="minorHAnsi"/>
          <w:sz w:val="18"/>
          <w:szCs w:val="18"/>
        </w:rPr>
        <w:t>,</w:t>
      </w:r>
      <w:r w:rsidRPr="000A796F">
        <w:rPr>
          <w:rFonts w:cstheme="minorHAnsi"/>
          <w:sz w:val="18"/>
          <w:szCs w:val="18"/>
        </w:rPr>
        <w:t xml:space="preserve"> 2008. </w:t>
      </w:r>
      <w:r w:rsidRPr="000A796F">
        <w:rPr>
          <w:rFonts w:cstheme="minorHAnsi"/>
          <w:i/>
          <w:sz w:val="18"/>
          <w:szCs w:val="18"/>
        </w:rPr>
        <w:t>‘</w:t>
      </w:r>
      <w:r w:rsidRPr="000A796F">
        <w:rPr>
          <w:rFonts w:cstheme="minorHAnsi"/>
          <w:i/>
          <w:iCs/>
          <w:sz w:val="18"/>
          <w:szCs w:val="18"/>
        </w:rPr>
        <w:t>The adult literacy and life skills (ALL) survey: Overview and international comparisons’</w:t>
      </w:r>
      <w:r w:rsidRPr="000A796F">
        <w:rPr>
          <w:rFonts w:cstheme="minorHAnsi"/>
          <w:i/>
          <w:sz w:val="18"/>
          <w:szCs w:val="18"/>
        </w:rPr>
        <w:t>.</w:t>
      </w:r>
      <w:r w:rsidRPr="000A796F">
        <w:rPr>
          <w:rFonts w:cstheme="minorHAnsi"/>
          <w:sz w:val="18"/>
          <w:szCs w:val="18"/>
        </w:rPr>
        <w:t xml:space="preserve"> Wellington, New Zealand: Ministry of Education. Available at: </w:t>
      </w:r>
      <w:hyperlink r:id="rId89" w:history="1">
        <w:r w:rsidRPr="000A796F">
          <w:rPr>
            <w:rStyle w:val="Hyperlink"/>
            <w:rFonts w:eastAsiaTheme="majorEastAsia" w:cstheme="minorHAnsi"/>
            <w:sz w:val="18"/>
            <w:szCs w:val="18"/>
          </w:rPr>
          <w:t>Ministry of Education website</w:t>
        </w:r>
      </w:hyperlink>
      <w:r w:rsidRPr="000A796F">
        <w:rPr>
          <w:rFonts w:cstheme="minorHAnsi"/>
          <w:sz w:val="18"/>
          <w:szCs w:val="18"/>
        </w:rPr>
        <w:t xml:space="preserve"> (a</w:t>
      </w:r>
      <w:r w:rsidRPr="000A796F">
        <w:rPr>
          <w:rFonts w:cstheme="minorHAnsi"/>
          <w:noProof/>
          <w:sz w:val="18"/>
          <w:szCs w:val="18"/>
        </w:rPr>
        <w:t>ccessed 14 November 2018)</w:t>
      </w:r>
      <w:r>
        <w:rPr>
          <w:rFonts w:cstheme="minorHAnsi"/>
          <w:noProof/>
          <w:sz w:val="18"/>
          <w:szCs w:val="18"/>
        </w:rPr>
        <w:t>.</w:t>
      </w:r>
    </w:p>
  </w:footnote>
  <w:footnote w:id="126">
    <w:p w14:paraId="44043845" w14:textId="3A667355" w:rsidR="00AA37B6" w:rsidRPr="00A16691" w:rsidRDefault="00AA37B6" w:rsidP="00696D94">
      <w:pPr>
        <w:spacing w:before="0" w:after="0"/>
        <w:rPr>
          <w:sz w:val="16"/>
          <w:szCs w:val="16"/>
        </w:rPr>
      </w:pPr>
      <w:r w:rsidRPr="000A796F">
        <w:rPr>
          <w:rStyle w:val="FootnoteReference"/>
          <w:rFonts w:eastAsiaTheme="majorEastAsia" w:cstheme="minorHAnsi"/>
          <w:sz w:val="18"/>
          <w:szCs w:val="18"/>
        </w:rPr>
        <w:footnoteRef/>
      </w:r>
      <w:r w:rsidRPr="000A796F">
        <w:rPr>
          <w:rFonts w:cstheme="minorHAnsi"/>
          <w:sz w:val="18"/>
          <w:szCs w:val="18"/>
        </w:rPr>
        <w:t xml:space="preserve"> </w:t>
      </w:r>
      <w:r w:rsidRPr="008175C1">
        <w:rPr>
          <w:rFonts w:cstheme="minorHAnsi"/>
          <w:sz w:val="18"/>
          <w:szCs w:val="18"/>
        </w:rPr>
        <w:t xml:space="preserve">OECD, 2017. </w:t>
      </w:r>
      <w:r w:rsidRPr="008175C1">
        <w:rPr>
          <w:rFonts w:cstheme="minorHAnsi"/>
          <w:i/>
          <w:sz w:val="18"/>
          <w:szCs w:val="18"/>
        </w:rPr>
        <w:t xml:space="preserve">‘Building Skills for All in Australia: Policy Insights from the Survey of Adult Skills’. </w:t>
      </w:r>
      <w:r w:rsidRPr="00910339">
        <w:rPr>
          <w:rFonts w:cstheme="minorHAnsi"/>
          <w:sz w:val="18"/>
          <w:szCs w:val="18"/>
        </w:rPr>
        <w:t>OECD Skills Studies.</w:t>
      </w:r>
      <w:r w:rsidRPr="008175C1">
        <w:rPr>
          <w:rFonts w:cstheme="minorHAnsi"/>
          <w:i/>
          <w:sz w:val="18"/>
          <w:szCs w:val="18"/>
        </w:rPr>
        <w:t xml:space="preserve"> </w:t>
      </w:r>
      <w:r w:rsidRPr="008175C1">
        <w:rPr>
          <w:rFonts w:cstheme="minorHAnsi"/>
          <w:sz w:val="18"/>
          <w:szCs w:val="18"/>
        </w:rPr>
        <w:t xml:space="preserve">Available </w:t>
      </w:r>
      <w:hyperlink r:id="rId90" w:anchor="page4" w:history="1">
        <w:r w:rsidRPr="008175C1">
          <w:rPr>
            <w:rStyle w:val="Hyperlink"/>
            <w:rFonts w:cstheme="minorHAnsi"/>
            <w:sz w:val="18"/>
            <w:szCs w:val="18"/>
          </w:rPr>
          <w:t>online</w:t>
        </w:r>
      </w:hyperlink>
      <w:r w:rsidRPr="008175C1">
        <w:rPr>
          <w:rFonts w:cstheme="minorHAnsi"/>
          <w:sz w:val="18"/>
          <w:szCs w:val="18"/>
        </w:rPr>
        <w:t xml:space="preserve"> (accessed 14 November 2018).</w:t>
      </w:r>
    </w:p>
  </w:footnote>
  <w:footnote w:id="127">
    <w:p w14:paraId="7AB5D124" w14:textId="7BFEB923" w:rsidR="00AA37B6" w:rsidRPr="00993032" w:rsidRDefault="00AA37B6" w:rsidP="00696D94">
      <w:pPr>
        <w:pStyle w:val="FootnoteText"/>
        <w:spacing w:before="0" w:after="0"/>
        <w:rPr>
          <w:rFonts w:cstheme="minorHAnsi"/>
          <w:i/>
          <w:sz w:val="18"/>
          <w:szCs w:val="18"/>
        </w:rPr>
      </w:pPr>
      <w:r w:rsidRPr="00993032">
        <w:rPr>
          <w:rStyle w:val="FootnoteReference"/>
          <w:rFonts w:cstheme="minorHAnsi"/>
          <w:sz w:val="18"/>
          <w:szCs w:val="18"/>
        </w:rPr>
        <w:footnoteRef/>
      </w:r>
      <w:r w:rsidRPr="00993032">
        <w:rPr>
          <w:rFonts w:cstheme="minorHAnsi"/>
          <w:sz w:val="18"/>
          <w:szCs w:val="18"/>
        </w:rPr>
        <w:t xml:space="preserve"> Food Standards Australia New Zealand</w:t>
      </w:r>
      <w:r>
        <w:rPr>
          <w:rFonts w:cstheme="minorHAnsi"/>
          <w:sz w:val="18"/>
          <w:szCs w:val="18"/>
        </w:rPr>
        <w:t>,</w:t>
      </w:r>
      <w:r w:rsidRPr="00993032">
        <w:rPr>
          <w:rFonts w:cstheme="minorHAnsi"/>
          <w:sz w:val="18"/>
          <w:szCs w:val="18"/>
        </w:rPr>
        <w:t xml:space="preserve"> 2017. </w:t>
      </w:r>
      <w:r>
        <w:rPr>
          <w:rFonts w:cstheme="minorHAnsi"/>
          <w:sz w:val="18"/>
          <w:szCs w:val="18"/>
        </w:rPr>
        <w:t>‘</w:t>
      </w:r>
      <w:r w:rsidRPr="00993032">
        <w:rPr>
          <w:rFonts w:cstheme="minorHAnsi"/>
          <w:i/>
          <w:sz w:val="18"/>
          <w:szCs w:val="18"/>
        </w:rPr>
        <w:t>Consumer Label Survey 2015 – Food labelling Use and Understanding in Australia and New Zealand, Food Standards Australia New Zealand</w:t>
      </w:r>
      <w:r>
        <w:rPr>
          <w:rFonts w:cstheme="minorHAnsi"/>
          <w:i/>
          <w:sz w:val="18"/>
          <w:szCs w:val="18"/>
        </w:rPr>
        <w:t>’</w:t>
      </w:r>
      <w:r w:rsidRPr="00993032">
        <w:rPr>
          <w:rFonts w:cstheme="minorHAnsi"/>
          <w:sz w:val="18"/>
          <w:szCs w:val="18"/>
        </w:rPr>
        <w:t xml:space="preserve">. Available at: </w:t>
      </w:r>
      <w:hyperlink r:id="rId91" w:history="1">
        <w:r w:rsidRPr="00993032">
          <w:rPr>
            <w:rStyle w:val="Hyperlink"/>
            <w:rFonts w:cstheme="minorHAnsi"/>
            <w:sz w:val="18"/>
            <w:szCs w:val="18"/>
          </w:rPr>
          <w:t>FSANZ website</w:t>
        </w:r>
      </w:hyperlink>
      <w:r w:rsidRPr="00993032">
        <w:rPr>
          <w:rFonts w:cstheme="minorHAnsi"/>
          <w:sz w:val="18"/>
          <w:szCs w:val="18"/>
        </w:rPr>
        <w:t xml:space="preserve"> (accessed 17 December 2018)</w:t>
      </w:r>
      <w:r>
        <w:rPr>
          <w:rFonts w:cstheme="minorHAnsi"/>
          <w:sz w:val="18"/>
          <w:szCs w:val="18"/>
        </w:rPr>
        <w:t>.</w:t>
      </w:r>
    </w:p>
  </w:footnote>
  <w:footnote w:id="128">
    <w:p w14:paraId="70EF938B" w14:textId="63887073" w:rsidR="00AA37B6" w:rsidRPr="00993032" w:rsidRDefault="00AA37B6" w:rsidP="00696D94">
      <w:pPr>
        <w:pStyle w:val="FootnoteText"/>
        <w:spacing w:before="0" w:after="0"/>
        <w:rPr>
          <w:rFonts w:cstheme="minorHAnsi"/>
          <w:sz w:val="18"/>
          <w:szCs w:val="18"/>
        </w:rPr>
      </w:pPr>
      <w:r w:rsidRPr="00993032">
        <w:rPr>
          <w:rStyle w:val="FootnoteReference"/>
          <w:rFonts w:eastAsiaTheme="majorEastAsia" w:cstheme="minorHAnsi"/>
          <w:sz w:val="18"/>
          <w:szCs w:val="18"/>
        </w:rPr>
        <w:footnoteRef/>
      </w:r>
      <w:r w:rsidRPr="00993032">
        <w:rPr>
          <w:rFonts w:cstheme="minorHAnsi"/>
          <w:sz w:val="18"/>
          <w:szCs w:val="18"/>
        </w:rPr>
        <w:t xml:space="preserve"> </w:t>
      </w:r>
      <w:r>
        <w:rPr>
          <w:rFonts w:cstheme="minorHAnsi"/>
          <w:sz w:val="18"/>
          <w:szCs w:val="18"/>
          <w:shd w:val="clear" w:color="auto" w:fill="FFFFFF"/>
        </w:rPr>
        <w:t>Vanderlee, L., et al,</w:t>
      </w:r>
      <w:r w:rsidRPr="00993032">
        <w:rPr>
          <w:rFonts w:cstheme="minorHAnsi"/>
          <w:sz w:val="18"/>
          <w:szCs w:val="18"/>
          <w:shd w:val="clear" w:color="auto" w:fill="FFFFFF"/>
        </w:rPr>
        <w:t xml:space="preserve"> 2015</w:t>
      </w:r>
      <w:r>
        <w:rPr>
          <w:rFonts w:cstheme="minorHAnsi"/>
          <w:sz w:val="18"/>
          <w:szCs w:val="18"/>
          <w:shd w:val="clear" w:color="auto" w:fill="FFFFFF"/>
        </w:rPr>
        <w:t>.</w:t>
      </w:r>
      <w:r w:rsidRPr="00993032">
        <w:rPr>
          <w:rFonts w:cstheme="minorHAnsi"/>
          <w:sz w:val="18"/>
          <w:szCs w:val="18"/>
          <w:shd w:val="clear" w:color="auto" w:fill="FFFFFF"/>
        </w:rPr>
        <w:t xml:space="preserve"> ‘The efficacy of sugar labelling formats: Implications for labeling policy’. </w:t>
      </w:r>
      <w:r w:rsidRPr="00993032">
        <w:rPr>
          <w:rFonts w:cstheme="minorHAnsi"/>
          <w:i/>
          <w:sz w:val="18"/>
          <w:szCs w:val="18"/>
          <w:shd w:val="clear" w:color="auto" w:fill="FFFFFF"/>
        </w:rPr>
        <w:t>Obesity</w:t>
      </w:r>
      <w:r>
        <w:rPr>
          <w:rFonts w:cstheme="minorHAnsi"/>
          <w:sz w:val="18"/>
          <w:szCs w:val="18"/>
          <w:shd w:val="clear" w:color="auto" w:fill="FFFFFF"/>
        </w:rPr>
        <w:t>, 23: p</w:t>
      </w:r>
      <w:r w:rsidRPr="00993032">
        <w:rPr>
          <w:rFonts w:cstheme="minorHAnsi"/>
          <w:sz w:val="18"/>
          <w:szCs w:val="18"/>
          <w:shd w:val="clear" w:color="auto" w:fill="FFFFFF"/>
        </w:rPr>
        <w:t>2406-2413.</w:t>
      </w:r>
    </w:p>
  </w:footnote>
  <w:footnote w:id="129">
    <w:p w14:paraId="31FC2B97" w14:textId="52056F67" w:rsidR="00AA37B6" w:rsidRPr="00993032" w:rsidRDefault="00AA37B6" w:rsidP="00696D94">
      <w:pPr>
        <w:pStyle w:val="FootnoteText"/>
        <w:spacing w:before="0" w:after="0"/>
        <w:rPr>
          <w:rFonts w:cstheme="minorHAnsi"/>
          <w:sz w:val="18"/>
          <w:szCs w:val="18"/>
        </w:rPr>
      </w:pPr>
      <w:r w:rsidRPr="00993032">
        <w:rPr>
          <w:rStyle w:val="FootnoteReference"/>
          <w:rFonts w:eastAsiaTheme="majorEastAsia" w:cstheme="minorHAnsi"/>
          <w:sz w:val="18"/>
          <w:szCs w:val="18"/>
        </w:rPr>
        <w:footnoteRef/>
      </w:r>
      <w:r w:rsidRPr="00993032">
        <w:rPr>
          <w:rFonts w:cstheme="minorHAnsi"/>
          <w:sz w:val="18"/>
          <w:szCs w:val="18"/>
        </w:rPr>
        <w:t xml:space="preserve"> </w:t>
      </w:r>
      <w:r w:rsidRPr="00993032">
        <w:rPr>
          <w:rFonts w:cstheme="minorHAnsi"/>
          <w:sz w:val="18"/>
          <w:szCs w:val="18"/>
          <w:shd w:val="clear" w:color="auto" w:fill="FFFFFF"/>
        </w:rPr>
        <w:t xml:space="preserve">Khandpur, N., Graham, D. &amp; Roberto, C. 2017, ‘Simplifying mental math: Changing how added sugars are displayed on the nutrition facts label can improve consumer understanding’, </w:t>
      </w:r>
      <w:r w:rsidRPr="00993032">
        <w:rPr>
          <w:rFonts w:cstheme="minorHAnsi"/>
          <w:i/>
          <w:sz w:val="18"/>
          <w:szCs w:val="18"/>
          <w:shd w:val="clear" w:color="auto" w:fill="FFFFFF"/>
        </w:rPr>
        <w:t>Appetite, Vol</w:t>
      </w:r>
      <w:r w:rsidRPr="00993032">
        <w:rPr>
          <w:rFonts w:cstheme="minorHAnsi"/>
          <w:sz w:val="18"/>
          <w:szCs w:val="18"/>
          <w:shd w:val="clear" w:color="auto" w:fill="FFFFFF"/>
        </w:rPr>
        <w:t>. 114, p38-46.</w:t>
      </w:r>
    </w:p>
  </w:footnote>
  <w:footnote w:id="130">
    <w:p w14:paraId="32210F81" w14:textId="6D1F9712" w:rsidR="00AA37B6" w:rsidRPr="00993032" w:rsidRDefault="00AA37B6" w:rsidP="00696D94">
      <w:pPr>
        <w:pStyle w:val="FootnoteText"/>
        <w:spacing w:before="0" w:after="0"/>
        <w:rPr>
          <w:rFonts w:cstheme="minorHAnsi"/>
          <w:sz w:val="18"/>
          <w:szCs w:val="18"/>
        </w:rPr>
      </w:pPr>
      <w:r w:rsidRPr="00993032">
        <w:rPr>
          <w:rStyle w:val="FootnoteReference"/>
          <w:rFonts w:eastAsiaTheme="majorEastAsia" w:cstheme="minorHAnsi"/>
          <w:sz w:val="18"/>
          <w:szCs w:val="18"/>
        </w:rPr>
        <w:footnoteRef/>
      </w:r>
      <w:r w:rsidRPr="00993032">
        <w:rPr>
          <w:rFonts w:cstheme="minorHAnsi"/>
          <w:sz w:val="18"/>
          <w:szCs w:val="18"/>
        </w:rPr>
        <w:t xml:space="preserve"> </w:t>
      </w:r>
      <w:r w:rsidRPr="00993032">
        <w:rPr>
          <w:rFonts w:cstheme="minorHAnsi"/>
          <w:sz w:val="18"/>
          <w:szCs w:val="18"/>
          <w:shd w:val="clear" w:color="auto" w:fill="FFFFFF"/>
        </w:rPr>
        <w:t>Vanderlee, L.</w:t>
      </w:r>
      <w:r>
        <w:rPr>
          <w:rFonts w:cstheme="minorHAnsi"/>
          <w:sz w:val="18"/>
          <w:szCs w:val="18"/>
          <w:shd w:val="clear" w:color="auto" w:fill="FFFFFF"/>
        </w:rPr>
        <w:t>,</w:t>
      </w:r>
      <w:r w:rsidRPr="00993032">
        <w:rPr>
          <w:rFonts w:cstheme="minorHAnsi"/>
          <w:sz w:val="18"/>
          <w:szCs w:val="18"/>
          <w:shd w:val="clear" w:color="auto" w:fill="FFFFFF"/>
        </w:rPr>
        <w:t xml:space="preserve"> et al</w:t>
      </w:r>
      <w:r>
        <w:rPr>
          <w:rFonts w:cstheme="minorHAnsi"/>
          <w:sz w:val="18"/>
          <w:szCs w:val="18"/>
          <w:shd w:val="clear" w:color="auto" w:fill="FFFFFF"/>
        </w:rPr>
        <w:t>,</w:t>
      </w:r>
      <w:r w:rsidRPr="00993032">
        <w:rPr>
          <w:rFonts w:cstheme="minorHAnsi"/>
          <w:sz w:val="18"/>
          <w:szCs w:val="18"/>
          <w:shd w:val="clear" w:color="auto" w:fill="FFFFFF"/>
        </w:rPr>
        <w:t xml:space="preserve"> 2015</w:t>
      </w:r>
      <w:r>
        <w:rPr>
          <w:rFonts w:cstheme="minorHAnsi"/>
          <w:sz w:val="18"/>
          <w:szCs w:val="18"/>
          <w:shd w:val="clear" w:color="auto" w:fill="FFFFFF"/>
        </w:rPr>
        <w:t>.</w:t>
      </w:r>
      <w:r w:rsidRPr="00993032">
        <w:rPr>
          <w:rFonts w:cstheme="minorHAnsi"/>
          <w:sz w:val="18"/>
          <w:szCs w:val="18"/>
          <w:shd w:val="clear" w:color="auto" w:fill="FFFFFF"/>
        </w:rPr>
        <w:t xml:space="preserve"> ‘The efficacy of sugar labelling formats: Implications for labeling policy’. </w:t>
      </w:r>
      <w:r w:rsidRPr="00993032">
        <w:rPr>
          <w:rFonts w:cstheme="minorHAnsi"/>
          <w:i/>
          <w:sz w:val="18"/>
          <w:szCs w:val="18"/>
          <w:shd w:val="clear" w:color="auto" w:fill="FFFFFF"/>
        </w:rPr>
        <w:t>Obesity</w:t>
      </w:r>
      <w:r>
        <w:rPr>
          <w:rFonts w:cstheme="minorHAnsi"/>
          <w:sz w:val="18"/>
          <w:szCs w:val="18"/>
          <w:shd w:val="clear" w:color="auto" w:fill="FFFFFF"/>
        </w:rPr>
        <w:t>, 23: p</w:t>
      </w:r>
      <w:r w:rsidRPr="00993032">
        <w:rPr>
          <w:rFonts w:cstheme="minorHAnsi"/>
          <w:sz w:val="18"/>
          <w:szCs w:val="18"/>
          <w:shd w:val="clear" w:color="auto" w:fill="FFFFFF"/>
        </w:rPr>
        <w:t>2406-2413.</w:t>
      </w:r>
    </w:p>
  </w:footnote>
  <w:footnote w:id="131">
    <w:p w14:paraId="395CA4ED" w14:textId="5416FC19" w:rsidR="00AA37B6" w:rsidRPr="00A16691" w:rsidRDefault="00AA37B6" w:rsidP="00696D94">
      <w:pPr>
        <w:pStyle w:val="FootnoteText"/>
        <w:spacing w:before="0" w:after="0"/>
        <w:rPr>
          <w:rFonts w:ascii="Times New Roman" w:hAnsi="Times New Roman" w:cs="Times New Roman"/>
          <w:sz w:val="16"/>
          <w:szCs w:val="16"/>
        </w:rPr>
      </w:pPr>
      <w:r w:rsidRPr="00993032">
        <w:rPr>
          <w:rStyle w:val="FootnoteReference"/>
          <w:rFonts w:eastAsiaTheme="majorEastAsia" w:cstheme="minorHAnsi"/>
          <w:sz w:val="18"/>
          <w:szCs w:val="18"/>
        </w:rPr>
        <w:footnoteRef/>
      </w:r>
      <w:r w:rsidRPr="00993032">
        <w:rPr>
          <w:rFonts w:cstheme="minorHAnsi"/>
          <w:sz w:val="18"/>
          <w:szCs w:val="18"/>
        </w:rPr>
        <w:t xml:space="preserve"> Food Standards Australia New Zealand</w:t>
      </w:r>
      <w:r>
        <w:rPr>
          <w:rFonts w:cstheme="minorHAnsi"/>
          <w:sz w:val="18"/>
          <w:szCs w:val="18"/>
        </w:rPr>
        <w:t>,</w:t>
      </w:r>
      <w:r w:rsidRPr="00993032">
        <w:rPr>
          <w:rFonts w:cstheme="minorHAnsi"/>
          <w:sz w:val="18"/>
          <w:szCs w:val="18"/>
        </w:rPr>
        <w:t xml:space="preserve"> 2015. </w:t>
      </w:r>
      <w:r w:rsidRPr="00993032">
        <w:rPr>
          <w:rFonts w:cstheme="minorHAnsi"/>
          <w:i/>
          <w:sz w:val="18"/>
          <w:szCs w:val="18"/>
        </w:rPr>
        <w:t xml:space="preserve">‘Consumer label survey 2015. Food labelling use and understanding in Australia and New Zealand’. </w:t>
      </w:r>
      <w:r w:rsidRPr="00993032">
        <w:rPr>
          <w:rFonts w:cstheme="minorHAnsi"/>
          <w:sz w:val="18"/>
          <w:szCs w:val="18"/>
        </w:rPr>
        <w:t xml:space="preserve">Available at: </w:t>
      </w:r>
      <w:hyperlink r:id="rId92" w:history="1">
        <w:r w:rsidRPr="00993032">
          <w:rPr>
            <w:rStyle w:val="Hyperlink"/>
            <w:rFonts w:eastAsiaTheme="majorEastAsia" w:cstheme="minorHAnsi"/>
            <w:sz w:val="18"/>
            <w:szCs w:val="18"/>
          </w:rPr>
          <w:t>FSANZ website</w:t>
        </w:r>
      </w:hyperlink>
      <w:r w:rsidRPr="00993032">
        <w:rPr>
          <w:rFonts w:cstheme="minorHAnsi"/>
          <w:sz w:val="18"/>
          <w:szCs w:val="18"/>
        </w:rPr>
        <w:t xml:space="preserve"> (accessed 13 November 2018)</w:t>
      </w:r>
      <w:r>
        <w:rPr>
          <w:rFonts w:cstheme="minorHAnsi"/>
          <w:sz w:val="18"/>
          <w:szCs w:val="18"/>
        </w:rPr>
        <w:t>.</w:t>
      </w:r>
    </w:p>
  </w:footnote>
  <w:footnote w:id="132">
    <w:p w14:paraId="322FE281" w14:textId="1A3F87B8" w:rsidR="00AA37B6" w:rsidRPr="00993032" w:rsidRDefault="00AA37B6" w:rsidP="00696D94">
      <w:pPr>
        <w:pStyle w:val="FootnoteText"/>
        <w:spacing w:before="0" w:after="0"/>
        <w:rPr>
          <w:rFonts w:cstheme="minorHAnsi"/>
          <w:sz w:val="18"/>
          <w:szCs w:val="18"/>
        </w:rPr>
      </w:pPr>
      <w:r w:rsidRPr="00993032">
        <w:rPr>
          <w:rStyle w:val="FootnoteReference"/>
          <w:rFonts w:eastAsiaTheme="majorEastAsia" w:cstheme="minorHAnsi"/>
          <w:sz w:val="18"/>
          <w:szCs w:val="18"/>
        </w:rPr>
        <w:footnoteRef/>
      </w:r>
      <w:r w:rsidRPr="00993032">
        <w:rPr>
          <w:rFonts w:cstheme="minorHAnsi"/>
          <w:sz w:val="18"/>
          <w:szCs w:val="18"/>
        </w:rPr>
        <w:t xml:space="preserve"> Food Standards Australia New Zealand</w:t>
      </w:r>
      <w:r>
        <w:rPr>
          <w:rFonts w:cstheme="minorHAnsi"/>
          <w:sz w:val="18"/>
          <w:szCs w:val="18"/>
        </w:rPr>
        <w:t>,</w:t>
      </w:r>
      <w:r w:rsidRPr="00993032">
        <w:rPr>
          <w:rFonts w:cstheme="minorHAnsi"/>
          <w:sz w:val="18"/>
          <w:szCs w:val="18"/>
        </w:rPr>
        <w:t xml:space="preserve"> 2015. </w:t>
      </w:r>
      <w:r w:rsidRPr="00993032">
        <w:rPr>
          <w:rFonts w:cstheme="minorHAnsi"/>
          <w:i/>
          <w:sz w:val="18"/>
          <w:szCs w:val="18"/>
        </w:rPr>
        <w:t xml:space="preserve">‘Consumer label survey 2015. Food labelling use and understanding in Australia and New Zealand’. </w:t>
      </w:r>
      <w:r w:rsidRPr="00993032">
        <w:rPr>
          <w:rFonts w:cstheme="minorHAnsi"/>
          <w:sz w:val="18"/>
          <w:szCs w:val="18"/>
        </w:rPr>
        <w:t xml:space="preserve">Available at: </w:t>
      </w:r>
      <w:hyperlink r:id="rId93" w:history="1">
        <w:r w:rsidRPr="00993032">
          <w:rPr>
            <w:rStyle w:val="Hyperlink"/>
            <w:rFonts w:eastAsiaTheme="majorEastAsia" w:cstheme="minorHAnsi"/>
            <w:sz w:val="18"/>
            <w:szCs w:val="18"/>
          </w:rPr>
          <w:t>FSANZ website</w:t>
        </w:r>
      </w:hyperlink>
      <w:r w:rsidRPr="00993032">
        <w:rPr>
          <w:rFonts w:cstheme="minorHAnsi"/>
          <w:sz w:val="18"/>
          <w:szCs w:val="18"/>
        </w:rPr>
        <w:t xml:space="preserve"> (accessed 13 November 2018)</w:t>
      </w:r>
      <w:r>
        <w:rPr>
          <w:rFonts w:cstheme="minorHAnsi"/>
          <w:sz w:val="18"/>
          <w:szCs w:val="18"/>
        </w:rPr>
        <w:t>.</w:t>
      </w:r>
    </w:p>
  </w:footnote>
  <w:footnote w:id="133">
    <w:p w14:paraId="7211307F" w14:textId="612D84C3" w:rsidR="00AA37B6" w:rsidRPr="00993032" w:rsidRDefault="00AA37B6" w:rsidP="00696D94">
      <w:pPr>
        <w:pStyle w:val="FootnoteText"/>
        <w:spacing w:before="0" w:after="0"/>
        <w:rPr>
          <w:rFonts w:cstheme="minorHAnsi"/>
          <w:sz w:val="18"/>
          <w:szCs w:val="18"/>
        </w:rPr>
      </w:pPr>
      <w:r w:rsidRPr="00993032">
        <w:rPr>
          <w:rStyle w:val="FootnoteReference"/>
          <w:rFonts w:eastAsiaTheme="majorEastAsia" w:cstheme="minorHAnsi"/>
          <w:sz w:val="18"/>
          <w:szCs w:val="18"/>
        </w:rPr>
        <w:footnoteRef/>
      </w:r>
      <w:r w:rsidRPr="00993032">
        <w:rPr>
          <w:rFonts w:cstheme="minorHAnsi"/>
          <w:sz w:val="18"/>
          <w:szCs w:val="18"/>
        </w:rPr>
        <w:t xml:space="preserve"> </w:t>
      </w:r>
      <w:r w:rsidRPr="00993032">
        <w:rPr>
          <w:rFonts w:cstheme="minorHAnsi"/>
          <w:sz w:val="18"/>
          <w:szCs w:val="18"/>
          <w:shd w:val="clear" w:color="auto" w:fill="FFFFFF"/>
        </w:rPr>
        <w:t>Laquatra, I.,</w:t>
      </w:r>
      <w:r>
        <w:rPr>
          <w:rFonts w:cstheme="minorHAnsi"/>
          <w:sz w:val="18"/>
          <w:szCs w:val="18"/>
          <w:shd w:val="clear" w:color="auto" w:fill="FFFFFF"/>
        </w:rPr>
        <w:t xml:space="preserve"> </w:t>
      </w:r>
      <w:r w:rsidRPr="00993032">
        <w:rPr>
          <w:rFonts w:cstheme="minorHAnsi"/>
          <w:sz w:val="18"/>
          <w:szCs w:val="18"/>
          <w:shd w:val="clear" w:color="auto" w:fill="FFFFFF"/>
        </w:rPr>
        <w:t>et a</w:t>
      </w:r>
      <w:r>
        <w:rPr>
          <w:rFonts w:cstheme="minorHAnsi"/>
          <w:sz w:val="18"/>
          <w:szCs w:val="18"/>
          <w:shd w:val="clear" w:color="auto" w:fill="FFFFFF"/>
        </w:rPr>
        <w:t>l,</w:t>
      </w:r>
      <w:r w:rsidRPr="00993032">
        <w:rPr>
          <w:rFonts w:cstheme="minorHAnsi"/>
          <w:sz w:val="18"/>
          <w:szCs w:val="18"/>
          <w:shd w:val="clear" w:color="auto" w:fill="FFFFFF"/>
        </w:rPr>
        <w:t xml:space="preserve"> 2015. ‘Including “added sugars” on the Nutrition Facts panel: how consumers perceive the proposed change’. </w:t>
      </w:r>
      <w:r w:rsidRPr="00993032">
        <w:rPr>
          <w:rFonts w:cstheme="minorHAnsi"/>
          <w:i/>
          <w:sz w:val="18"/>
          <w:szCs w:val="18"/>
          <w:shd w:val="clear" w:color="auto" w:fill="FFFFFF"/>
        </w:rPr>
        <w:t>Journal of the Academy of Nutrition and Dietetics</w:t>
      </w:r>
      <w:r>
        <w:rPr>
          <w:rFonts w:cstheme="minorHAnsi"/>
          <w:sz w:val="18"/>
          <w:szCs w:val="18"/>
          <w:shd w:val="clear" w:color="auto" w:fill="FFFFFF"/>
        </w:rPr>
        <w:t>, 115(11): p</w:t>
      </w:r>
      <w:r w:rsidRPr="00993032">
        <w:rPr>
          <w:rFonts w:cstheme="minorHAnsi"/>
          <w:sz w:val="18"/>
          <w:szCs w:val="18"/>
          <w:shd w:val="clear" w:color="auto" w:fill="FFFFFF"/>
        </w:rPr>
        <w:t>1758-1763</w:t>
      </w:r>
      <w:r>
        <w:rPr>
          <w:rFonts w:cstheme="minorHAnsi"/>
          <w:sz w:val="18"/>
          <w:szCs w:val="18"/>
          <w:shd w:val="clear" w:color="auto" w:fill="FFFFFF"/>
        </w:rPr>
        <w:t>.</w:t>
      </w:r>
    </w:p>
  </w:footnote>
  <w:footnote w:id="134">
    <w:p w14:paraId="187E7CD6" w14:textId="6308366D" w:rsidR="00AA37B6" w:rsidRPr="00993032" w:rsidRDefault="00AA37B6" w:rsidP="00696D94">
      <w:pPr>
        <w:pStyle w:val="FootnoteText"/>
        <w:spacing w:before="0" w:after="0"/>
        <w:rPr>
          <w:rFonts w:cstheme="minorHAnsi"/>
          <w:sz w:val="18"/>
          <w:szCs w:val="18"/>
        </w:rPr>
      </w:pPr>
      <w:r w:rsidRPr="00993032">
        <w:rPr>
          <w:rStyle w:val="FootnoteReference"/>
          <w:rFonts w:eastAsiaTheme="majorEastAsia" w:cstheme="minorHAnsi"/>
          <w:sz w:val="18"/>
          <w:szCs w:val="18"/>
        </w:rPr>
        <w:footnoteRef/>
      </w:r>
      <w:r w:rsidRPr="00993032">
        <w:rPr>
          <w:rFonts w:cstheme="minorHAnsi"/>
          <w:sz w:val="18"/>
          <w:szCs w:val="18"/>
        </w:rPr>
        <w:t xml:space="preserve"> Food Standards Australia New Zealand</w:t>
      </w:r>
      <w:r>
        <w:rPr>
          <w:rFonts w:cstheme="minorHAnsi"/>
          <w:sz w:val="18"/>
          <w:szCs w:val="18"/>
        </w:rPr>
        <w:t>,</w:t>
      </w:r>
      <w:r w:rsidRPr="00993032">
        <w:rPr>
          <w:rFonts w:cstheme="minorHAnsi"/>
          <w:sz w:val="18"/>
          <w:szCs w:val="18"/>
        </w:rPr>
        <w:t xml:space="preserve"> 2017. ‘</w:t>
      </w:r>
      <w:r w:rsidRPr="00993032">
        <w:rPr>
          <w:rFonts w:cstheme="minorHAnsi"/>
          <w:i/>
          <w:sz w:val="18"/>
          <w:szCs w:val="18"/>
        </w:rPr>
        <w:t>Literature review on consumer knowledge, attitudes and behaviours relating to sugars and food labelling’</w:t>
      </w:r>
      <w:r>
        <w:rPr>
          <w:rFonts w:cstheme="minorHAnsi"/>
          <w:sz w:val="18"/>
          <w:szCs w:val="18"/>
        </w:rPr>
        <w:t xml:space="preserve">. </w:t>
      </w:r>
      <w:r w:rsidRPr="00993032">
        <w:rPr>
          <w:rFonts w:cstheme="minorHAnsi"/>
          <w:sz w:val="18"/>
          <w:szCs w:val="18"/>
        </w:rPr>
        <w:t xml:space="preserve">Available at: </w:t>
      </w:r>
      <w:hyperlink r:id="rId94" w:history="1">
        <w:r w:rsidRPr="00993032">
          <w:rPr>
            <w:rStyle w:val="Hyperlink"/>
            <w:rFonts w:eastAsiaTheme="majorEastAsia" w:cstheme="minorHAnsi"/>
            <w:sz w:val="18"/>
            <w:szCs w:val="18"/>
          </w:rPr>
          <w:t>Food Regulation website</w:t>
        </w:r>
      </w:hyperlink>
      <w:r w:rsidRPr="00993032">
        <w:rPr>
          <w:rFonts w:cstheme="minorHAnsi"/>
          <w:sz w:val="18"/>
          <w:szCs w:val="18"/>
        </w:rPr>
        <w:t xml:space="preserve"> (accessed 4 April 2018)</w:t>
      </w:r>
      <w:r>
        <w:rPr>
          <w:rFonts w:cstheme="minorHAnsi"/>
          <w:sz w:val="18"/>
          <w:szCs w:val="18"/>
        </w:rPr>
        <w:t>.</w:t>
      </w:r>
    </w:p>
  </w:footnote>
  <w:footnote w:id="135">
    <w:p w14:paraId="4787EB98" w14:textId="0C9BE05A" w:rsidR="00AA37B6" w:rsidRPr="00993032" w:rsidRDefault="00AA37B6" w:rsidP="00696D94">
      <w:pPr>
        <w:pStyle w:val="FootnoteText"/>
        <w:spacing w:before="0" w:after="0"/>
        <w:rPr>
          <w:rFonts w:cstheme="minorHAnsi"/>
          <w:sz w:val="18"/>
          <w:szCs w:val="18"/>
        </w:rPr>
      </w:pPr>
      <w:r w:rsidRPr="00993032">
        <w:rPr>
          <w:rStyle w:val="FootnoteReference"/>
          <w:rFonts w:eastAsiaTheme="majorEastAsia" w:cstheme="minorHAnsi"/>
          <w:sz w:val="18"/>
          <w:szCs w:val="18"/>
        </w:rPr>
        <w:footnoteRef/>
      </w:r>
      <w:r w:rsidRPr="00993032">
        <w:rPr>
          <w:rFonts w:cstheme="minorHAnsi"/>
          <w:sz w:val="18"/>
          <w:szCs w:val="18"/>
        </w:rPr>
        <w:t xml:space="preserve"> </w:t>
      </w:r>
      <w:r w:rsidRPr="00993032">
        <w:rPr>
          <w:rFonts w:cstheme="minorHAnsi"/>
          <w:sz w:val="18"/>
          <w:szCs w:val="18"/>
          <w:shd w:val="clear" w:color="auto" w:fill="FFFFFF"/>
        </w:rPr>
        <w:t>Laquatra, I.,</w:t>
      </w:r>
      <w:r>
        <w:rPr>
          <w:rFonts w:cstheme="minorHAnsi"/>
          <w:sz w:val="18"/>
          <w:szCs w:val="18"/>
          <w:shd w:val="clear" w:color="auto" w:fill="FFFFFF"/>
        </w:rPr>
        <w:t xml:space="preserve"> </w:t>
      </w:r>
      <w:r w:rsidRPr="00993032">
        <w:rPr>
          <w:rFonts w:cstheme="minorHAnsi"/>
          <w:sz w:val="18"/>
          <w:szCs w:val="18"/>
          <w:shd w:val="clear" w:color="auto" w:fill="FFFFFF"/>
        </w:rPr>
        <w:t>et a</w:t>
      </w:r>
      <w:r>
        <w:rPr>
          <w:rFonts w:cstheme="minorHAnsi"/>
          <w:sz w:val="18"/>
          <w:szCs w:val="18"/>
          <w:shd w:val="clear" w:color="auto" w:fill="FFFFFF"/>
        </w:rPr>
        <w:t>l,</w:t>
      </w:r>
      <w:r w:rsidRPr="00993032">
        <w:rPr>
          <w:rFonts w:cstheme="minorHAnsi"/>
          <w:sz w:val="18"/>
          <w:szCs w:val="18"/>
          <w:shd w:val="clear" w:color="auto" w:fill="FFFFFF"/>
        </w:rPr>
        <w:t xml:space="preserve"> 2015. ‘Including “added sugars” on the Nutrition Facts panel: how consumers perceive the proposed change’. </w:t>
      </w:r>
      <w:r w:rsidRPr="00993032">
        <w:rPr>
          <w:rFonts w:cstheme="minorHAnsi"/>
          <w:i/>
          <w:sz w:val="18"/>
          <w:szCs w:val="18"/>
          <w:shd w:val="clear" w:color="auto" w:fill="FFFFFF"/>
        </w:rPr>
        <w:t>Journal of the Academy of Nutrition and Dietetics</w:t>
      </w:r>
      <w:r>
        <w:rPr>
          <w:rFonts w:cstheme="minorHAnsi"/>
          <w:sz w:val="18"/>
          <w:szCs w:val="18"/>
          <w:shd w:val="clear" w:color="auto" w:fill="FFFFFF"/>
        </w:rPr>
        <w:t>, 115(11): p</w:t>
      </w:r>
      <w:r w:rsidRPr="00993032">
        <w:rPr>
          <w:rFonts w:cstheme="minorHAnsi"/>
          <w:sz w:val="18"/>
          <w:szCs w:val="18"/>
          <w:shd w:val="clear" w:color="auto" w:fill="FFFFFF"/>
        </w:rPr>
        <w:t>1758-1763</w:t>
      </w:r>
      <w:r>
        <w:rPr>
          <w:rFonts w:cstheme="minorHAnsi"/>
          <w:sz w:val="18"/>
          <w:szCs w:val="18"/>
          <w:shd w:val="clear" w:color="auto" w:fill="FFFFFF"/>
        </w:rPr>
        <w:t>.</w:t>
      </w:r>
    </w:p>
  </w:footnote>
  <w:footnote w:id="136">
    <w:p w14:paraId="467FEDD8" w14:textId="6253F515" w:rsidR="00AA37B6" w:rsidRPr="00993032" w:rsidRDefault="00AA37B6" w:rsidP="00696D94">
      <w:pPr>
        <w:pStyle w:val="FootnoteText"/>
        <w:spacing w:before="0" w:after="0"/>
        <w:rPr>
          <w:rFonts w:cstheme="minorHAnsi"/>
          <w:sz w:val="18"/>
          <w:szCs w:val="18"/>
        </w:rPr>
      </w:pPr>
      <w:r w:rsidRPr="00993032">
        <w:rPr>
          <w:rStyle w:val="FootnoteReference"/>
          <w:rFonts w:eastAsiaTheme="majorEastAsia" w:cstheme="minorHAnsi"/>
          <w:sz w:val="18"/>
          <w:szCs w:val="18"/>
        </w:rPr>
        <w:footnoteRef/>
      </w:r>
      <w:r w:rsidRPr="00993032">
        <w:rPr>
          <w:rFonts w:cstheme="minorHAnsi"/>
          <w:sz w:val="18"/>
          <w:szCs w:val="18"/>
        </w:rPr>
        <w:t xml:space="preserve"> Food Standards Australia New Zealand, 2015. </w:t>
      </w:r>
      <w:r w:rsidRPr="00993032">
        <w:rPr>
          <w:rFonts w:cstheme="minorHAnsi"/>
          <w:i/>
          <w:sz w:val="18"/>
          <w:szCs w:val="18"/>
        </w:rPr>
        <w:t xml:space="preserve">‘Consumer label survey 2015. Food labelling use and understanding in Australia and New Zealand’. </w:t>
      </w:r>
      <w:r w:rsidRPr="00993032">
        <w:rPr>
          <w:rFonts w:cstheme="minorHAnsi"/>
          <w:sz w:val="18"/>
          <w:szCs w:val="18"/>
        </w:rPr>
        <w:t xml:space="preserve">Available at: </w:t>
      </w:r>
      <w:hyperlink r:id="rId95" w:history="1">
        <w:r w:rsidRPr="00993032">
          <w:rPr>
            <w:rStyle w:val="Hyperlink"/>
            <w:rFonts w:eastAsiaTheme="majorEastAsia" w:cstheme="minorHAnsi"/>
            <w:sz w:val="18"/>
            <w:szCs w:val="18"/>
          </w:rPr>
          <w:t>FSANZ website</w:t>
        </w:r>
      </w:hyperlink>
      <w:r w:rsidRPr="00993032">
        <w:rPr>
          <w:rFonts w:cstheme="minorHAnsi"/>
          <w:sz w:val="18"/>
          <w:szCs w:val="18"/>
        </w:rPr>
        <w:t xml:space="preserve"> (accessed 13 November 2018)</w:t>
      </w:r>
      <w:r>
        <w:rPr>
          <w:rFonts w:cstheme="minorHAnsi"/>
          <w:sz w:val="18"/>
          <w:szCs w:val="18"/>
        </w:rPr>
        <w:t>.</w:t>
      </w:r>
    </w:p>
  </w:footnote>
  <w:footnote w:id="137">
    <w:p w14:paraId="10B70CF5" w14:textId="7C516F4B" w:rsidR="00AA37B6" w:rsidRPr="00993032" w:rsidRDefault="00AA37B6" w:rsidP="00696D94">
      <w:pPr>
        <w:spacing w:before="0" w:after="0"/>
        <w:rPr>
          <w:rFonts w:eastAsia="Times New Roman" w:cstheme="minorHAnsi"/>
          <w:sz w:val="18"/>
          <w:szCs w:val="18"/>
        </w:rPr>
      </w:pPr>
      <w:r w:rsidRPr="00993032">
        <w:rPr>
          <w:rStyle w:val="FootnoteReference"/>
          <w:rFonts w:eastAsiaTheme="majorEastAsia" w:cstheme="minorHAnsi"/>
          <w:sz w:val="18"/>
          <w:szCs w:val="18"/>
        </w:rPr>
        <w:footnoteRef/>
      </w:r>
      <w:r w:rsidRPr="00993032">
        <w:rPr>
          <w:rFonts w:eastAsia="Times New Roman" w:cstheme="minorHAnsi"/>
          <w:sz w:val="18"/>
          <w:szCs w:val="18"/>
        </w:rPr>
        <w:t xml:space="preserve"> </w:t>
      </w:r>
      <w:r>
        <w:rPr>
          <w:rFonts w:eastAsia="Times New Roman" w:cstheme="minorHAnsi"/>
          <w:sz w:val="18"/>
          <w:szCs w:val="18"/>
          <w:shd w:val="clear" w:color="auto" w:fill="FFFFFF"/>
        </w:rPr>
        <w:t>Signal, L., et al,</w:t>
      </w:r>
      <w:r w:rsidRPr="00993032">
        <w:rPr>
          <w:rFonts w:eastAsia="Times New Roman" w:cstheme="minorHAnsi"/>
          <w:sz w:val="18"/>
          <w:szCs w:val="18"/>
          <w:shd w:val="clear" w:color="auto" w:fill="FFFFFF"/>
        </w:rPr>
        <w:t xml:space="preserve"> 2008. ‘Perceptions of New Zealand nutrition labels by Māori, Pacific and low-income shoppers’. </w:t>
      </w:r>
      <w:r w:rsidRPr="00993032">
        <w:rPr>
          <w:rFonts w:eastAsia="Times New Roman" w:cstheme="minorHAnsi"/>
          <w:i/>
          <w:iCs/>
          <w:sz w:val="18"/>
          <w:szCs w:val="18"/>
          <w:shd w:val="clear" w:color="auto" w:fill="FFFFFF"/>
        </w:rPr>
        <w:t>Public Health Nutrition</w:t>
      </w:r>
      <w:r w:rsidRPr="00993032">
        <w:rPr>
          <w:rFonts w:eastAsia="Times New Roman" w:cstheme="minorHAnsi"/>
          <w:sz w:val="18"/>
          <w:szCs w:val="18"/>
          <w:shd w:val="clear" w:color="auto" w:fill="FFFFFF"/>
        </w:rPr>
        <w:t>, </w:t>
      </w:r>
      <w:r w:rsidRPr="0088602C">
        <w:rPr>
          <w:rFonts w:eastAsia="Times New Roman" w:cstheme="minorHAnsi"/>
          <w:iCs/>
          <w:sz w:val="18"/>
          <w:szCs w:val="18"/>
          <w:shd w:val="clear" w:color="auto" w:fill="FFFFFF"/>
        </w:rPr>
        <w:t>11</w:t>
      </w:r>
      <w:r w:rsidRPr="0088602C">
        <w:rPr>
          <w:rFonts w:eastAsia="Times New Roman" w:cstheme="minorHAnsi"/>
          <w:sz w:val="18"/>
          <w:szCs w:val="18"/>
          <w:shd w:val="clear" w:color="auto" w:fill="FFFFFF"/>
        </w:rPr>
        <w:t>(7),</w:t>
      </w:r>
      <w:r w:rsidRPr="00993032">
        <w:rPr>
          <w:rFonts w:eastAsia="Times New Roman" w:cstheme="minorHAnsi"/>
          <w:sz w:val="18"/>
          <w:szCs w:val="18"/>
          <w:shd w:val="clear" w:color="auto" w:fill="FFFFFF"/>
        </w:rPr>
        <w:t xml:space="preserve"> </w:t>
      </w:r>
      <w:r>
        <w:rPr>
          <w:rFonts w:eastAsia="Times New Roman" w:cstheme="minorHAnsi"/>
          <w:sz w:val="18"/>
          <w:szCs w:val="18"/>
          <w:shd w:val="clear" w:color="auto" w:fill="FFFFFF"/>
        </w:rPr>
        <w:t>p</w:t>
      </w:r>
      <w:r w:rsidRPr="00993032">
        <w:rPr>
          <w:rFonts w:eastAsia="Times New Roman" w:cstheme="minorHAnsi"/>
          <w:sz w:val="18"/>
          <w:szCs w:val="18"/>
          <w:shd w:val="clear" w:color="auto" w:fill="FFFFFF"/>
        </w:rPr>
        <w:t>706-713.</w:t>
      </w:r>
    </w:p>
  </w:footnote>
  <w:footnote w:id="138">
    <w:p w14:paraId="5EB0ADDB" w14:textId="01251A96" w:rsidR="00AA37B6" w:rsidRPr="00A16691" w:rsidRDefault="00AA37B6" w:rsidP="00696D94">
      <w:pPr>
        <w:pStyle w:val="FootnoteText"/>
        <w:spacing w:before="0" w:after="0"/>
        <w:rPr>
          <w:rFonts w:ascii="Times New Roman" w:hAnsi="Times New Roman" w:cs="Times New Roman"/>
          <w:sz w:val="16"/>
          <w:szCs w:val="16"/>
        </w:rPr>
      </w:pPr>
      <w:r w:rsidRPr="00993032">
        <w:rPr>
          <w:rStyle w:val="FootnoteReference"/>
          <w:rFonts w:cstheme="minorHAnsi"/>
          <w:sz w:val="18"/>
          <w:szCs w:val="18"/>
        </w:rPr>
        <w:footnoteRef/>
      </w:r>
      <w:r w:rsidRPr="00993032">
        <w:rPr>
          <w:rFonts w:cstheme="minorHAnsi"/>
          <w:sz w:val="18"/>
          <w:szCs w:val="18"/>
        </w:rPr>
        <w:t xml:space="preserve"> Food Standards Australia New Zealand, 2015. </w:t>
      </w:r>
      <w:r w:rsidRPr="00993032">
        <w:rPr>
          <w:rFonts w:cstheme="minorHAnsi"/>
          <w:i/>
          <w:sz w:val="18"/>
          <w:szCs w:val="18"/>
        </w:rPr>
        <w:t>‘Consumer label survey 2015. Food labelling use and understanding</w:t>
      </w:r>
      <w:r>
        <w:rPr>
          <w:rFonts w:cstheme="minorHAnsi"/>
          <w:i/>
          <w:sz w:val="18"/>
          <w:szCs w:val="18"/>
        </w:rPr>
        <w:t xml:space="preserve"> in Australia and New Zealand’.</w:t>
      </w:r>
      <w:r w:rsidRPr="00993032">
        <w:rPr>
          <w:rFonts w:cstheme="minorHAnsi"/>
          <w:i/>
          <w:sz w:val="18"/>
          <w:szCs w:val="18"/>
        </w:rPr>
        <w:t xml:space="preserve"> </w:t>
      </w:r>
      <w:r w:rsidRPr="00993032">
        <w:rPr>
          <w:rFonts w:cstheme="minorHAnsi"/>
          <w:sz w:val="18"/>
          <w:szCs w:val="18"/>
        </w:rPr>
        <w:t xml:space="preserve">Available at: </w:t>
      </w:r>
      <w:hyperlink r:id="rId96" w:history="1">
        <w:r w:rsidRPr="00993032">
          <w:rPr>
            <w:rStyle w:val="Hyperlink"/>
            <w:rFonts w:eastAsiaTheme="majorEastAsia" w:cstheme="minorHAnsi"/>
            <w:sz w:val="18"/>
            <w:szCs w:val="18"/>
          </w:rPr>
          <w:t>FSANZ website</w:t>
        </w:r>
      </w:hyperlink>
      <w:r w:rsidRPr="00993032">
        <w:rPr>
          <w:rFonts w:cstheme="minorHAnsi"/>
          <w:sz w:val="18"/>
          <w:szCs w:val="18"/>
        </w:rPr>
        <w:t xml:space="preserve"> (accessed 13 November 2018)</w:t>
      </w:r>
      <w:r>
        <w:rPr>
          <w:rFonts w:cstheme="minorHAnsi"/>
          <w:sz w:val="18"/>
          <w:szCs w:val="18"/>
        </w:rPr>
        <w:t>.</w:t>
      </w:r>
    </w:p>
  </w:footnote>
  <w:footnote w:id="139">
    <w:p w14:paraId="2D9B36C5" w14:textId="1B5FD8A1" w:rsidR="00AA37B6" w:rsidRPr="0088602C" w:rsidRDefault="00AA37B6" w:rsidP="00696D94">
      <w:pPr>
        <w:pStyle w:val="FootnoteText"/>
        <w:spacing w:before="0" w:after="0"/>
        <w:rPr>
          <w:sz w:val="18"/>
          <w:szCs w:val="18"/>
        </w:rPr>
      </w:pPr>
      <w:r>
        <w:rPr>
          <w:rStyle w:val="FootnoteReference"/>
        </w:rPr>
        <w:footnoteRef/>
      </w:r>
      <w:r>
        <w:t xml:space="preserve"> </w:t>
      </w:r>
      <w:r w:rsidRPr="0088602C">
        <w:rPr>
          <w:sz w:val="18"/>
          <w:szCs w:val="18"/>
        </w:rPr>
        <w:t>Campos</w:t>
      </w:r>
      <w:r>
        <w:rPr>
          <w:sz w:val="18"/>
          <w:szCs w:val="18"/>
        </w:rPr>
        <w:t>,</w:t>
      </w:r>
      <w:r w:rsidRPr="0088602C">
        <w:rPr>
          <w:sz w:val="18"/>
          <w:szCs w:val="18"/>
        </w:rPr>
        <w:t xml:space="preserve"> S</w:t>
      </w:r>
      <w:r>
        <w:rPr>
          <w:sz w:val="18"/>
          <w:szCs w:val="18"/>
        </w:rPr>
        <w:t>.</w:t>
      </w:r>
      <w:r w:rsidRPr="0088602C">
        <w:rPr>
          <w:sz w:val="18"/>
          <w:szCs w:val="18"/>
        </w:rPr>
        <w:t>, Doxey</w:t>
      </w:r>
      <w:r>
        <w:rPr>
          <w:sz w:val="18"/>
          <w:szCs w:val="18"/>
        </w:rPr>
        <w:t>,</w:t>
      </w:r>
      <w:r w:rsidRPr="0088602C">
        <w:rPr>
          <w:sz w:val="18"/>
          <w:szCs w:val="18"/>
        </w:rPr>
        <w:t xml:space="preserve"> J</w:t>
      </w:r>
      <w:r>
        <w:rPr>
          <w:sz w:val="18"/>
          <w:szCs w:val="18"/>
        </w:rPr>
        <w:t xml:space="preserve">. &amp; </w:t>
      </w:r>
      <w:r w:rsidRPr="0088602C">
        <w:rPr>
          <w:sz w:val="18"/>
          <w:szCs w:val="18"/>
        </w:rPr>
        <w:t>Hammond</w:t>
      </w:r>
      <w:r>
        <w:rPr>
          <w:sz w:val="18"/>
          <w:szCs w:val="18"/>
        </w:rPr>
        <w:t>,</w:t>
      </w:r>
      <w:r w:rsidRPr="0088602C">
        <w:rPr>
          <w:sz w:val="18"/>
          <w:szCs w:val="18"/>
        </w:rPr>
        <w:t xml:space="preserve"> D.</w:t>
      </w:r>
      <w:r>
        <w:rPr>
          <w:sz w:val="18"/>
          <w:szCs w:val="18"/>
        </w:rPr>
        <w:t>,</w:t>
      </w:r>
      <w:r w:rsidRPr="0088602C">
        <w:rPr>
          <w:sz w:val="18"/>
          <w:szCs w:val="18"/>
        </w:rPr>
        <w:t xml:space="preserve"> </w:t>
      </w:r>
      <w:r>
        <w:rPr>
          <w:sz w:val="18"/>
          <w:szCs w:val="18"/>
        </w:rPr>
        <w:t>2011. ‘</w:t>
      </w:r>
      <w:r w:rsidRPr="0088602C">
        <w:rPr>
          <w:sz w:val="18"/>
          <w:szCs w:val="18"/>
        </w:rPr>
        <w:t>Nutrition labels on pre-packaged foods: a systematic review</w:t>
      </w:r>
      <w:r>
        <w:rPr>
          <w:sz w:val="18"/>
          <w:szCs w:val="18"/>
        </w:rPr>
        <w:t>’</w:t>
      </w:r>
      <w:r w:rsidRPr="0088602C">
        <w:rPr>
          <w:sz w:val="18"/>
          <w:szCs w:val="18"/>
        </w:rPr>
        <w:t xml:space="preserve">. </w:t>
      </w:r>
      <w:r w:rsidRPr="008475C9">
        <w:rPr>
          <w:i/>
          <w:sz w:val="18"/>
          <w:szCs w:val="18"/>
        </w:rPr>
        <w:t>Public Health Nutrition</w:t>
      </w:r>
      <w:r>
        <w:rPr>
          <w:i/>
          <w:sz w:val="18"/>
          <w:szCs w:val="18"/>
        </w:rPr>
        <w:t xml:space="preserve">, </w:t>
      </w:r>
      <w:r>
        <w:rPr>
          <w:sz w:val="18"/>
          <w:szCs w:val="18"/>
        </w:rPr>
        <w:t>14: p</w:t>
      </w:r>
      <w:r w:rsidRPr="0088602C">
        <w:rPr>
          <w:sz w:val="18"/>
          <w:szCs w:val="18"/>
        </w:rPr>
        <w:t>496–506</w:t>
      </w:r>
      <w:r>
        <w:rPr>
          <w:sz w:val="18"/>
          <w:szCs w:val="18"/>
        </w:rPr>
        <w:t>.</w:t>
      </w:r>
    </w:p>
  </w:footnote>
  <w:footnote w:id="140">
    <w:p w14:paraId="7D3209A6" w14:textId="11B5AA0B" w:rsidR="00AA37B6" w:rsidRPr="00347B5C" w:rsidRDefault="00AA37B6" w:rsidP="00696D94">
      <w:pPr>
        <w:pStyle w:val="FootnoteText"/>
        <w:spacing w:before="0" w:after="0"/>
        <w:rPr>
          <w:rFonts w:cstheme="minorHAnsi"/>
          <w:sz w:val="18"/>
          <w:szCs w:val="18"/>
        </w:rPr>
      </w:pPr>
      <w:r w:rsidRPr="00347B5C">
        <w:rPr>
          <w:rStyle w:val="FootnoteReference"/>
          <w:rFonts w:cstheme="minorHAnsi"/>
          <w:sz w:val="18"/>
          <w:szCs w:val="18"/>
        </w:rPr>
        <w:footnoteRef/>
      </w:r>
      <w:r>
        <w:rPr>
          <w:rFonts w:cstheme="minorHAnsi"/>
          <w:sz w:val="18"/>
          <w:szCs w:val="18"/>
        </w:rPr>
        <w:t xml:space="preserve"> Deloitte, 2017.</w:t>
      </w:r>
      <w:r w:rsidRPr="00347B5C">
        <w:rPr>
          <w:rFonts w:cstheme="minorHAnsi"/>
          <w:sz w:val="18"/>
          <w:szCs w:val="18"/>
        </w:rPr>
        <w:t xml:space="preserve"> </w:t>
      </w:r>
      <w:r>
        <w:rPr>
          <w:rFonts w:cstheme="minorHAnsi"/>
          <w:sz w:val="18"/>
          <w:szCs w:val="18"/>
        </w:rPr>
        <w:t>‘</w:t>
      </w:r>
      <w:r w:rsidRPr="00347B5C">
        <w:rPr>
          <w:rFonts w:cstheme="minorHAnsi"/>
          <w:i/>
          <w:sz w:val="18"/>
          <w:szCs w:val="18"/>
        </w:rPr>
        <w:t>Smart everything, everywhere: Mobile Consumer Survey 2017 the Australian cut</w:t>
      </w:r>
      <w:r>
        <w:rPr>
          <w:rFonts w:cstheme="minorHAnsi"/>
          <w:i/>
          <w:sz w:val="18"/>
          <w:szCs w:val="18"/>
        </w:rPr>
        <w:t>’</w:t>
      </w:r>
      <w:r w:rsidRPr="00347B5C">
        <w:rPr>
          <w:rFonts w:cstheme="minorHAnsi"/>
          <w:sz w:val="18"/>
          <w:szCs w:val="18"/>
        </w:rPr>
        <w:t>. Available at</w:t>
      </w:r>
      <w:r>
        <w:rPr>
          <w:rFonts w:cstheme="minorHAnsi"/>
          <w:sz w:val="18"/>
          <w:szCs w:val="18"/>
        </w:rPr>
        <w:t>:</w:t>
      </w:r>
      <w:r w:rsidRPr="00347B5C">
        <w:rPr>
          <w:rFonts w:cstheme="minorHAnsi"/>
          <w:sz w:val="18"/>
          <w:szCs w:val="18"/>
        </w:rPr>
        <w:t xml:space="preserve"> </w:t>
      </w:r>
      <w:hyperlink r:id="rId97" w:history="1">
        <w:r w:rsidRPr="00347B5C">
          <w:rPr>
            <w:rStyle w:val="Hyperlink"/>
            <w:rFonts w:cstheme="minorHAnsi"/>
            <w:sz w:val="18"/>
            <w:szCs w:val="18"/>
          </w:rPr>
          <w:t>Deloitte website</w:t>
        </w:r>
      </w:hyperlink>
      <w:r w:rsidRPr="00347B5C">
        <w:rPr>
          <w:rFonts w:cstheme="minorHAnsi"/>
          <w:sz w:val="18"/>
          <w:szCs w:val="18"/>
        </w:rPr>
        <w:t xml:space="preserve"> (accessed 17 December 2018)</w:t>
      </w:r>
      <w:r>
        <w:rPr>
          <w:rFonts w:cstheme="minorHAnsi"/>
          <w:sz w:val="18"/>
          <w:szCs w:val="18"/>
        </w:rPr>
        <w:t>.</w:t>
      </w:r>
    </w:p>
  </w:footnote>
  <w:footnote w:id="141">
    <w:p w14:paraId="3A984217" w14:textId="1A5EC675" w:rsidR="00AA37B6" w:rsidRPr="00A073BE" w:rsidRDefault="00AA37B6" w:rsidP="00696D94">
      <w:pPr>
        <w:pStyle w:val="FootnoteText"/>
        <w:spacing w:before="0" w:after="0"/>
      </w:pPr>
      <w:r w:rsidRPr="00347B5C">
        <w:rPr>
          <w:rStyle w:val="FootnoteReference"/>
          <w:rFonts w:cstheme="minorHAnsi"/>
          <w:sz w:val="18"/>
          <w:szCs w:val="18"/>
        </w:rPr>
        <w:footnoteRef/>
      </w:r>
      <w:r>
        <w:rPr>
          <w:rFonts w:cstheme="minorHAnsi"/>
          <w:sz w:val="18"/>
          <w:szCs w:val="18"/>
        </w:rPr>
        <w:t xml:space="preserve"> Barraket, T. J., et al, 2018</w:t>
      </w:r>
      <w:r w:rsidRPr="00347B5C">
        <w:rPr>
          <w:rFonts w:cstheme="minorHAnsi"/>
          <w:sz w:val="18"/>
          <w:szCs w:val="18"/>
        </w:rPr>
        <w:t xml:space="preserve">. </w:t>
      </w:r>
      <w:r>
        <w:rPr>
          <w:rFonts w:cstheme="minorHAnsi"/>
          <w:sz w:val="18"/>
          <w:szCs w:val="18"/>
        </w:rPr>
        <w:t>‘</w:t>
      </w:r>
      <w:r w:rsidRPr="00347B5C">
        <w:rPr>
          <w:rFonts w:cstheme="minorHAnsi"/>
          <w:i/>
          <w:sz w:val="18"/>
          <w:szCs w:val="18"/>
        </w:rPr>
        <w:t>Measuring Australia’s Digital Divide: The Australian Digital Inclusion Index 201</w:t>
      </w:r>
      <w:r>
        <w:rPr>
          <w:rFonts w:cstheme="minorHAnsi"/>
          <w:i/>
          <w:sz w:val="18"/>
          <w:szCs w:val="18"/>
        </w:rPr>
        <w:t>8’</w:t>
      </w:r>
      <w:r w:rsidRPr="00347B5C">
        <w:rPr>
          <w:rFonts w:cstheme="minorHAnsi"/>
          <w:i/>
          <w:sz w:val="18"/>
          <w:szCs w:val="18"/>
        </w:rPr>
        <w:t xml:space="preserve">. </w:t>
      </w:r>
      <w:r w:rsidRPr="00347B5C">
        <w:rPr>
          <w:rFonts w:cstheme="minorHAnsi"/>
          <w:sz w:val="18"/>
          <w:szCs w:val="18"/>
        </w:rPr>
        <w:t>Available at</w:t>
      </w:r>
      <w:r>
        <w:rPr>
          <w:rFonts w:cstheme="minorHAnsi"/>
          <w:sz w:val="18"/>
          <w:szCs w:val="18"/>
        </w:rPr>
        <w:t>:</w:t>
      </w:r>
      <w:r w:rsidRPr="00347B5C">
        <w:rPr>
          <w:rFonts w:cstheme="minorHAnsi"/>
          <w:sz w:val="18"/>
          <w:szCs w:val="18"/>
        </w:rPr>
        <w:t xml:space="preserve"> </w:t>
      </w:r>
      <w:hyperlink r:id="rId98" w:history="1">
        <w:r w:rsidRPr="00347B5C">
          <w:rPr>
            <w:rStyle w:val="Hyperlink"/>
            <w:rFonts w:cstheme="minorHAnsi"/>
            <w:sz w:val="18"/>
            <w:szCs w:val="18"/>
          </w:rPr>
          <w:t>Digital Inclusion Index website</w:t>
        </w:r>
      </w:hyperlink>
      <w:r w:rsidRPr="00347B5C">
        <w:rPr>
          <w:rFonts w:cstheme="minorHAnsi"/>
          <w:sz w:val="18"/>
          <w:szCs w:val="18"/>
        </w:rPr>
        <w:t xml:space="preserve"> (accessed 17 December 2018).</w:t>
      </w:r>
    </w:p>
  </w:footnote>
  <w:footnote w:id="142">
    <w:p w14:paraId="75089816" w14:textId="632627BC" w:rsidR="00AA37B6" w:rsidRDefault="00AA37B6" w:rsidP="00696D94">
      <w:pPr>
        <w:pStyle w:val="FootnoteText"/>
        <w:spacing w:before="0" w:after="0"/>
      </w:pPr>
      <w:r w:rsidRPr="008669E8">
        <w:rPr>
          <w:rStyle w:val="FootnoteReference"/>
          <w:sz w:val="18"/>
          <w:szCs w:val="18"/>
        </w:rPr>
        <w:footnoteRef/>
      </w:r>
      <w:r>
        <w:t xml:space="preserve"> </w:t>
      </w:r>
      <w:r>
        <w:rPr>
          <w:rFonts w:cstheme="minorHAnsi"/>
          <w:sz w:val="18"/>
          <w:szCs w:val="18"/>
        </w:rPr>
        <w:t>Barraket, T. J., et al, 2018</w:t>
      </w:r>
      <w:r w:rsidRPr="00347B5C">
        <w:rPr>
          <w:rFonts w:cstheme="minorHAnsi"/>
          <w:sz w:val="18"/>
          <w:szCs w:val="18"/>
        </w:rPr>
        <w:t xml:space="preserve">. </w:t>
      </w:r>
      <w:r>
        <w:rPr>
          <w:rFonts w:cstheme="minorHAnsi"/>
          <w:sz w:val="18"/>
          <w:szCs w:val="18"/>
        </w:rPr>
        <w:t>‘</w:t>
      </w:r>
      <w:r w:rsidRPr="00347B5C">
        <w:rPr>
          <w:rFonts w:cstheme="minorHAnsi"/>
          <w:i/>
          <w:sz w:val="18"/>
          <w:szCs w:val="18"/>
        </w:rPr>
        <w:t>Measuring Australia’s Digital Divide: The Australian Digital Inclusion Index 201</w:t>
      </w:r>
      <w:r>
        <w:rPr>
          <w:rFonts w:cstheme="minorHAnsi"/>
          <w:i/>
          <w:sz w:val="18"/>
          <w:szCs w:val="18"/>
        </w:rPr>
        <w:t>8’</w:t>
      </w:r>
      <w:r w:rsidRPr="00347B5C">
        <w:rPr>
          <w:rFonts w:cstheme="minorHAnsi"/>
          <w:i/>
          <w:sz w:val="18"/>
          <w:szCs w:val="18"/>
        </w:rPr>
        <w:t xml:space="preserve">. </w:t>
      </w:r>
      <w:r w:rsidRPr="00347B5C">
        <w:rPr>
          <w:rFonts w:cstheme="minorHAnsi"/>
          <w:sz w:val="18"/>
          <w:szCs w:val="18"/>
        </w:rPr>
        <w:t>Available at</w:t>
      </w:r>
      <w:r>
        <w:rPr>
          <w:rFonts w:cstheme="minorHAnsi"/>
          <w:sz w:val="18"/>
          <w:szCs w:val="18"/>
        </w:rPr>
        <w:t>:</w:t>
      </w:r>
      <w:r w:rsidRPr="00347B5C">
        <w:rPr>
          <w:rFonts w:cstheme="minorHAnsi"/>
          <w:sz w:val="18"/>
          <w:szCs w:val="18"/>
        </w:rPr>
        <w:t xml:space="preserve"> </w:t>
      </w:r>
      <w:hyperlink r:id="rId99" w:history="1">
        <w:r w:rsidRPr="00347B5C">
          <w:rPr>
            <w:rStyle w:val="Hyperlink"/>
            <w:rFonts w:cstheme="minorHAnsi"/>
            <w:sz w:val="18"/>
            <w:szCs w:val="18"/>
          </w:rPr>
          <w:t>Digital Inclusion Index website</w:t>
        </w:r>
      </w:hyperlink>
      <w:r w:rsidRPr="00347B5C">
        <w:rPr>
          <w:rFonts w:cstheme="minorHAnsi"/>
          <w:sz w:val="18"/>
          <w:szCs w:val="18"/>
        </w:rPr>
        <w:t xml:space="preserve"> (accessed 17 December 2018).</w:t>
      </w:r>
    </w:p>
  </w:footnote>
  <w:footnote w:id="143">
    <w:p w14:paraId="168C6B24" w14:textId="429D91D9" w:rsidR="00AA37B6" w:rsidRPr="00DB5AA1" w:rsidRDefault="00AA37B6" w:rsidP="00696D94">
      <w:pPr>
        <w:pStyle w:val="FootnoteText"/>
        <w:spacing w:before="0" w:after="0"/>
        <w:rPr>
          <w:sz w:val="18"/>
          <w:szCs w:val="18"/>
        </w:rPr>
      </w:pPr>
      <w:r w:rsidRPr="00DB5AA1">
        <w:rPr>
          <w:rStyle w:val="FootnoteReference"/>
          <w:sz w:val="18"/>
          <w:szCs w:val="18"/>
        </w:rPr>
        <w:footnoteRef/>
      </w:r>
      <w:r w:rsidRPr="00DB5AA1">
        <w:rPr>
          <w:sz w:val="18"/>
          <w:szCs w:val="18"/>
        </w:rPr>
        <w:t xml:space="preserve"> Deloitte</w:t>
      </w:r>
      <w:r>
        <w:rPr>
          <w:sz w:val="18"/>
          <w:szCs w:val="18"/>
        </w:rPr>
        <w:t>,</w:t>
      </w:r>
      <w:r w:rsidRPr="00DB5AA1">
        <w:rPr>
          <w:sz w:val="18"/>
          <w:szCs w:val="18"/>
        </w:rPr>
        <w:t xml:space="preserve"> 2017. ‘</w:t>
      </w:r>
      <w:r w:rsidRPr="00DB5AA1">
        <w:rPr>
          <w:i/>
          <w:sz w:val="18"/>
          <w:szCs w:val="18"/>
        </w:rPr>
        <w:t>Study of Electronic or Digital Link Disclosure. A Third-Party Evaluation of Challenges Impacting Access to Bioengineered Food Disclosure’</w:t>
      </w:r>
      <w:r w:rsidRPr="00DB5AA1">
        <w:rPr>
          <w:sz w:val="18"/>
          <w:szCs w:val="18"/>
        </w:rPr>
        <w:t>. Available at</w:t>
      </w:r>
      <w:r>
        <w:rPr>
          <w:sz w:val="18"/>
          <w:szCs w:val="18"/>
        </w:rPr>
        <w:t>:</w:t>
      </w:r>
      <w:r w:rsidRPr="00DB5AA1">
        <w:rPr>
          <w:sz w:val="18"/>
          <w:szCs w:val="18"/>
        </w:rPr>
        <w:t xml:space="preserve"> </w:t>
      </w:r>
      <w:hyperlink r:id="rId100" w:history="1">
        <w:r w:rsidRPr="0053166A">
          <w:rPr>
            <w:rStyle w:val="Hyperlink"/>
            <w:sz w:val="18"/>
            <w:szCs w:val="18"/>
          </w:rPr>
          <w:t>United States Department of Agriculture website</w:t>
        </w:r>
      </w:hyperlink>
      <w:r>
        <w:rPr>
          <w:sz w:val="18"/>
          <w:szCs w:val="18"/>
        </w:rPr>
        <w:t xml:space="preserve"> </w:t>
      </w:r>
      <w:r w:rsidRPr="00DB5AA1">
        <w:rPr>
          <w:sz w:val="18"/>
          <w:szCs w:val="18"/>
        </w:rPr>
        <w:t>(accessed 30 November 2018)</w:t>
      </w:r>
      <w:r>
        <w:rPr>
          <w:sz w:val="18"/>
          <w:szCs w:val="18"/>
        </w:rPr>
        <w:t>.</w:t>
      </w:r>
    </w:p>
  </w:footnote>
  <w:footnote w:id="144">
    <w:p w14:paraId="2C4667CA" w14:textId="72FC7F17" w:rsidR="00AA37B6" w:rsidRPr="008669E8" w:rsidRDefault="00AA37B6" w:rsidP="001847D7">
      <w:pPr>
        <w:pStyle w:val="FootnoteText"/>
        <w:spacing w:before="0" w:after="0"/>
        <w:rPr>
          <w:sz w:val="18"/>
          <w:szCs w:val="18"/>
        </w:rPr>
      </w:pPr>
      <w:r w:rsidRPr="008669E8">
        <w:rPr>
          <w:rStyle w:val="FootnoteReference"/>
          <w:sz w:val="18"/>
          <w:szCs w:val="18"/>
        </w:rPr>
        <w:footnoteRef/>
      </w:r>
      <w:r w:rsidRPr="008669E8">
        <w:rPr>
          <w:sz w:val="18"/>
          <w:szCs w:val="18"/>
        </w:rPr>
        <w:t xml:space="preserve"> External websites and apps may use the information in the databases to develop consumer friendly resources however this cannot overcome the fact that the data are not brand specific and not updated with changes in the food supply.</w:t>
      </w:r>
    </w:p>
  </w:footnote>
  <w:footnote w:id="145">
    <w:p w14:paraId="2BEA4826" w14:textId="371026A3" w:rsidR="00AA37B6" w:rsidRPr="008669E8" w:rsidRDefault="00AA37B6" w:rsidP="001847D7">
      <w:pPr>
        <w:pStyle w:val="FootnoteText"/>
        <w:spacing w:before="0" w:after="0"/>
        <w:rPr>
          <w:rFonts w:cstheme="minorHAnsi"/>
          <w:sz w:val="18"/>
          <w:szCs w:val="18"/>
        </w:rPr>
      </w:pPr>
      <w:r w:rsidRPr="008669E8">
        <w:rPr>
          <w:rStyle w:val="FootnoteReference"/>
          <w:rFonts w:cstheme="minorHAnsi"/>
          <w:sz w:val="18"/>
          <w:szCs w:val="18"/>
        </w:rPr>
        <w:footnoteRef/>
      </w:r>
      <w:r w:rsidRPr="008669E8">
        <w:rPr>
          <w:rFonts w:cstheme="minorHAnsi"/>
          <w:sz w:val="18"/>
          <w:szCs w:val="18"/>
        </w:rPr>
        <w:t xml:space="preserve"> Food Standards Australia New Zealand, 2017. ‘</w:t>
      </w:r>
      <w:r w:rsidRPr="008669E8">
        <w:rPr>
          <w:rFonts w:cstheme="minorHAnsi"/>
          <w:i/>
          <w:sz w:val="18"/>
          <w:szCs w:val="18"/>
        </w:rPr>
        <w:t>Literature review on consumer knowledge, attitudes and behaviours relating to sugars and food labelling’</w:t>
      </w:r>
      <w:r w:rsidRPr="008669E8">
        <w:rPr>
          <w:rFonts w:cstheme="minorHAnsi"/>
          <w:sz w:val="18"/>
          <w:szCs w:val="18"/>
        </w:rPr>
        <w:t xml:space="preserve">. Available at: </w:t>
      </w:r>
      <w:hyperlink r:id="rId101" w:history="1">
        <w:r w:rsidRPr="008669E8">
          <w:rPr>
            <w:rStyle w:val="Hyperlink"/>
            <w:rFonts w:cstheme="minorHAnsi"/>
            <w:sz w:val="18"/>
            <w:szCs w:val="18"/>
          </w:rPr>
          <w:t>Food Regulation website</w:t>
        </w:r>
      </w:hyperlink>
      <w:r w:rsidRPr="008669E8">
        <w:rPr>
          <w:rFonts w:cstheme="minorHAnsi"/>
          <w:sz w:val="18"/>
          <w:szCs w:val="18"/>
        </w:rPr>
        <w:t xml:space="preserve"> (accessed 4 April 2018)</w:t>
      </w:r>
      <w:r>
        <w:rPr>
          <w:rFonts w:cstheme="minorHAnsi"/>
          <w:sz w:val="18"/>
          <w:szCs w:val="18"/>
        </w:rPr>
        <w:t>.</w:t>
      </w:r>
    </w:p>
  </w:footnote>
  <w:footnote w:id="146">
    <w:p w14:paraId="09A58ADB" w14:textId="5E904901" w:rsidR="00AA37B6" w:rsidRPr="008669E8" w:rsidRDefault="00AA37B6" w:rsidP="001847D7">
      <w:pPr>
        <w:pStyle w:val="FootnoteText"/>
        <w:spacing w:before="0" w:after="0"/>
        <w:rPr>
          <w:rFonts w:cstheme="minorHAnsi"/>
          <w:sz w:val="18"/>
          <w:szCs w:val="18"/>
        </w:rPr>
      </w:pPr>
      <w:r w:rsidRPr="008669E8">
        <w:rPr>
          <w:rStyle w:val="FootnoteReference"/>
          <w:rFonts w:cstheme="minorHAnsi"/>
          <w:sz w:val="18"/>
          <w:szCs w:val="18"/>
        </w:rPr>
        <w:footnoteRef/>
      </w:r>
      <w:r w:rsidRPr="008669E8">
        <w:rPr>
          <w:rFonts w:cstheme="minorHAnsi"/>
          <w:sz w:val="18"/>
          <w:szCs w:val="18"/>
        </w:rPr>
        <w:t xml:space="preserve"> HM Treasury, 2018. ‘</w:t>
      </w:r>
      <w:r w:rsidRPr="008669E8">
        <w:rPr>
          <w:rFonts w:cstheme="minorHAnsi"/>
          <w:i/>
          <w:sz w:val="18"/>
          <w:szCs w:val="18"/>
        </w:rPr>
        <w:t>Soft Drinks Industry Levy comes into effect’</w:t>
      </w:r>
      <w:r w:rsidRPr="008669E8">
        <w:rPr>
          <w:rFonts w:cstheme="minorHAnsi"/>
          <w:sz w:val="18"/>
          <w:szCs w:val="18"/>
        </w:rPr>
        <w:t xml:space="preserve">. Available at </w:t>
      </w:r>
      <w:hyperlink r:id="rId102" w:history="1">
        <w:r w:rsidRPr="008669E8">
          <w:rPr>
            <w:rStyle w:val="Hyperlink"/>
            <w:rFonts w:cstheme="minorHAnsi"/>
            <w:sz w:val="18"/>
            <w:szCs w:val="18"/>
          </w:rPr>
          <w:t>United Kingdom Government website</w:t>
        </w:r>
      </w:hyperlink>
      <w:r w:rsidRPr="008669E8">
        <w:rPr>
          <w:rFonts w:cstheme="minorHAnsi"/>
          <w:sz w:val="18"/>
          <w:szCs w:val="18"/>
        </w:rPr>
        <w:t xml:space="preserve"> (accessed 20 November 2018)</w:t>
      </w:r>
      <w:r>
        <w:rPr>
          <w:rFonts w:cstheme="minorHAnsi"/>
          <w:sz w:val="18"/>
          <w:szCs w:val="18"/>
        </w:rPr>
        <w:t>.</w:t>
      </w:r>
    </w:p>
  </w:footnote>
  <w:footnote w:id="147">
    <w:p w14:paraId="2ECC9D12" w14:textId="09DAB575" w:rsidR="00AA37B6" w:rsidRPr="008669E8" w:rsidRDefault="00AA37B6" w:rsidP="001847D7">
      <w:pPr>
        <w:pStyle w:val="FootnoteText"/>
        <w:spacing w:before="0" w:after="0"/>
        <w:rPr>
          <w:rFonts w:cstheme="minorHAnsi"/>
          <w:sz w:val="18"/>
          <w:szCs w:val="18"/>
        </w:rPr>
      </w:pPr>
      <w:r w:rsidRPr="008669E8">
        <w:rPr>
          <w:rStyle w:val="FootnoteReference"/>
          <w:rFonts w:cstheme="minorHAnsi"/>
          <w:sz w:val="18"/>
          <w:szCs w:val="18"/>
        </w:rPr>
        <w:footnoteRef/>
      </w:r>
      <w:r w:rsidRPr="008669E8">
        <w:rPr>
          <w:rFonts w:cstheme="minorHAnsi"/>
          <w:sz w:val="18"/>
          <w:szCs w:val="18"/>
        </w:rPr>
        <w:t xml:space="preserve"> </w:t>
      </w:r>
      <w:r w:rsidRPr="008669E8">
        <w:rPr>
          <w:rFonts w:cstheme="minorHAnsi"/>
          <w:sz w:val="18"/>
          <w:szCs w:val="18"/>
          <w:shd w:val="clear" w:color="auto" w:fill="FFFFFF"/>
        </w:rPr>
        <w:t xml:space="preserve">Hawkes C, et al, 2015. ‘Smart food policies for obesity prevention’. </w:t>
      </w:r>
      <w:r w:rsidRPr="008669E8">
        <w:rPr>
          <w:rFonts w:cstheme="minorHAnsi"/>
          <w:i/>
          <w:sz w:val="18"/>
          <w:szCs w:val="18"/>
          <w:shd w:val="clear" w:color="auto" w:fill="FFFFFF"/>
        </w:rPr>
        <w:t>The Lancet</w:t>
      </w:r>
      <w:r>
        <w:rPr>
          <w:rFonts w:cstheme="minorHAnsi"/>
          <w:sz w:val="18"/>
          <w:szCs w:val="18"/>
          <w:shd w:val="clear" w:color="auto" w:fill="FFFFFF"/>
        </w:rPr>
        <w:t>, 385(9985):</w:t>
      </w:r>
      <w:r w:rsidRPr="008669E8">
        <w:rPr>
          <w:rFonts w:cstheme="minorHAnsi"/>
          <w:sz w:val="18"/>
          <w:szCs w:val="18"/>
          <w:shd w:val="clear" w:color="auto" w:fill="FFFFFF"/>
        </w:rPr>
        <w:t xml:space="preserve"> </w:t>
      </w:r>
      <w:r>
        <w:rPr>
          <w:rFonts w:cstheme="minorHAnsi"/>
          <w:sz w:val="18"/>
          <w:szCs w:val="18"/>
          <w:shd w:val="clear" w:color="auto" w:fill="FFFFFF"/>
        </w:rPr>
        <w:t>p</w:t>
      </w:r>
      <w:r w:rsidRPr="008669E8">
        <w:rPr>
          <w:rFonts w:cstheme="minorHAnsi"/>
          <w:sz w:val="18"/>
          <w:szCs w:val="18"/>
          <w:shd w:val="clear" w:color="auto" w:fill="FFFFFF"/>
        </w:rPr>
        <w:t>2410-21.</w:t>
      </w:r>
    </w:p>
  </w:footnote>
  <w:footnote w:id="148">
    <w:p w14:paraId="4D2A52BD" w14:textId="23E92DA0" w:rsidR="00AA37B6" w:rsidRPr="008669E8" w:rsidRDefault="00AA37B6" w:rsidP="001847D7">
      <w:pPr>
        <w:pStyle w:val="FootnoteText"/>
        <w:spacing w:before="0" w:after="0"/>
        <w:rPr>
          <w:sz w:val="18"/>
          <w:szCs w:val="18"/>
        </w:rPr>
      </w:pPr>
      <w:r w:rsidRPr="008669E8">
        <w:rPr>
          <w:rStyle w:val="FootnoteReference"/>
          <w:sz w:val="18"/>
          <w:szCs w:val="18"/>
        </w:rPr>
        <w:footnoteRef/>
      </w:r>
      <w:r w:rsidRPr="008669E8">
        <w:rPr>
          <w:sz w:val="18"/>
          <w:szCs w:val="18"/>
        </w:rPr>
        <w:t xml:space="preserve"> Shangguan</w:t>
      </w:r>
      <w:r>
        <w:rPr>
          <w:sz w:val="18"/>
          <w:szCs w:val="18"/>
        </w:rPr>
        <w:t>,</w:t>
      </w:r>
      <w:r w:rsidRPr="008669E8">
        <w:rPr>
          <w:sz w:val="18"/>
          <w:szCs w:val="18"/>
        </w:rPr>
        <w:t xml:space="preserve"> S</w:t>
      </w:r>
      <w:r>
        <w:rPr>
          <w:sz w:val="18"/>
          <w:szCs w:val="18"/>
        </w:rPr>
        <w:t>.</w:t>
      </w:r>
      <w:r w:rsidRPr="008669E8">
        <w:rPr>
          <w:sz w:val="18"/>
          <w:szCs w:val="18"/>
        </w:rPr>
        <w:t xml:space="preserve">, et al, 2019. ‘A meta-analysis of food labelling effects on consumer diet behaviours and industry practices’. </w:t>
      </w:r>
      <w:r w:rsidRPr="008669E8">
        <w:rPr>
          <w:i/>
          <w:sz w:val="18"/>
          <w:szCs w:val="18"/>
        </w:rPr>
        <w:t>Am J Prev Med</w:t>
      </w:r>
      <w:r>
        <w:rPr>
          <w:sz w:val="18"/>
          <w:szCs w:val="18"/>
        </w:rPr>
        <w:t>,</w:t>
      </w:r>
      <w:r w:rsidRPr="008669E8">
        <w:rPr>
          <w:sz w:val="18"/>
          <w:szCs w:val="18"/>
        </w:rPr>
        <w:t xml:space="preserve"> 56(2)</w:t>
      </w:r>
      <w:r>
        <w:rPr>
          <w:sz w:val="18"/>
          <w:szCs w:val="18"/>
        </w:rPr>
        <w:t>:</w:t>
      </w:r>
      <w:r w:rsidRPr="008669E8">
        <w:rPr>
          <w:sz w:val="18"/>
          <w:szCs w:val="18"/>
        </w:rPr>
        <w:t xml:space="preserve"> </w:t>
      </w:r>
      <w:r>
        <w:rPr>
          <w:sz w:val="18"/>
          <w:szCs w:val="18"/>
        </w:rPr>
        <w:t>p300-314.</w:t>
      </w:r>
    </w:p>
  </w:footnote>
  <w:footnote w:id="149">
    <w:p w14:paraId="22F9AB93" w14:textId="3A182FD5" w:rsidR="00AA37B6" w:rsidRPr="008669E8" w:rsidRDefault="00AA37B6" w:rsidP="001847D7">
      <w:pPr>
        <w:pStyle w:val="FootnoteText"/>
        <w:spacing w:before="0" w:after="0"/>
        <w:rPr>
          <w:rFonts w:cstheme="minorHAnsi"/>
          <w:sz w:val="18"/>
          <w:szCs w:val="18"/>
        </w:rPr>
      </w:pPr>
      <w:r w:rsidRPr="008669E8">
        <w:rPr>
          <w:rStyle w:val="FootnoteReference"/>
          <w:rFonts w:cstheme="minorHAnsi"/>
          <w:sz w:val="18"/>
          <w:szCs w:val="18"/>
        </w:rPr>
        <w:footnoteRef/>
      </w:r>
      <w:r w:rsidRPr="008669E8">
        <w:rPr>
          <w:rFonts w:cstheme="minorHAnsi"/>
          <w:sz w:val="18"/>
          <w:szCs w:val="18"/>
        </w:rPr>
        <w:t xml:space="preserve"> </w:t>
      </w:r>
      <w:r w:rsidRPr="008669E8">
        <w:rPr>
          <w:rFonts w:cstheme="minorHAnsi"/>
          <w:sz w:val="18"/>
          <w:szCs w:val="18"/>
          <w:shd w:val="clear" w:color="auto" w:fill="FFFFFF"/>
        </w:rPr>
        <w:t>Bernstein, J</w:t>
      </w:r>
      <w:r>
        <w:rPr>
          <w:rFonts w:cstheme="minorHAnsi"/>
          <w:sz w:val="18"/>
          <w:szCs w:val="18"/>
          <w:shd w:val="clear" w:color="auto" w:fill="FFFFFF"/>
        </w:rPr>
        <w:t>.</w:t>
      </w:r>
      <w:r w:rsidRPr="008669E8">
        <w:rPr>
          <w:rFonts w:cstheme="minorHAnsi"/>
          <w:sz w:val="18"/>
          <w:szCs w:val="18"/>
          <w:shd w:val="clear" w:color="auto" w:fill="FFFFFF"/>
        </w:rPr>
        <w:t xml:space="preserve"> T</w:t>
      </w:r>
      <w:r>
        <w:rPr>
          <w:rFonts w:cstheme="minorHAnsi"/>
          <w:sz w:val="18"/>
          <w:szCs w:val="18"/>
          <w:shd w:val="clear" w:color="auto" w:fill="FFFFFF"/>
        </w:rPr>
        <w:t>.</w:t>
      </w:r>
      <w:r w:rsidRPr="008669E8">
        <w:rPr>
          <w:rFonts w:cstheme="minorHAnsi"/>
          <w:sz w:val="18"/>
          <w:szCs w:val="18"/>
          <w:shd w:val="clear" w:color="auto" w:fill="FFFFFF"/>
        </w:rPr>
        <w:t xml:space="preserve"> &amp; L'Abbé, M</w:t>
      </w:r>
      <w:r>
        <w:rPr>
          <w:rFonts w:cstheme="minorHAnsi"/>
          <w:sz w:val="18"/>
          <w:szCs w:val="18"/>
          <w:shd w:val="clear" w:color="auto" w:fill="FFFFFF"/>
        </w:rPr>
        <w:t>.</w:t>
      </w:r>
      <w:r w:rsidRPr="008669E8">
        <w:rPr>
          <w:rFonts w:cstheme="minorHAnsi"/>
          <w:sz w:val="18"/>
          <w:szCs w:val="18"/>
          <w:shd w:val="clear" w:color="auto" w:fill="FFFFFF"/>
        </w:rPr>
        <w:t xml:space="preserve"> R</w:t>
      </w:r>
      <w:r>
        <w:rPr>
          <w:rFonts w:cstheme="minorHAnsi"/>
          <w:sz w:val="18"/>
          <w:szCs w:val="18"/>
          <w:shd w:val="clear" w:color="auto" w:fill="FFFFFF"/>
        </w:rPr>
        <w:t>.</w:t>
      </w:r>
      <w:r w:rsidRPr="008669E8">
        <w:rPr>
          <w:rFonts w:cstheme="minorHAnsi"/>
          <w:sz w:val="18"/>
          <w:szCs w:val="18"/>
          <w:shd w:val="clear" w:color="auto" w:fill="FFFFFF"/>
        </w:rPr>
        <w:t>, 2016. ‘Added sugars on nutrition labels: a way to support population health in Canada’.</w:t>
      </w:r>
      <w:r w:rsidRPr="008669E8">
        <w:rPr>
          <w:rFonts w:cstheme="minorHAnsi"/>
          <w:i/>
          <w:iCs/>
          <w:sz w:val="18"/>
          <w:szCs w:val="18"/>
          <w:shd w:val="clear" w:color="auto" w:fill="FFFFFF"/>
        </w:rPr>
        <w:t xml:space="preserve"> Canadian Medical Association Journal</w:t>
      </w:r>
      <w:r w:rsidRPr="008669E8">
        <w:rPr>
          <w:rFonts w:cstheme="minorHAnsi"/>
          <w:sz w:val="18"/>
          <w:szCs w:val="18"/>
          <w:shd w:val="clear" w:color="auto" w:fill="FFFFFF"/>
        </w:rPr>
        <w:t>, </w:t>
      </w:r>
      <w:r w:rsidRPr="008669E8">
        <w:rPr>
          <w:rFonts w:cstheme="minorHAnsi"/>
          <w:iCs/>
          <w:sz w:val="18"/>
          <w:szCs w:val="18"/>
          <w:shd w:val="clear" w:color="auto" w:fill="FFFFFF"/>
        </w:rPr>
        <w:t>188</w:t>
      </w:r>
      <w:r>
        <w:rPr>
          <w:rFonts w:cstheme="minorHAnsi"/>
          <w:sz w:val="18"/>
          <w:szCs w:val="18"/>
          <w:shd w:val="clear" w:color="auto" w:fill="FFFFFF"/>
        </w:rPr>
        <w:t>(15):</w:t>
      </w:r>
      <w:r w:rsidRPr="008669E8">
        <w:rPr>
          <w:rFonts w:cstheme="minorHAnsi"/>
          <w:sz w:val="18"/>
          <w:szCs w:val="18"/>
          <w:shd w:val="clear" w:color="auto" w:fill="FFFFFF"/>
        </w:rPr>
        <w:t xml:space="preserve"> E373-E374.</w:t>
      </w:r>
    </w:p>
  </w:footnote>
  <w:footnote w:id="150">
    <w:p w14:paraId="08283E1B" w14:textId="2EB71B48" w:rsidR="00AA37B6" w:rsidRDefault="00AA37B6" w:rsidP="001847D7">
      <w:pPr>
        <w:pStyle w:val="FootnoteText"/>
        <w:spacing w:before="0" w:after="0"/>
      </w:pPr>
      <w:r w:rsidRPr="008669E8">
        <w:rPr>
          <w:rStyle w:val="FootnoteReference"/>
          <w:rFonts w:cstheme="minorHAnsi"/>
          <w:sz w:val="18"/>
          <w:szCs w:val="18"/>
        </w:rPr>
        <w:footnoteRef/>
      </w:r>
      <w:r w:rsidRPr="008669E8">
        <w:rPr>
          <w:rFonts w:cstheme="minorHAnsi"/>
          <w:sz w:val="18"/>
          <w:szCs w:val="18"/>
        </w:rPr>
        <w:t xml:space="preserve"> United States Department of Agriculture, 2017. ‘</w:t>
      </w:r>
      <w:r w:rsidRPr="008669E8">
        <w:rPr>
          <w:rFonts w:cstheme="minorHAnsi"/>
          <w:i/>
          <w:sz w:val="18"/>
          <w:szCs w:val="18"/>
        </w:rPr>
        <w:t xml:space="preserve">An assessment of product turnover in the U.S. food industry and effects on nutrient content’. </w:t>
      </w:r>
      <w:r w:rsidRPr="008669E8">
        <w:rPr>
          <w:rFonts w:cstheme="minorHAnsi"/>
          <w:sz w:val="18"/>
          <w:szCs w:val="18"/>
        </w:rPr>
        <w:t xml:space="preserve">Available at: </w:t>
      </w:r>
      <w:hyperlink r:id="rId103" w:history="1">
        <w:r w:rsidRPr="008669E8">
          <w:rPr>
            <w:rStyle w:val="Hyperlink"/>
            <w:rFonts w:cstheme="minorHAnsi"/>
            <w:sz w:val="18"/>
            <w:szCs w:val="18"/>
          </w:rPr>
          <w:t>USDA website</w:t>
        </w:r>
      </w:hyperlink>
      <w:r w:rsidRPr="008669E8">
        <w:rPr>
          <w:rFonts w:cstheme="minorHAnsi"/>
          <w:sz w:val="18"/>
          <w:szCs w:val="18"/>
        </w:rPr>
        <w:t xml:space="preserve"> (accessed 8 January 2019)</w:t>
      </w:r>
      <w:r>
        <w:rPr>
          <w:rFonts w:cstheme="minorHAnsi"/>
          <w:sz w:val="18"/>
          <w:szCs w:val="18"/>
        </w:rPr>
        <w:t>.</w:t>
      </w:r>
    </w:p>
  </w:footnote>
  <w:footnote w:id="151">
    <w:p w14:paraId="324ED648" w14:textId="0B8CC2C1" w:rsidR="00AA37B6" w:rsidRPr="00674F70" w:rsidRDefault="00AA37B6" w:rsidP="001847D7">
      <w:pPr>
        <w:pStyle w:val="FootnoteText"/>
        <w:spacing w:before="0" w:after="0"/>
        <w:rPr>
          <w:sz w:val="18"/>
          <w:szCs w:val="18"/>
        </w:rPr>
      </w:pPr>
      <w:r w:rsidRPr="00674F70">
        <w:rPr>
          <w:rStyle w:val="FootnoteReference"/>
          <w:rFonts w:cstheme="minorHAnsi"/>
          <w:sz w:val="18"/>
          <w:szCs w:val="18"/>
        </w:rPr>
        <w:footnoteRef/>
      </w:r>
      <w:r w:rsidRPr="00674F70">
        <w:rPr>
          <w:sz w:val="18"/>
          <w:szCs w:val="18"/>
        </w:rPr>
        <w:t xml:space="preserve"> Menday, H., et al</w:t>
      </w:r>
      <w:r>
        <w:rPr>
          <w:sz w:val="18"/>
          <w:szCs w:val="18"/>
        </w:rPr>
        <w:t>,</w:t>
      </w:r>
      <w:r w:rsidRPr="00674F70">
        <w:rPr>
          <w:sz w:val="18"/>
          <w:szCs w:val="18"/>
        </w:rPr>
        <w:t xml:space="preserve"> 2017. ‘Use of added sugars instead of total sugars may improve the capacity of the health star rating system to discriminate between core and discretionary foods’</w:t>
      </w:r>
      <w:r w:rsidRPr="00674F70">
        <w:rPr>
          <w:i/>
          <w:sz w:val="18"/>
          <w:szCs w:val="18"/>
        </w:rPr>
        <w:t>. Journal of the Academy of Nutrition and Dietetics</w:t>
      </w:r>
      <w:r w:rsidRPr="00674F70">
        <w:rPr>
          <w:sz w:val="18"/>
          <w:szCs w:val="18"/>
        </w:rPr>
        <w:t>, 117(12</w:t>
      </w:r>
      <w:r>
        <w:rPr>
          <w:sz w:val="18"/>
          <w:szCs w:val="18"/>
        </w:rPr>
        <w:t>): p</w:t>
      </w:r>
      <w:r w:rsidRPr="00674F70">
        <w:rPr>
          <w:sz w:val="18"/>
          <w:szCs w:val="18"/>
        </w:rPr>
        <w:t>1921-30.</w:t>
      </w:r>
    </w:p>
  </w:footnote>
  <w:footnote w:id="152">
    <w:p w14:paraId="157F5C4E" w14:textId="33D391F7" w:rsidR="00AA37B6" w:rsidRPr="001847D7" w:rsidRDefault="00AA37B6" w:rsidP="001847D7">
      <w:pPr>
        <w:pStyle w:val="FootnoteText"/>
        <w:spacing w:before="0" w:after="0"/>
        <w:rPr>
          <w:sz w:val="18"/>
          <w:szCs w:val="18"/>
        </w:rPr>
      </w:pPr>
      <w:r w:rsidRPr="00674F70">
        <w:rPr>
          <w:rStyle w:val="FootnoteReference"/>
          <w:rFonts w:cstheme="minorHAnsi"/>
          <w:sz w:val="18"/>
          <w:szCs w:val="18"/>
        </w:rPr>
        <w:footnoteRef/>
      </w:r>
      <w:r w:rsidRPr="00674F70">
        <w:rPr>
          <w:sz w:val="18"/>
          <w:szCs w:val="18"/>
        </w:rPr>
        <w:t xml:space="preserve"> </w:t>
      </w:r>
      <w:r>
        <w:rPr>
          <w:sz w:val="18"/>
          <w:szCs w:val="18"/>
          <w:shd w:val="clear" w:color="auto" w:fill="FFFFFF"/>
        </w:rPr>
        <w:t>Peters, S.A</w:t>
      </w:r>
      <w:r w:rsidRPr="00674F70">
        <w:rPr>
          <w:sz w:val="18"/>
          <w:szCs w:val="18"/>
          <w:shd w:val="clear" w:color="auto" w:fill="FFFFFF"/>
        </w:rPr>
        <w:t>., et al</w:t>
      </w:r>
      <w:r>
        <w:rPr>
          <w:sz w:val="18"/>
          <w:szCs w:val="18"/>
          <w:shd w:val="clear" w:color="auto" w:fill="FFFFFF"/>
        </w:rPr>
        <w:t>,</w:t>
      </w:r>
      <w:r w:rsidRPr="00674F70">
        <w:rPr>
          <w:sz w:val="18"/>
          <w:szCs w:val="18"/>
          <w:shd w:val="clear" w:color="auto" w:fill="FFFFFF"/>
        </w:rPr>
        <w:t xml:space="preserve"> 2017. ‘Incorporating Added Sugar Improves the Performance of the Health Star Rating Front-of-</w:t>
      </w:r>
      <w:r w:rsidRPr="001847D7">
        <w:rPr>
          <w:sz w:val="18"/>
          <w:szCs w:val="18"/>
          <w:shd w:val="clear" w:color="auto" w:fill="FFFFFF"/>
        </w:rPr>
        <w:t xml:space="preserve">Pack Labelling System in Australia’. </w:t>
      </w:r>
      <w:r w:rsidRPr="001847D7">
        <w:rPr>
          <w:i/>
          <w:sz w:val="18"/>
          <w:szCs w:val="18"/>
          <w:shd w:val="clear" w:color="auto" w:fill="FFFFFF"/>
        </w:rPr>
        <w:t>Nutrients</w:t>
      </w:r>
      <w:r w:rsidRPr="001847D7">
        <w:rPr>
          <w:sz w:val="18"/>
          <w:szCs w:val="18"/>
          <w:shd w:val="clear" w:color="auto" w:fill="FFFFFF"/>
        </w:rPr>
        <w:t>, 9(7): p701.</w:t>
      </w:r>
    </w:p>
  </w:footnote>
  <w:footnote w:id="153">
    <w:p w14:paraId="35F56A7B" w14:textId="09AFC525" w:rsidR="00AA37B6" w:rsidRPr="001847D7" w:rsidRDefault="00AA37B6" w:rsidP="001847D7">
      <w:pPr>
        <w:pStyle w:val="FootnoteText"/>
        <w:spacing w:before="0" w:after="0"/>
        <w:rPr>
          <w:sz w:val="18"/>
          <w:szCs w:val="18"/>
        </w:rPr>
      </w:pPr>
      <w:r w:rsidRPr="001847D7">
        <w:rPr>
          <w:rStyle w:val="FootnoteReference"/>
          <w:sz w:val="18"/>
          <w:szCs w:val="18"/>
        </w:rPr>
        <w:footnoteRef/>
      </w:r>
      <w:r w:rsidRPr="001847D7">
        <w:rPr>
          <w:sz w:val="18"/>
          <w:szCs w:val="18"/>
        </w:rPr>
        <w:t xml:space="preserve"> </w:t>
      </w:r>
      <w:r w:rsidRPr="00AE542F">
        <w:rPr>
          <w:sz w:val="18"/>
          <w:szCs w:val="18"/>
        </w:rPr>
        <w:t>HSR five-year review report</w:t>
      </w:r>
    </w:p>
  </w:footnote>
  <w:footnote w:id="154">
    <w:p w14:paraId="0F30F41A" w14:textId="4ADC10BE" w:rsidR="00AA37B6" w:rsidRPr="00FD21B6" w:rsidRDefault="00AA37B6" w:rsidP="001847D7">
      <w:pPr>
        <w:pStyle w:val="FootnoteText"/>
        <w:spacing w:before="0" w:after="0"/>
        <w:rPr>
          <w:sz w:val="18"/>
          <w:szCs w:val="18"/>
        </w:rPr>
      </w:pPr>
      <w:r w:rsidRPr="00FD21B6">
        <w:rPr>
          <w:rStyle w:val="FootnoteReference"/>
          <w:sz w:val="18"/>
          <w:szCs w:val="18"/>
        </w:rPr>
        <w:footnoteRef/>
      </w:r>
      <w:r w:rsidRPr="00FD21B6">
        <w:rPr>
          <w:sz w:val="18"/>
          <w:szCs w:val="18"/>
        </w:rPr>
        <w:t xml:space="preserve"> Shangguan</w:t>
      </w:r>
      <w:r>
        <w:rPr>
          <w:sz w:val="18"/>
          <w:szCs w:val="18"/>
        </w:rPr>
        <w:t>,</w:t>
      </w:r>
      <w:r w:rsidRPr="00FD21B6">
        <w:rPr>
          <w:sz w:val="18"/>
          <w:szCs w:val="18"/>
        </w:rPr>
        <w:t xml:space="preserve"> S</w:t>
      </w:r>
      <w:r>
        <w:rPr>
          <w:sz w:val="18"/>
          <w:szCs w:val="18"/>
        </w:rPr>
        <w:t>.</w:t>
      </w:r>
      <w:r w:rsidRPr="00FD21B6">
        <w:rPr>
          <w:sz w:val="18"/>
          <w:szCs w:val="18"/>
        </w:rPr>
        <w:t xml:space="preserve">, et al, 2019. ‘A meta-analysis of food labelling effects on consumer diet behaviours and industry practices’. </w:t>
      </w:r>
      <w:r w:rsidRPr="00FD21B6">
        <w:rPr>
          <w:i/>
          <w:sz w:val="18"/>
          <w:szCs w:val="18"/>
        </w:rPr>
        <w:t>Am J Prev Med</w:t>
      </w:r>
      <w:r>
        <w:rPr>
          <w:sz w:val="18"/>
          <w:szCs w:val="18"/>
        </w:rPr>
        <w:t>, 56(2):</w:t>
      </w:r>
      <w:r w:rsidRPr="00FD21B6">
        <w:rPr>
          <w:sz w:val="18"/>
          <w:szCs w:val="18"/>
        </w:rPr>
        <w:t xml:space="preserve"> </w:t>
      </w:r>
      <w:r>
        <w:rPr>
          <w:sz w:val="18"/>
          <w:szCs w:val="18"/>
        </w:rPr>
        <w:t>p.</w:t>
      </w:r>
      <w:r w:rsidRPr="00FD21B6">
        <w:rPr>
          <w:sz w:val="18"/>
          <w:szCs w:val="18"/>
        </w:rPr>
        <w:t>300-314.</w:t>
      </w:r>
    </w:p>
  </w:footnote>
  <w:footnote w:id="155">
    <w:p w14:paraId="4C1144C1" w14:textId="4DC32AE5" w:rsidR="00AA37B6" w:rsidRPr="00FD21B6" w:rsidRDefault="00AA37B6" w:rsidP="001847D7">
      <w:pPr>
        <w:pStyle w:val="FootnoteText"/>
        <w:spacing w:before="0" w:after="0"/>
        <w:rPr>
          <w:sz w:val="18"/>
          <w:szCs w:val="18"/>
        </w:rPr>
      </w:pPr>
      <w:r w:rsidRPr="00FD21B6">
        <w:rPr>
          <w:rStyle w:val="FootnoteReference"/>
          <w:rFonts w:cstheme="minorHAnsi"/>
          <w:sz w:val="18"/>
          <w:szCs w:val="18"/>
        </w:rPr>
        <w:footnoteRef/>
      </w:r>
      <w:r w:rsidRPr="00FD21B6">
        <w:rPr>
          <w:sz w:val="18"/>
          <w:szCs w:val="18"/>
        </w:rPr>
        <w:t xml:space="preserve"> Gorton</w:t>
      </w:r>
      <w:r>
        <w:rPr>
          <w:sz w:val="18"/>
          <w:szCs w:val="18"/>
        </w:rPr>
        <w:t>.</w:t>
      </w:r>
      <w:r w:rsidRPr="00FD21B6">
        <w:rPr>
          <w:sz w:val="18"/>
          <w:szCs w:val="18"/>
        </w:rPr>
        <w:t xml:space="preserve"> D</w:t>
      </w:r>
      <w:r>
        <w:rPr>
          <w:sz w:val="18"/>
          <w:szCs w:val="18"/>
        </w:rPr>
        <w:t>.</w:t>
      </w:r>
      <w:r w:rsidRPr="00FD21B6">
        <w:rPr>
          <w:sz w:val="18"/>
          <w:szCs w:val="18"/>
        </w:rPr>
        <w:t>, et al, 2009</w:t>
      </w:r>
      <w:r>
        <w:rPr>
          <w:sz w:val="18"/>
          <w:szCs w:val="18"/>
        </w:rPr>
        <w:t>.</w:t>
      </w:r>
      <w:r w:rsidRPr="00FD21B6">
        <w:rPr>
          <w:sz w:val="18"/>
          <w:szCs w:val="18"/>
        </w:rPr>
        <w:t xml:space="preserve"> ‘Nutrition labels: a survey of use, understanding and preferences among ethnically diverse shoppers in New Zealand</w:t>
      </w:r>
      <w:r>
        <w:rPr>
          <w:sz w:val="18"/>
          <w:szCs w:val="18"/>
        </w:rPr>
        <w:t>’.</w:t>
      </w:r>
      <w:r w:rsidRPr="00FD21B6">
        <w:rPr>
          <w:sz w:val="18"/>
          <w:szCs w:val="18"/>
        </w:rPr>
        <w:t xml:space="preserve"> </w:t>
      </w:r>
      <w:r w:rsidRPr="00FD21B6">
        <w:rPr>
          <w:i/>
          <w:sz w:val="18"/>
          <w:szCs w:val="18"/>
        </w:rPr>
        <w:t xml:space="preserve">Public Health Nutrition, </w:t>
      </w:r>
      <w:r w:rsidRPr="00FD21B6">
        <w:rPr>
          <w:sz w:val="18"/>
          <w:szCs w:val="18"/>
        </w:rPr>
        <w:t>12(9)</w:t>
      </w:r>
      <w:r>
        <w:rPr>
          <w:sz w:val="18"/>
          <w:szCs w:val="18"/>
        </w:rPr>
        <w:t>:</w:t>
      </w:r>
      <w:r w:rsidRPr="00FD21B6">
        <w:rPr>
          <w:sz w:val="18"/>
          <w:szCs w:val="18"/>
        </w:rPr>
        <w:t xml:space="preserve"> </w:t>
      </w:r>
      <w:r>
        <w:rPr>
          <w:sz w:val="18"/>
          <w:szCs w:val="18"/>
        </w:rPr>
        <w:t>p</w:t>
      </w:r>
      <w:r w:rsidRPr="00FD21B6">
        <w:rPr>
          <w:sz w:val="18"/>
          <w:szCs w:val="18"/>
        </w:rPr>
        <w:t>1359-65.</w:t>
      </w:r>
    </w:p>
  </w:footnote>
  <w:footnote w:id="156">
    <w:p w14:paraId="4D877468" w14:textId="24F73AAC" w:rsidR="00AA37B6" w:rsidRPr="00FD21B6" w:rsidRDefault="00AA37B6" w:rsidP="001847D7">
      <w:pPr>
        <w:spacing w:before="0" w:after="0"/>
        <w:jc w:val="both"/>
        <w:rPr>
          <w:rFonts w:cstheme="minorHAnsi"/>
          <w:sz w:val="18"/>
          <w:szCs w:val="18"/>
        </w:rPr>
      </w:pPr>
      <w:r w:rsidRPr="00FD21B6">
        <w:rPr>
          <w:rStyle w:val="FootnoteReference"/>
          <w:rFonts w:eastAsiaTheme="majorEastAsia" w:cstheme="minorHAnsi"/>
          <w:sz w:val="18"/>
          <w:szCs w:val="18"/>
        </w:rPr>
        <w:footnoteRef/>
      </w:r>
      <w:r w:rsidRPr="00FD21B6">
        <w:rPr>
          <w:rFonts w:cstheme="minorHAnsi"/>
          <w:sz w:val="18"/>
          <w:szCs w:val="18"/>
        </w:rPr>
        <w:t xml:space="preserve"> Satherley, P</w:t>
      </w:r>
      <w:r>
        <w:rPr>
          <w:rFonts w:cstheme="minorHAnsi"/>
          <w:sz w:val="18"/>
          <w:szCs w:val="18"/>
        </w:rPr>
        <w:t>.</w:t>
      </w:r>
      <w:r w:rsidRPr="00FD21B6">
        <w:rPr>
          <w:rFonts w:cstheme="minorHAnsi"/>
          <w:sz w:val="18"/>
          <w:szCs w:val="18"/>
        </w:rPr>
        <w:t>, Laws, E</w:t>
      </w:r>
      <w:r>
        <w:rPr>
          <w:rFonts w:cstheme="minorHAnsi"/>
          <w:sz w:val="18"/>
          <w:szCs w:val="18"/>
        </w:rPr>
        <w:t>.</w:t>
      </w:r>
      <w:r w:rsidRPr="00FD21B6">
        <w:rPr>
          <w:rFonts w:cstheme="minorHAnsi"/>
          <w:sz w:val="18"/>
          <w:szCs w:val="18"/>
        </w:rPr>
        <w:t xml:space="preserve"> &amp; Sok, S</w:t>
      </w:r>
      <w:r>
        <w:rPr>
          <w:rFonts w:cstheme="minorHAnsi"/>
          <w:sz w:val="18"/>
          <w:szCs w:val="18"/>
        </w:rPr>
        <w:t>.</w:t>
      </w:r>
      <w:r w:rsidRPr="00FD21B6">
        <w:rPr>
          <w:rFonts w:cstheme="minorHAnsi"/>
          <w:sz w:val="18"/>
          <w:szCs w:val="18"/>
        </w:rPr>
        <w:t>, 2008. ‘</w:t>
      </w:r>
      <w:r w:rsidRPr="00FD21B6">
        <w:rPr>
          <w:rFonts w:cstheme="minorHAnsi"/>
          <w:i/>
          <w:iCs/>
          <w:sz w:val="18"/>
          <w:szCs w:val="18"/>
        </w:rPr>
        <w:t>The adult literacy and life skills (ALL) survey: Overview and international comparisons’</w:t>
      </w:r>
      <w:r>
        <w:rPr>
          <w:rFonts w:cstheme="minorHAnsi"/>
          <w:sz w:val="18"/>
          <w:szCs w:val="18"/>
        </w:rPr>
        <w:t xml:space="preserve">. </w:t>
      </w:r>
      <w:r w:rsidRPr="00FD21B6">
        <w:rPr>
          <w:rFonts w:cstheme="minorHAnsi"/>
          <w:sz w:val="18"/>
          <w:szCs w:val="18"/>
        </w:rPr>
        <w:t xml:space="preserve">Wellington, New Zealand: Ministry of Education. Available at: </w:t>
      </w:r>
      <w:hyperlink r:id="rId104" w:history="1">
        <w:r w:rsidRPr="00FD21B6">
          <w:rPr>
            <w:rStyle w:val="Hyperlink"/>
            <w:rFonts w:cstheme="minorHAnsi"/>
            <w:sz w:val="18"/>
            <w:szCs w:val="18"/>
          </w:rPr>
          <w:t>Ministry of Education website</w:t>
        </w:r>
      </w:hyperlink>
      <w:r>
        <w:rPr>
          <w:rFonts w:cstheme="minorHAnsi"/>
          <w:sz w:val="18"/>
          <w:szCs w:val="18"/>
        </w:rPr>
        <w:t xml:space="preserve"> </w:t>
      </w:r>
      <w:r w:rsidRPr="00FD21B6">
        <w:rPr>
          <w:rFonts w:cstheme="minorHAnsi"/>
          <w:sz w:val="18"/>
          <w:szCs w:val="18"/>
        </w:rPr>
        <w:t>(a</w:t>
      </w:r>
      <w:r w:rsidRPr="00FD21B6">
        <w:rPr>
          <w:rFonts w:cstheme="minorHAnsi"/>
          <w:noProof/>
          <w:sz w:val="18"/>
          <w:szCs w:val="18"/>
        </w:rPr>
        <w:t>ccessed 14 November 2018)</w:t>
      </w:r>
      <w:r>
        <w:rPr>
          <w:rFonts w:cstheme="minorHAnsi"/>
          <w:noProof/>
          <w:sz w:val="18"/>
          <w:szCs w:val="18"/>
        </w:rPr>
        <w:t>.</w:t>
      </w:r>
    </w:p>
  </w:footnote>
  <w:footnote w:id="157">
    <w:p w14:paraId="6089A0E2" w14:textId="141F7428" w:rsidR="00AA37B6" w:rsidRPr="001847D7" w:rsidRDefault="00AA37B6" w:rsidP="001847D7">
      <w:pPr>
        <w:pStyle w:val="FootnoteText"/>
        <w:spacing w:before="0" w:after="0"/>
        <w:rPr>
          <w:rFonts w:cstheme="minorHAnsi"/>
          <w:sz w:val="18"/>
          <w:szCs w:val="18"/>
        </w:rPr>
      </w:pPr>
      <w:r w:rsidRPr="00FD21B6">
        <w:rPr>
          <w:rStyle w:val="FootnoteReference"/>
          <w:rFonts w:cstheme="minorHAnsi"/>
          <w:sz w:val="18"/>
          <w:szCs w:val="18"/>
        </w:rPr>
        <w:footnoteRef/>
      </w:r>
      <w:r w:rsidRPr="00FD21B6">
        <w:rPr>
          <w:rFonts w:cstheme="minorHAnsi"/>
          <w:sz w:val="18"/>
          <w:szCs w:val="18"/>
        </w:rPr>
        <w:t xml:space="preserve"> </w:t>
      </w:r>
      <w:r w:rsidRPr="008175C1">
        <w:rPr>
          <w:rFonts w:cstheme="minorHAnsi"/>
          <w:sz w:val="18"/>
          <w:szCs w:val="18"/>
        </w:rPr>
        <w:t xml:space="preserve">OECD, 2017. </w:t>
      </w:r>
      <w:r w:rsidRPr="008175C1">
        <w:rPr>
          <w:rFonts w:cstheme="minorHAnsi"/>
          <w:i/>
          <w:sz w:val="18"/>
          <w:szCs w:val="18"/>
        </w:rPr>
        <w:t xml:space="preserve">‘Building Skills for All in Australia: Policy Insights from the Survey of Adult Skills’. </w:t>
      </w:r>
      <w:r w:rsidRPr="00910339">
        <w:rPr>
          <w:rFonts w:cstheme="minorHAnsi"/>
          <w:sz w:val="18"/>
          <w:szCs w:val="18"/>
        </w:rPr>
        <w:t>OECD Skills Studies.</w:t>
      </w:r>
      <w:r w:rsidRPr="008175C1">
        <w:rPr>
          <w:rFonts w:cstheme="minorHAnsi"/>
          <w:i/>
          <w:sz w:val="18"/>
          <w:szCs w:val="18"/>
        </w:rPr>
        <w:t xml:space="preserve"> </w:t>
      </w:r>
      <w:r w:rsidRPr="008175C1">
        <w:rPr>
          <w:rFonts w:cstheme="minorHAnsi"/>
          <w:sz w:val="18"/>
          <w:szCs w:val="18"/>
        </w:rPr>
        <w:t xml:space="preserve">Available </w:t>
      </w:r>
      <w:hyperlink r:id="rId105" w:anchor="page4" w:history="1">
        <w:r w:rsidRPr="008175C1">
          <w:rPr>
            <w:rStyle w:val="Hyperlink"/>
            <w:rFonts w:cstheme="minorHAnsi"/>
            <w:sz w:val="18"/>
            <w:szCs w:val="18"/>
          </w:rPr>
          <w:t>online</w:t>
        </w:r>
      </w:hyperlink>
      <w:r w:rsidRPr="008175C1">
        <w:rPr>
          <w:rFonts w:cstheme="minorHAnsi"/>
          <w:sz w:val="18"/>
          <w:szCs w:val="18"/>
        </w:rPr>
        <w:t xml:space="preserve"> (accessed 14 November 2018).</w:t>
      </w:r>
    </w:p>
  </w:footnote>
  <w:footnote w:id="158">
    <w:p w14:paraId="1AEDD58C" w14:textId="74F709B3" w:rsidR="00AA37B6" w:rsidRPr="00FD21B6" w:rsidRDefault="00AA37B6" w:rsidP="001847D7">
      <w:pPr>
        <w:pStyle w:val="FootnoteText"/>
        <w:spacing w:before="0" w:after="0"/>
        <w:rPr>
          <w:rFonts w:cstheme="minorHAnsi"/>
          <w:sz w:val="18"/>
          <w:szCs w:val="18"/>
        </w:rPr>
      </w:pPr>
      <w:r w:rsidRPr="00FD21B6">
        <w:rPr>
          <w:rStyle w:val="FootnoteReference"/>
          <w:rFonts w:cstheme="minorHAnsi"/>
          <w:sz w:val="18"/>
          <w:szCs w:val="18"/>
        </w:rPr>
        <w:footnoteRef/>
      </w:r>
      <w:r w:rsidRPr="00FD21B6">
        <w:rPr>
          <w:rFonts w:cstheme="minorHAnsi"/>
          <w:sz w:val="18"/>
          <w:szCs w:val="18"/>
        </w:rPr>
        <w:t xml:space="preserve"> New Zealand Ministry of Health, 2010. ‘</w:t>
      </w:r>
      <w:r w:rsidRPr="00FD21B6">
        <w:rPr>
          <w:rFonts w:cstheme="minorHAnsi"/>
          <w:i/>
          <w:sz w:val="18"/>
          <w:szCs w:val="18"/>
        </w:rPr>
        <w:t>Kōrero mārama: Health literacy and Māori Results from the 2006 adult literacy and life skills survey’</w:t>
      </w:r>
      <w:r w:rsidRPr="00FD21B6">
        <w:rPr>
          <w:rFonts w:cstheme="minorHAnsi"/>
          <w:sz w:val="18"/>
          <w:szCs w:val="18"/>
        </w:rPr>
        <w:t xml:space="preserve">. Available at: </w:t>
      </w:r>
      <w:hyperlink r:id="rId106" w:history="1">
        <w:r w:rsidRPr="00FD21B6">
          <w:rPr>
            <w:rStyle w:val="Hyperlink"/>
            <w:rFonts w:cstheme="minorHAnsi"/>
            <w:sz w:val="18"/>
            <w:szCs w:val="18"/>
          </w:rPr>
          <w:t>Ministry of Health website</w:t>
        </w:r>
      </w:hyperlink>
      <w:r w:rsidRPr="00FD21B6">
        <w:rPr>
          <w:rFonts w:cstheme="minorHAnsi"/>
          <w:sz w:val="18"/>
          <w:szCs w:val="18"/>
        </w:rPr>
        <w:t xml:space="preserve"> (accessed 14 November 2018)</w:t>
      </w:r>
      <w:r>
        <w:rPr>
          <w:rFonts w:cstheme="minorHAnsi"/>
          <w:sz w:val="18"/>
          <w:szCs w:val="18"/>
        </w:rPr>
        <w:t>.</w:t>
      </w:r>
    </w:p>
  </w:footnote>
  <w:footnote w:id="159">
    <w:p w14:paraId="31260E5D" w14:textId="2F0902F9" w:rsidR="00AA37B6" w:rsidRPr="00FD21B6" w:rsidRDefault="00AA37B6" w:rsidP="001847D7">
      <w:pPr>
        <w:pStyle w:val="FootnoteText"/>
        <w:spacing w:before="0" w:after="0"/>
        <w:rPr>
          <w:rFonts w:cstheme="minorHAnsi"/>
          <w:sz w:val="18"/>
          <w:szCs w:val="18"/>
        </w:rPr>
      </w:pPr>
      <w:r w:rsidRPr="00FD21B6">
        <w:rPr>
          <w:rStyle w:val="FootnoteReference"/>
          <w:rFonts w:cstheme="minorHAnsi"/>
          <w:sz w:val="18"/>
          <w:szCs w:val="18"/>
        </w:rPr>
        <w:footnoteRef/>
      </w:r>
      <w:r w:rsidRPr="00FD21B6">
        <w:rPr>
          <w:rFonts w:cstheme="minorHAnsi"/>
          <w:sz w:val="18"/>
          <w:szCs w:val="18"/>
        </w:rPr>
        <w:t xml:space="preserve"> Australian Government Department of Prime Minister and Cabinet</w:t>
      </w:r>
      <w:r>
        <w:rPr>
          <w:rFonts w:cstheme="minorHAnsi"/>
          <w:sz w:val="18"/>
          <w:szCs w:val="18"/>
        </w:rPr>
        <w:t>,</w:t>
      </w:r>
      <w:r w:rsidRPr="00FD21B6">
        <w:rPr>
          <w:rFonts w:cstheme="minorHAnsi"/>
          <w:sz w:val="18"/>
          <w:szCs w:val="18"/>
        </w:rPr>
        <w:t xml:space="preserve"> 2014. ‘</w:t>
      </w:r>
      <w:r w:rsidRPr="00FD21B6">
        <w:rPr>
          <w:rFonts w:cstheme="minorHAnsi"/>
          <w:i/>
          <w:sz w:val="18"/>
          <w:szCs w:val="18"/>
        </w:rPr>
        <w:t xml:space="preserve">Aboriginal and Torres Strait Islander Health Performance Framework 2014 Report: 2.04 Literacy and Numeracy’. </w:t>
      </w:r>
      <w:r w:rsidRPr="00FD21B6">
        <w:rPr>
          <w:rFonts w:cstheme="minorHAnsi"/>
          <w:sz w:val="18"/>
          <w:szCs w:val="18"/>
        </w:rPr>
        <w:t xml:space="preserve">Available at: </w:t>
      </w:r>
      <w:hyperlink r:id="rId107" w:history="1">
        <w:r w:rsidRPr="00FD21B6">
          <w:rPr>
            <w:rStyle w:val="Hyperlink"/>
            <w:rFonts w:cstheme="minorHAnsi"/>
            <w:sz w:val="18"/>
            <w:szCs w:val="18"/>
          </w:rPr>
          <w:t>Prime Minister and Cabinet website</w:t>
        </w:r>
      </w:hyperlink>
      <w:r w:rsidRPr="00FD21B6">
        <w:rPr>
          <w:rFonts w:cstheme="minorHAnsi"/>
          <w:sz w:val="18"/>
          <w:szCs w:val="18"/>
        </w:rPr>
        <w:t xml:space="preserve"> (accessed 14 November 2018).</w:t>
      </w:r>
    </w:p>
  </w:footnote>
  <w:footnote w:id="160">
    <w:p w14:paraId="1C01C999" w14:textId="38313B88" w:rsidR="00AA37B6" w:rsidRPr="00FD21B6" w:rsidRDefault="00AA37B6" w:rsidP="001847D7">
      <w:pPr>
        <w:pStyle w:val="FootnoteText"/>
        <w:spacing w:before="0" w:after="0"/>
        <w:rPr>
          <w:rFonts w:cstheme="minorHAnsi"/>
          <w:sz w:val="18"/>
          <w:szCs w:val="18"/>
        </w:rPr>
      </w:pPr>
      <w:r w:rsidRPr="00FD21B6">
        <w:rPr>
          <w:rStyle w:val="FootnoteReference"/>
          <w:rFonts w:cstheme="minorHAnsi"/>
          <w:sz w:val="18"/>
          <w:szCs w:val="18"/>
        </w:rPr>
        <w:footnoteRef/>
      </w:r>
      <w:r w:rsidRPr="00FD21B6">
        <w:rPr>
          <w:rFonts w:cstheme="minorHAnsi"/>
          <w:sz w:val="18"/>
          <w:szCs w:val="18"/>
        </w:rPr>
        <w:t xml:space="preserve"> Australian Institute of Health and Welfare (AIHW), 2018. ‘</w:t>
      </w:r>
      <w:r w:rsidRPr="00FD21B6">
        <w:rPr>
          <w:rFonts w:cstheme="minorHAnsi"/>
          <w:i/>
          <w:sz w:val="18"/>
          <w:szCs w:val="18"/>
        </w:rPr>
        <w:t xml:space="preserve">Australia’s Health 2018’, </w:t>
      </w:r>
      <w:r w:rsidRPr="00FD21B6">
        <w:rPr>
          <w:rFonts w:cstheme="minorHAnsi"/>
          <w:sz w:val="18"/>
          <w:szCs w:val="18"/>
        </w:rPr>
        <w:t xml:space="preserve">Available at: </w:t>
      </w:r>
      <w:hyperlink r:id="rId108" w:history="1">
        <w:r w:rsidRPr="00FD21B6">
          <w:rPr>
            <w:rStyle w:val="Hyperlink"/>
            <w:rFonts w:cstheme="minorHAnsi"/>
            <w:sz w:val="18"/>
            <w:szCs w:val="18"/>
          </w:rPr>
          <w:t>AIHW website</w:t>
        </w:r>
      </w:hyperlink>
      <w:r w:rsidRPr="00FD21B6">
        <w:rPr>
          <w:rFonts w:cstheme="minorHAnsi"/>
          <w:sz w:val="18"/>
          <w:szCs w:val="18"/>
        </w:rPr>
        <w:t xml:space="preserve"> (accessed 14 November 2018)</w:t>
      </w:r>
      <w:r>
        <w:rPr>
          <w:rFonts w:cstheme="minorHAnsi"/>
          <w:sz w:val="18"/>
          <w:szCs w:val="18"/>
        </w:rPr>
        <w:t>.</w:t>
      </w:r>
    </w:p>
  </w:footnote>
  <w:footnote w:id="161">
    <w:p w14:paraId="0B9FB4D2" w14:textId="64B8A5AF" w:rsidR="00AA37B6" w:rsidRPr="006B14DC" w:rsidRDefault="00AA37B6" w:rsidP="001847D7">
      <w:pPr>
        <w:pStyle w:val="FootnoteText"/>
        <w:spacing w:before="0" w:after="0"/>
        <w:rPr>
          <w:rFonts w:cstheme="minorHAnsi"/>
          <w:sz w:val="18"/>
          <w:szCs w:val="18"/>
        </w:rPr>
      </w:pPr>
      <w:r w:rsidRPr="00FD21B6">
        <w:rPr>
          <w:rStyle w:val="FootnoteReference"/>
          <w:rFonts w:cstheme="minorHAnsi"/>
          <w:sz w:val="18"/>
          <w:szCs w:val="18"/>
        </w:rPr>
        <w:footnoteRef/>
      </w:r>
      <w:r w:rsidRPr="00FD21B6">
        <w:rPr>
          <w:rFonts w:cstheme="minorHAnsi"/>
          <w:sz w:val="18"/>
          <w:szCs w:val="18"/>
        </w:rPr>
        <w:t xml:space="preserve"> </w:t>
      </w:r>
      <w:r w:rsidRPr="008175C1">
        <w:rPr>
          <w:rFonts w:cstheme="minorHAnsi"/>
          <w:sz w:val="18"/>
          <w:szCs w:val="18"/>
        </w:rPr>
        <w:t xml:space="preserve">New Zealand Ministry of Health, 2015. </w:t>
      </w:r>
      <w:r w:rsidRPr="008175C1">
        <w:rPr>
          <w:rFonts w:cstheme="minorHAnsi"/>
          <w:i/>
          <w:sz w:val="18"/>
          <w:szCs w:val="18"/>
        </w:rPr>
        <w:t>‘Tatau Kahukura: Māori Health Chart Book 2015 (3rd edition)’</w:t>
      </w:r>
      <w:r w:rsidRPr="008175C1">
        <w:rPr>
          <w:rFonts w:cstheme="minorHAnsi"/>
          <w:sz w:val="18"/>
          <w:szCs w:val="18"/>
        </w:rPr>
        <w:t xml:space="preserve">. </w:t>
      </w:r>
      <w:r>
        <w:rPr>
          <w:rFonts w:cstheme="minorHAnsi"/>
          <w:sz w:val="18"/>
          <w:szCs w:val="18"/>
        </w:rPr>
        <w:t xml:space="preserve">Available at: </w:t>
      </w:r>
      <w:hyperlink r:id="rId109" w:history="1">
        <w:r w:rsidRPr="00A54640">
          <w:rPr>
            <w:rStyle w:val="Hyperlink"/>
            <w:rFonts w:cstheme="minorHAnsi"/>
            <w:sz w:val="18"/>
            <w:szCs w:val="18"/>
          </w:rPr>
          <w:t>Ministry of Health website</w:t>
        </w:r>
      </w:hyperlink>
      <w:r>
        <w:rPr>
          <w:rFonts w:cstheme="minorHAnsi"/>
          <w:sz w:val="18"/>
          <w:szCs w:val="18"/>
        </w:rPr>
        <w:t xml:space="preserve"> (accessed 20 December 2018)</w:t>
      </w:r>
      <w:r w:rsidRPr="008175C1">
        <w:rPr>
          <w:rFonts w:cstheme="minorHAnsi"/>
          <w:sz w:val="18"/>
          <w:szCs w:val="18"/>
        </w:rPr>
        <w:t>.</w:t>
      </w:r>
    </w:p>
  </w:footnote>
  <w:footnote w:id="162">
    <w:p w14:paraId="74202EB8" w14:textId="5E58C955" w:rsidR="00AA37B6" w:rsidRPr="006B14DC" w:rsidRDefault="00AA37B6" w:rsidP="001847D7">
      <w:pPr>
        <w:pStyle w:val="FootnoteText"/>
        <w:spacing w:before="0" w:after="0"/>
        <w:rPr>
          <w:rFonts w:cstheme="minorHAnsi"/>
          <w:sz w:val="18"/>
          <w:szCs w:val="18"/>
        </w:rPr>
      </w:pPr>
      <w:r w:rsidRPr="006B14DC">
        <w:rPr>
          <w:rStyle w:val="FootnoteReference"/>
          <w:rFonts w:cstheme="minorHAnsi"/>
          <w:sz w:val="18"/>
          <w:szCs w:val="18"/>
        </w:rPr>
        <w:footnoteRef/>
      </w:r>
      <w:r w:rsidRPr="006B14DC">
        <w:rPr>
          <w:rFonts w:cstheme="minorHAnsi"/>
          <w:sz w:val="18"/>
          <w:szCs w:val="18"/>
        </w:rPr>
        <w:t xml:space="preserve"> Gorton</w:t>
      </w:r>
      <w:r>
        <w:rPr>
          <w:rFonts w:cstheme="minorHAnsi"/>
          <w:sz w:val="18"/>
          <w:szCs w:val="18"/>
        </w:rPr>
        <w:t>,</w:t>
      </w:r>
      <w:r w:rsidRPr="006B14DC">
        <w:rPr>
          <w:rFonts w:cstheme="minorHAnsi"/>
          <w:sz w:val="18"/>
          <w:szCs w:val="18"/>
        </w:rPr>
        <w:t xml:space="preserve"> D</w:t>
      </w:r>
      <w:r>
        <w:rPr>
          <w:rFonts w:cstheme="minorHAnsi"/>
          <w:sz w:val="18"/>
          <w:szCs w:val="18"/>
        </w:rPr>
        <w:t>.</w:t>
      </w:r>
      <w:r w:rsidRPr="006B14DC">
        <w:rPr>
          <w:rFonts w:cstheme="minorHAnsi"/>
          <w:sz w:val="18"/>
          <w:szCs w:val="18"/>
        </w:rPr>
        <w:t>, et al</w:t>
      </w:r>
      <w:r>
        <w:rPr>
          <w:rFonts w:cstheme="minorHAnsi"/>
          <w:sz w:val="18"/>
          <w:szCs w:val="18"/>
        </w:rPr>
        <w:t>,</w:t>
      </w:r>
      <w:r w:rsidRPr="006B14DC">
        <w:rPr>
          <w:rFonts w:cstheme="minorHAnsi"/>
          <w:sz w:val="18"/>
          <w:szCs w:val="18"/>
        </w:rPr>
        <w:t xml:space="preserve"> 2009</w:t>
      </w:r>
      <w:r>
        <w:rPr>
          <w:rFonts w:cstheme="minorHAnsi"/>
          <w:sz w:val="18"/>
          <w:szCs w:val="18"/>
        </w:rPr>
        <w:t>.</w:t>
      </w:r>
      <w:r w:rsidRPr="006B14DC">
        <w:rPr>
          <w:rFonts w:cstheme="minorHAnsi"/>
          <w:sz w:val="18"/>
          <w:szCs w:val="18"/>
        </w:rPr>
        <w:t xml:space="preserve"> ‘Nutrition labels: a survey of use, understanding and preferences among ethnically diverse shoppers in New Zealand</w:t>
      </w:r>
      <w:r>
        <w:rPr>
          <w:rFonts w:cstheme="minorHAnsi"/>
          <w:sz w:val="18"/>
          <w:szCs w:val="18"/>
        </w:rPr>
        <w:t>’.</w:t>
      </w:r>
      <w:r w:rsidRPr="006B14DC">
        <w:rPr>
          <w:rFonts w:cstheme="minorHAnsi"/>
          <w:sz w:val="18"/>
          <w:szCs w:val="18"/>
        </w:rPr>
        <w:t xml:space="preserve"> </w:t>
      </w:r>
      <w:r w:rsidRPr="006B14DC">
        <w:rPr>
          <w:rFonts w:cstheme="minorHAnsi"/>
          <w:i/>
          <w:sz w:val="18"/>
          <w:szCs w:val="18"/>
        </w:rPr>
        <w:t>Public Health Nutrition</w:t>
      </w:r>
      <w:r>
        <w:rPr>
          <w:rFonts w:cstheme="minorHAnsi"/>
          <w:i/>
          <w:sz w:val="18"/>
          <w:szCs w:val="18"/>
        </w:rPr>
        <w:t>,</w:t>
      </w:r>
      <w:r w:rsidRPr="006B14DC">
        <w:rPr>
          <w:rFonts w:cstheme="minorHAnsi"/>
          <w:i/>
          <w:sz w:val="18"/>
          <w:szCs w:val="18"/>
        </w:rPr>
        <w:t xml:space="preserve"> </w:t>
      </w:r>
      <w:r>
        <w:rPr>
          <w:rFonts w:cstheme="minorHAnsi"/>
          <w:sz w:val="18"/>
          <w:szCs w:val="18"/>
        </w:rPr>
        <w:t>12(9): p</w:t>
      </w:r>
      <w:r w:rsidRPr="006B14DC">
        <w:rPr>
          <w:rFonts w:cstheme="minorHAnsi"/>
          <w:sz w:val="18"/>
          <w:szCs w:val="18"/>
        </w:rPr>
        <w:t>1359-65.</w:t>
      </w:r>
    </w:p>
  </w:footnote>
  <w:footnote w:id="163">
    <w:p w14:paraId="11AD35A2" w14:textId="115AFCF1" w:rsidR="00AA37B6" w:rsidRPr="006B14DC" w:rsidRDefault="00AA37B6" w:rsidP="001847D7">
      <w:pPr>
        <w:spacing w:before="0" w:after="0"/>
        <w:jc w:val="both"/>
        <w:rPr>
          <w:rFonts w:cstheme="minorHAnsi"/>
          <w:sz w:val="18"/>
          <w:szCs w:val="18"/>
        </w:rPr>
      </w:pPr>
      <w:r w:rsidRPr="006B14DC">
        <w:rPr>
          <w:rStyle w:val="FootnoteReference"/>
          <w:rFonts w:cstheme="minorHAnsi"/>
          <w:sz w:val="18"/>
          <w:szCs w:val="18"/>
        </w:rPr>
        <w:footnoteRef/>
      </w:r>
      <w:r w:rsidRPr="006B14DC">
        <w:rPr>
          <w:rFonts w:cstheme="minorHAnsi"/>
          <w:sz w:val="18"/>
          <w:szCs w:val="18"/>
        </w:rPr>
        <w:t xml:space="preserve"> Satherley, P., Laws, E., &amp; Sok, S.</w:t>
      </w:r>
      <w:r>
        <w:rPr>
          <w:rFonts w:cstheme="minorHAnsi"/>
          <w:sz w:val="18"/>
          <w:szCs w:val="18"/>
        </w:rPr>
        <w:t>,</w:t>
      </w:r>
      <w:r w:rsidRPr="006B14DC">
        <w:rPr>
          <w:rFonts w:cstheme="minorHAnsi"/>
          <w:sz w:val="18"/>
          <w:szCs w:val="18"/>
        </w:rPr>
        <w:t xml:space="preserve"> 2008. </w:t>
      </w:r>
      <w:r>
        <w:rPr>
          <w:rFonts w:cstheme="minorHAnsi"/>
          <w:sz w:val="18"/>
          <w:szCs w:val="18"/>
        </w:rPr>
        <w:t>‘</w:t>
      </w:r>
      <w:r w:rsidRPr="006B14DC">
        <w:rPr>
          <w:rFonts w:cstheme="minorHAnsi"/>
          <w:i/>
          <w:iCs/>
          <w:sz w:val="18"/>
          <w:szCs w:val="18"/>
        </w:rPr>
        <w:t>The adult literacy and life skills (ALL) survey: Overview and international comparisons</w:t>
      </w:r>
      <w:r>
        <w:rPr>
          <w:rFonts w:cstheme="minorHAnsi"/>
          <w:i/>
          <w:iCs/>
          <w:sz w:val="18"/>
          <w:szCs w:val="18"/>
        </w:rPr>
        <w:t>’</w:t>
      </w:r>
      <w:r>
        <w:rPr>
          <w:rFonts w:cstheme="minorHAnsi"/>
          <w:sz w:val="18"/>
          <w:szCs w:val="18"/>
        </w:rPr>
        <w:t xml:space="preserve">. </w:t>
      </w:r>
      <w:r w:rsidRPr="006B14DC">
        <w:rPr>
          <w:rFonts w:cstheme="minorHAnsi"/>
          <w:sz w:val="18"/>
          <w:szCs w:val="18"/>
        </w:rPr>
        <w:t xml:space="preserve">Wellington, New Zealand: Ministry of Education. Available at: </w:t>
      </w:r>
      <w:hyperlink r:id="rId110" w:history="1">
        <w:r w:rsidRPr="006B14DC">
          <w:rPr>
            <w:rStyle w:val="Hyperlink"/>
            <w:rFonts w:cstheme="minorHAnsi"/>
            <w:sz w:val="18"/>
            <w:szCs w:val="18"/>
          </w:rPr>
          <w:t>Ministry of Education website</w:t>
        </w:r>
      </w:hyperlink>
      <w:r w:rsidRPr="006B14DC">
        <w:rPr>
          <w:rFonts w:cstheme="minorHAnsi"/>
          <w:sz w:val="18"/>
          <w:szCs w:val="18"/>
        </w:rPr>
        <w:t xml:space="preserve"> (a</w:t>
      </w:r>
      <w:r w:rsidRPr="006B14DC">
        <w:rPr>
          <w:rFonts w:cstheme="minorHAnsi"/>
          <w:noProof/>
          <w:sz w:val="18"/>
          <w:szCs w:val="18"/>
        </w:rPr>
        <w:t>ccessed 14 November 2018)</w:t>
      </w:r>
      <w:r>
        <w:rPr>
          <w:rFonts w:cstheme="minorHAnsi"/>
          <w:noProof/>
          <w:sz w:val="18"/>
          <w:szCs w:val="18"/>
        </w:rPr>
        <w:t>.</w:t>
      </w:r>
    </w:p>
  </w:footnote>
  <w:footnote w:id="164">
    <w:p w14:paraId="3CEF48AA" w14:textId="073147A9" w:rsidR="00AA37B6" w:rsidRPr="001847D7" w:rsidRDefault="00AA37B6" w:rsidP="001847D7">
      <w:pPr>
        <w:pStyle w:val="FootnoteText"/>
        <w:spacing w:before="0" w:after="0"/>
        <w:rPr>
          <w:rFonts w:ascii="Calibri Light" w:hAnsi="Calibri Light" w:cs="Calibri Light"/>
          <w:sz w:val="18"/>
          <w:szCs w:val="18"/>
        </w:rPr>
      </w:pPr>
      <w:r w:rsidRPr="006B14DC">
        <w:rPr>
          <w:rStyle w:val="FootnoteReference"/>
          <w:rFonts w:cstheme="minorHAnsi"/>
          <w:sz w:val="18"/>
          <w:szCs w:val="18"/>
        </w:rPr>
        <w:footnoteRef/>
      </w:r>
      <w:r w:rsidRPr="006B14DC">
        <w:rPr>
          <w:rFonts w:cstheme="minorHAnsi"/>
          <w:sz w:val="18"/>
          <w:szCs w:val="18"/>
        </w:rPr>
        <w:t xml:space="preserve"> </w:t>
      </w:r>
      <w:r w:rsidRPr="008175C1">
        <w:rPr>
          <w:rFonts w:cstheme="minorHAnsi"/>
          <w:sz w:val="18"/>
          <w:szCs w:val="18"/>
        </w:rPr>
        <w:t xml:space="preserve">OECD, 2017. </w:t>
      </w:r>
      <w:r w:rsidRPr="008175C1">
        <w:rPr>
          <w:rFonts w:cstheme="minorHAnsi"/>
          <w:i/>
          <w:sz w:val="18"/>
          <w:szCs w:val="18"/>
        </w:rPr>
        <w:t xml:space="preserve">‘Building Skills for All in Australia: Policy Insights from the Survey of Adult Skills’. </w:t>
      </w:r>
      <w:r w:rsidRPr="00910339">
        <w:rPr>
          <w:rFonts w:cstheme="minorHAnsi"/>
          <w:sz w:val="18"/>
          <w:szCs w:val="18"/>
        </w:rPr>
        <w:t>OECD Skills Studies.</w:t>
      </w:r>
      <w:r w:rsidRPr="008175C1">
        <w:rPr>
          <w:rFonts w:cstheme="minorHAnsi"/>
          <w:i/>
          <w:sz w:val="18"/>
          <w:szCs w:val="18"/>
        </w:rPr>
        <w:t xml:space="preserve"> </w:t>
      </w:r>
      <w:r w:rsidRPr="008175C1">
        <w:rPr>
          <w:rFonts w:cstheme="minorHAnsi"/>
          <w:sz w:val="18"/>
          <w:szCs w:val="18"/>
        </w:rPr>
        <w:t xml:space="preserve">Available </w:t>
      </w:r>
      <w:hyperlink r:id="rId111" w:anchor="page4" w:history="1">
        <w:r w:rsidRPr="008175C1">
          <w:rPr>
            <w:rStyle w:val="Hyperlink"/>
            <w:rFonts w:cstheme="minorHAnsi"/>
            <w:sz w:val="18"/>
            <w:szCs w:val="18"/>
          </w:rPr>
          <w:t>online</w:t>
        </w:r>
      </w:hyperlink>
      <w:r w:rsidRPr="008175C1">
        <w:rPr>
          <w:rFonts w:cstheme="minorHAnsi"/>
          <w:sz w:val="18"/>
          <w:szCs w:val="18"/>
        </w:rPr>
        <w:t xml:space="preserve"> (accessed 14 November 2018).</w:t>
      </w:r>
    </w:p>
  </w:footnote>
  <w:footnote w:id="165">
    <w:p w14:paraId="0AD694C0" w14:textId="2FD1892E" w:rsidR="00AA37B6" w:rsidRPr="001847D7" w:rsidRDefault="00AA37B6" w:rsidP="001847D7">
      <w:pPr>
        <w:pStyle w:val="FootnoteText"/>
        <w:spacing w:before="0" w:after="0"/>
        <w:rPr>
          <w:sz w:val="18"/>
          <w:szCs w:val="18"/>
        </w:rPr>
      </w:pPr>
      <w:r w:rsidRPr="006B14DC">
        <w:rPr>
          <w:rStyle w:val="FootnoteReference"/>
          <w:sz w:val="18"/>
          <w:szCs w:val="18"/>
        </w:rPr>
        <w:footnoteRef/>
      </w:r>
      <w:r w:rsidRPr="006B14DC">
        <w:rPr>
          <w:sz w:val="18"/>
          <w:szCs w:val="18"/>
        </w:rPr>
        <w:t xml:space="preserve"> Depending on the pictorial approach taken</w:t>
      </w:r>
      <w:r>
        <w:rPr>
          <w:sz w:val="18"/>
          <w:szCs w:val="18"/>
        </w:rPr>
        <w:t>.</w:t>
      </w:r>
    </w:p>
  </w:footnote>
  <w:footnote w:id="166">
    <w:p w14:paraId="14999059" w14:textId="0A8A8DAA" w:rsidR="00AA37B6" w:rsidRPr="006B14DC" w:rsidRDefault="00AA37B6" w:rsidP="001847D7">
      <w:pPr>
        <w:pStyle w:val="FootnoteText"/>
        <w:spacing w:before="0" w:after="0"/>
        <w:rPr>
          <w:rFonts w:cstheme="minorHAnsi"/>
          <w:sz w:val="18"/>
          <w:szCs w:val="18"/>
        </w:rPr>
      </w:pPr>
      <w:r w:rsidRPr="006B14DC">
        <w:rPr>
          <w:rStyle w:val="FootnoteReference"/>
          <w:rFonts w:cstheme="minorHAnsi"/>
          <w:sz w:val="18"/>
          <w:szCs w:val="18"/>
        </w:rPr>
        <w:footnoteRef/>
      </w:r>
      <w:r w:rsidRPr="006B14DC">
        <w:rPr>
          <w:rFonts w:cstheme="minorHAnsi"/>
          <w:sz w:val="18"/>
          <w:szCs w:val="18"/>
        </w:rPr>
        <w:t xml:space="preserve"> Louie</w:t>
      </w:r>
      <w:r>
        <w:rPr>
          <w:rFonts w:cstheme="minorHAnsi"/>
          <w:sz w:val="18"/>
          <w:szCs w:val="18"/>
        </w:rPr>
        <w:t>,</w:t>
      </w:r>
      <w:r w:rsidRPr="006B14DC">
        <w:rPr>
          <w:rFonts w:cstheme="minorHAnsi"/>
          <w:sz w:val="18"/>
          <w:szCs w:val="18"/>
        </w:rPr>
        <w:t xml:space="preserve"> J</w:t>
      </w:r>
      <w:r>
        <w:rPr>
          <w:rFonts w:cstheme="minorHAnsi"/>
          <w:sz w:val="18"/>
          <w:szCs w:val="18"/>
        </w:rPr>
        <w:t>.</w:t>
      </w:r>
      <w:r w:rsidRPr="006B14DC">
        <w:rPr>
          <w:rFonts w:cstheme="minorHAnsi"/>
          <w:sz w:val="18"/>
          <w:szCs w:val="18"/>
        </w:rPr>
        <w:t>C</w:t>
      </w:r>
      <w:r>
        <w:rPr>
          <w:rFonts w:cstheme="minorHAnsi"/>
          <w:sz w:val="18"/>
          <w:szCs w:val="18"/>
        </w:rPr>
        <w:t>.</w:t>
      </w:r>
      <w:r w:rsidRPr="006B14DC">
        <w:rPr>
          <w:rFonts w:cstheme="minorHAnsi"/>
          <w:sz w:val="18"/>
          <w:szCs w:val="18"/>
        </w:rPr>
        <w:t>, Tapsell</w:t>
      </w:r>
      <w:r>
        <w:rPr>
          <w:rFonts w:cstheme="minorHAnsi"/>
          <w:sz w:val="18"/>
          <w:szCs w:val="18"/>
        </w:rPr>
        <w:t>,</w:t>
      </w:r>
      <w:r w:rsidRPr="006B14DC">
        <w:rPr>
          <w:rFonts w:cstheme="minorHAnsi"/>
          <w:sz w:val="18"/>
          <w:szCs w:val="18"/>
        </w:rPr>
        <w:t xml:space="preserve"> L</w:t>
      </w:r>
      <w:r>
        <w:rPr>
          <w:rFonts w:cstheme="minorHAnsi"/>
          <w:sz w:val="18"/>
          <w:szCs w:val="18"/>
        </w:rPr>
        <w:t xml:space="preserve">. </w:t>
      </w:r>
      <w:r w:rsidRPr="006B14DC">
        <w:rPr>
          <w:rFonts w:cstheme="minorHAnsi"/>
          <w:sz w:val="18"/>
          <w:szCs w:val="18"/>
        </w:rPr>
        <w:t>C.</w:t>
      </w:r>
      <w:r>
        <w:rPr>
          <w:rFonts w:cstheme="minorHAnsi"/>
          <w:sz w:val="18"/>
          <w:szCs w:val="18"/>
        </w:rPr>
        <w:t>,</w:t>
      </w:r>
      <w:r w:rsidRPr="006B14DC">
        <w:rPr>
          <w:rFonts w:cstheme="minorHAnsi"/>
          <w:sz w:val="18"/>
          <w:szCs w:val="18"/>
        </w:rPr>
        <w:t xml:space="preserve"> 2015. ‘Association between intake of total vs added sugar on diet quality: a systematic review’. </w:t>
      </w:r>
      <w:r w:rsidRPr="006B14DC">
        <w:rPr>
          <w:rFonts w:cstheme="minorHAnsi"/>
          <w:i/>
          <w:sz w:val="18"/>
          <w:szCs w:val="18"/>
        </w:rPr>
        <w:t>Nutrition Reviews</w:t>
      </w:r>
      <w:r>
        <w:rPr>
          <w:rFonts w:cstheme="minorHAnsi"/>
          <w:i/>
          <w:sz w:val="18"/>
          <w:szCs w:val="18"/>
        </w:rPr>
        <w:t>,</w:t>
      </w:r>
      <w:r>
        <w:rPr>
          <w:rFonts w:cstheme="minorHAnsi"/>
          <w:sz w:val="18"/>
          <w:szCs w:val="18"/>
        </w:rPr>
        <w:t xml:space="preserve"> 73(12): p</w:t>
      </w:r>
      <w:r w:rsidRPr="006B14DC">
        <w:rPr>
          <w:rFonts w:cstheme="minorHAnsi"/>
          <w:sz w:val="18"/>
          <w:szCs w:val="18"/>
        </w:rPr>
        <w:t>837–</w:t>
      </w:r>
      <w:r>
        <w:rPr>
          <w:rFonts w:cstheme="minorHAnsi"/>
          <w:sz w:val="18"/>
          <w:szCs w:val="18"/>
        </w:rPr>
        <w:t>8</w:t>
      </w:r>
      <w:r w:rsidRPr="006B14DC">
        <w:rPr>
          <w:rFonts w:cstheme="minorHAnsi"/>
          <w:sz w:val="18"/>
          <w:szCs w:val="18"/>
        </w:rPr>
        <w:t>57.</w:t>
      </w:r>
    </w:p>
  </w:footnote>
  <w:footnote w:id="167">
    <w:p w14:paraId="4332D4C1" w14:textId="55B12FC1" w:rsidR="00AA37B6" w:rsidRPr="006B14DC" w:rsidRDefault="00AA37B6" w:rsidP="001847D7">
      <w:pPr>
        <w:pStyle w:val="FootnoteText"/>
        <w:spacing w:before="0" w:after="0"/>
        <w:rPr>
          <w:rFonts w:cstheme="minorHAnsi"/>
          <w:sz w:val="18"/>
          <w:szCs w:val="18"/>
        </w:rPr>
      </w:pPr>
      <w:r w:rsidRPr="006B14DC">
        <w:rPr>
          <w:rStyle w:val="FootnoteReference"/>
          <w:rFonts w:cstheme="minorHAnsi"/>
          <w:sz w:val="18"/>
          <w:szCs w:val="18"/>
        </w:rPr>
        <w:footnoteRef/>
      </w:r>
      <w:r>
        <w:rPr>
          <w:rFonts w:cstheme="minorHAnsi"/>
          <w:sz w:val="18"/>
          <w:szCs w:val="18"/>
        </w:rPr>
        <w:t xml:space="preserve"> Pricew</w:t>
      </w:r>
      <w:r w:rsidRPr="006B14DC">
        <w:rPr>
          <w:rFonts w:cstheme="minorHAnsi"/>
          <w:sz w:val="18"/>
          <w:szCs w:val="18"/>
        </w:rPr>
        <w:t xml:space="preserve">aterhouseCoopers, 2014. </w:t>
      </w:r>
      <w:r>
        <w:rPr>
          <w:rFonts w:cstheme="minorHAnsi"/>
          <w:sz w:val="18"/>
          <w:szCs w:val="18"/>
        </w:rPr>
        <w:t>‘</w:t>
      </w:r>
      <w:r w:rsidRPr="006B14DC">
        <w:rPr>
          <w:rFonts w:cstheme="minorHAnsi"/>
          <w:i/>
          <w:sz w:val="18"/>
          <w:szCs w:val="18"/>
        </w:rPr>
        <w:t>Health Star Rating System Cost Benefit Analysis</w:t>
      </w:r>
      <w:r>
        <w:rPr>
          <w:rFonts w:cstheme="minorHAnsi"/>
          <w:i/>
          <w:sz w:val="18"/>
          <w:szCs w:val="18"/>
        </w:rPr>
        <w:t>’</w:t>
      </w:r>
      <w:r w:rsidRPr="006B14DC">
        <w:rPr>
          <w:rFonts w:cstheme="minorHAnsi"/>
          <w:i/>
          <w:sz w:val="18"/>
          <w:szCs w:val="18"/>
        </w:rPr>
        <w:t xml:space="preserve">. </w:t>
      </w:r>
      <w:r w:rsidRPr="006B14DC">
        <w:rPr>
          <w:rFonts w:cstheme="minorHAnsi"/>
          <w:sz w:val="18"/>
          <w:szCs w:val="18"/>
        </w:rPr>
        <w:t xml:space="preserve">Available at: </w:t>
      </w:r>
      <w:hyperlink r:id="rId112" w:history="1">
        <w:r w:rsidRPr="006B14DC">
          <w:rPr>
            <w:rStyle w:val="Hyperlink"/>
            <w:rFonts w:cstheme="minorHAnsi"/>
            <w:sz w:val="18"/>
            <w:szCs w:val="18"/>
          </w:rPr>
          <w:t>Food Regulation Website</w:t>
        </w:r>
      </w:hyperlink>
      <w:r>
        <w:rPr>
          <w:rFonts w:cstheme="minorHAnsi"/>
          <w:sz w:val="18"/>
          <w:szCs w:val="18"/>
        </w:rPr>
        <w:t xml:space="preserve"> (accessed 15 November 2018).</w:t>
      </w:r>
    </w:p>
  </w:footnote>
  <w:footnote w:id="168">
    <w:p w14:paraId="485F59AE" w14:textId="4D88ECA5" w:rsidR="00AA37B6" w:rsidRDefault="00AA37B6" w:rsidP="001847D7">
      <w:pPr>
        <w:pStyle w:val="FootnoteText"/>
        <w:spacing w:before="0" w:after="0"/>
      </w:pPr>
      <w:r w:rsidRPr="006B14DC">
        <w:rPr>
          <w:rStyle w:val="FootnoteReference"/>
          <w:rFonts w:cstheme="minorHAnsi"/>
          <w:sz w:val="18"/>
          <w:szCs w:val="18"/>
        </w:rPr>
        <w:footnoteRef/>
      </w:r>
      <w:r w:rsidRPr="006B14DC">
        <w:rPr>
          <w:rFonts w:cstheme="minorHAnsi"/>
          <w:sz w:val="18"/>
          <w:szCs w:val="18"/>
        </w:rPr>
        <w:t xml:space="preserve"> CODEX Alimentarius is the collection of standards, guidelines and codes of practice adopted by the </w:t>
      </w:r>
      <w:r>
        <w:rPr>
          <w:rFonts w:cstheme="minorHAnsi"/>
          <w:sz w:val="18"/>
          <w:szCs w:val="18"/>
        </w:rPr>
        <w:t xml:space="preserve">Codex Alimentarius Commission. </w:t>
      </w:r>
      <w:r w:rsidRPr="006B14DC">
        <w:rPr>
          <w:rFonts w:cstheme="minorHAnsi"/>
          <w:sz w:val="18"/>
          <w:szCs w:val="18"/>
        </w:rPr>
        <w:t>The Commission is part of the Joint Food and Agriculture Organization (FAO) and World Health Organization (WHO) food standards program to promote consumer health and promote fair practices in food trade.</w:t>
      </w:r>
    </w:p>
  </w:footnote>
  <w:footnote w:id="169">
    <w:p w14:paraId="3B7458AB" w14:textId="45CEA5BD" w:rsidR="00AA37B6" w:rsidRPr="00462EAA" w:rsidRDefault="00AA37B6" w:rsidP="001847D7">
      <w:pPr>
        <w:pStyle w:val="FootnoteText"/>
        <w:spacing w:before="0" w:after="0"/>
        <w:rPr>
          <w:rFonts w:cstheme="minorHAnsi"/>
          <w:sz w:val="18"/>
          <w:szCs w:val="18"/>
        </w:rPr>
      </w:pPr>
      <w:r w:rsidRPr="00462EAA">
        <w:rPr>
          <w:rStyle w:val="FootnoteReference"/>
          <w:rFonts w:cstheme="minorHAnsi"/>
          <w:sz w:val="18"/>
          <w:szCs w:val="18"/>
        </w:rPr>
        <w:footnoteRef/>
      </w:r>
      <w:r w:rsidRPr="00462EAA">
        <w:rPr>
          <w:rFonts w:cstheme="minorHAnsi"/>
          <w:sz w:val="18"/>
          <w:szCs w:val="18"/>
        </w:rPr>
        <w:t xml:space="preserve"> Brownbill</w:t>
      </w:r>
      <w:r>
        <w:rPr>
          <w:rFonts w:cstheme="minorHAnsi"/>
          <w:sz w:val="18"/>
          <w:szCs w:val="18"/>
        </w:rPr>
        <w:t>,</w:t>
      </w:r>
      <w:r w:rsidRPr="00462EAA">
        <w:rPr>
          <w:rFonts w:cstheme="minorHAnsi"/>
          <w:sz w:val="18"/>
          <w:szCs w:val="18"/>
        </w:rPr>
        <w:t xml:space="preserve"> A</w:t>
      </w:r>
      <w:r>
        <w:rPr>
          <w:rFonts w:cstheme="minorHAnsi"/>
          <w:sz w:val="18"/>
          <w:szCs w:val="18"/>
        </w:rPr>
        <w:t>.</w:t>
      </w:r>
      <w:r w:rsidRPr="00462EAA">
        <w:rPr>
          <w:rFonts w:cstheme="minorHAnsi"/>
          <w:sz w:val="18"/>
          <w:szCs w:val="18"/>
        </w:rPr>
        <w:t>, Braunack-Mayer, A</w:t>
      </w:r>
      <w:r>
        <w:rPr>
          <w:rFonts w:cstheme="minorHAnsi"/>
          <w:sz w:val="18"/>
          <w:szCs w:val="18"/>
        </w:rPr>
        <w:t>. &amp;</w:t>
      </w:r>
      <w:r w:rsidRPr="00462EAA">
        <w:rPr>
          <w:rFonts w:cstheme="minorHAnsi"/>
          <w:sz w:val="18"/>
          <w:szCs w:val="18"/>
        </w:rPr>
        <w:t xml:space="preserve"> Miller, C</w:t>
      </w:r>
      <w:r>
        <w:rPr>
          <w:rFonts w:cstheme="minorHAnsi"/>
          <w:sz w:val="18"/>
          <w:szCs w:val="18"/>
        </w:rPr>
        <w:t>.,</w:t>
      </w:r>
      <w:r w:rsidRPr="00462EAA">
        <w:rPr>
          <w:rFonts w:cstheme="minorHAnsi"/>
          <w:sz w:val="18"/>
          <w:szCs w:val="18"/>
        </w:rPr>
        <w:t xml:space="preserve"> 2018. ‘What’s on the labels of Australian beverages?’</w:t>
      </w:r>
      <w:r>
        <w:rPr>
          <w:rFonts w:cstheme="minorHAnsi"/>
          <w:sz w:val="18"/>
          <w:szCs w:val="18"/>
        </w:rPr>
        <w:t>.</w:t>
      </w:r>
      <w:r w:rsidRPr="00462EAA">
        <w:rPr>
          <w:rFonts w:cstheme="minorHAnsi"/>
          <w:sz w:val="18"/>
          <w:szCs w:val="18"/>
        </w:rPr>
        <w:t xml:space="preserve"> </w:t>
      </w:r>
      <w:r w:rsidRPr="00462EAA">
        <w:rPr>
          <w:rFonts w:cstheme="minorHAnsi"/>
          <w:i/>
          <w:sz w:val="18"/>
          <w:szCs w:val="18"/>
        </w:rPr>
        <w:t>Health Promot</w:t>
      </w:r>
      <w:r>
        <w:rPr>
          <w:rFonts w:cstheme="minorHAnsi"/>
          <w:i/>
          <w:sz w:val="18"/>
          <w:szCs w:val="18"/>
        </w:rPr>
        <w:t>ion</w:t>
      </w:r>
      <w:r w:rsidRPr="00462EAA">
        <w:rPr>
          <w:rFonts w:cstheme="minorHAnsi"/>
          <w:i/>
          <w:sz w:val="18"/>
          <w:szCs w:val="18"/>
        </w:rPr>
        <w:t xml:space="preserve"> J</w:t>
      </w:r>
      <w:r>
        <w:rPr>
          <w:rFonts w:cstheme="minorHAnsi"/>
          <w:i/>
          <w:sz w:val="18"/>
          <w:szCs w:val="18"/>
        </w:rPr>
        <w:t>ournal</w:t>
      </w:r>
      <w:r w:rsidRPr="00462EAA">
        <w:rPr>
          <w:rFonts w:cstheme="minorHAnsi"/>
          <w:i/>
          <w:sz w:val="18"/>
          <w:szCs w:val="18"/>
        </w:rPr>
        <w:t xml:space="preserve"> Austr</w:t>
      </w:r>
      <w:r>
        <w:rPr>
          <w:rFonts w:cstheme="minorHAnsi"/>
          <w:i/>
          <w:sz w:val="18"/>
          <w:szCs w:val="18"/>
        </w:rPr>
        <w:t xml:space="preserve">alia, </w:t>
      </w:r>
      <w:r>
        <w:rPr>
          <w:rFonts w:cstheme="minorHAnsi"/>
          <w:sz w:val="18"/>
          <w:szCs w:val="18"/>
        </w:rPr>
        <w:t>30(1): p114-118.</w:t>
      </w:r>
    </w:p>
  </w:footnote>
  <w:footnote w:id="170">
    <w:p w14:paraId="7FD9B458" w14:textId="7DB478C3" w:rsidR="00AA37B6" w:rsidRPr="00187B53" w:rsidRDefault="00AA37B6" w:rsidP="001847D7">
      <w:pPr>
        <w:pStyle w:val="FootnoteText"/>
        <w:spacing w:before="0" w:after="0"/>
        <w:rPr>
          <w:sz w:val="18"/>
          <w:szCs w:val="18"/>
        </w:rPr>
      </w:pPr>
      <w:r w:rsidRPr="00187B53">
        <w:rPr>
          <w:rStyle w:val="FootnoteReference"/>
          <w:sz w:val="18"/>
          <w:szCs w:val="18"/>
        </w:rPr>
        <w:footnoteRef/>
      </w:r>
      <w:r w:rsidRPr="00187B53">
        <w:rPr>
          <w:sz w:val="18"/>
          <w:szCs w:val="18"/>
        </w:rPr>
        <w:t xml:space="preserve"> United States Department of Health and Human Services, Food and Drug Administration, 2016. ‘</w:t>
      </w:r>
      <w:r w:rsidRPr="00187B53">
        <w:rPr>
          <w:i/>
          <w:sz w:val="18"/>
          <w:szCs w:val="18"/>
        </w:rPr>
        <w:t>Food Labelling: Revision of the Nutrition and Supplement Facts Labels’</w:t>
      </w:r>
      <w:r w:rsidRPr="00187B53">
        <w:rPr>
          <w:sz w:val="18"/>
          <w:szCs w:val="18"/>
        </w:rPr>
        <w:t xml:space="preserve">. Available at: </w:t>
      </w:r>
      <w:hyperlink r:id="rId113" w:history="1">
        <w:r w:rsidRPr="00187B53">
          <w:rPr>
            <w:rStyle w:val="Hyperlink"/>
            <w:sz w:val="18"/>
            <w:szCs w:val="18"/>
          </w:rPr>
          <w:t>Federal Register</w:t>
        </w:r>
      </w:hyperlink>
      <w:r w:rsidRPr="00187B53">
        <w:rPr>
          <w:sz w:val="18"/>
          <w:szCs w:val="18"/>
        </w:rPr>
        <w:t xml:space="preserve"> (accessed 22 February 2019).</w:t>
      </w:r>
    </w:p>
  </w:footnote>
  <w:footnote w:id="171">
    <w:p w14:paraId="0CD48AAA" w14:textId="5648C026" w:rsidR="00AA37B6" w:rsidRPr="001847D7" w:rsidRDefault="00AA37B6" w:rsidP="001847D7">
      <w:pPr>
        <w:pStyle w:val="FootnoteText"/>
        <w:spacing w:before="0" w:after="0"/>
        <w:rPr>
          <w:sz w:val="18"/>
          <w:szCs w:val="18"/>
        </w:rPr>
      </w:pPr>
      <w:r w:rsidRPr="00187B53">
        <w:rPr>
          <w:rStyle w:val="FootnoteReference"/>
          <w:rFonts w:cstheme="minorHAnsi"/>
          <w:sz w:val="18"/>
          <w:szCs w:val="18"/>
        </w:rPr>
        <w:footnoteRef/>
      </w:r>
      <w:r w:rsidRPr="00187B53">
        <w:rPr>
          <w:rFonts w:cstheme="minorHAnsi"/>
          <w:sz w:val="18"/>
          <w:szCs w:val="18"/>
        </w:rPr>
        <w:t xml:space="preserve"> Food Standards Australia New Zealand, 2017. ‘</w:t>
      </w:r>
      <w:r w:rsidRPr="00187B53">
        <w:rPr>
          <w:rFonts w:cstheme="minorHAnsi"/>
          <w:i/>
          <w:sz w:val="18"/>
          <w:szCs w:val="18"/>
        </w:rPr>
        <w:t>Literature review on consumer knowledge, attitudes and behaviours relating to sugars and food labelling’</w:t>
      </w:r>
      <w:r w:rsidRPr="00187B53">
        <w:rPr>
          <w:rFonts w:cstheme="minorHAnsi"/>
          <w:sz w:val="18"/>
          <w:szCs w:val="18"/>
        </w:rPr>
        <w:t xml:space="preserve">. Available at: </w:t>
      </w:r>
      <w:hyperlink r:id="rId114" w:history="1">
        <w:r w:rsidRPr="00187B53">
          <w:rPr>
            <w:rStyle w:val="Hyperlink"/>
            <w:rFonts w:cstheme="minorHAnsi"/>
            <w:sz w:val="18"/>
            <w:szCs w:val="18"/>
          </w:rPr>
          <w:t>Food Regulation website</w:t>
        </w:r>
      </w:hyperlink>
      <w:r w:rsidRPr="00187B53">
        <w:rPr>
          <w:rFonts w:cstheme="minorHAnsi"/>
          <w:sz w:val="18"/>
          <w:szCs w:val="18"/>
        </w:rPr>
        <w:t xml:space="preserve"> (accessed 4 April 2018).</w:t>
      </w:r>
    </w:p>
  </w:footnote>
  <w:footnote w:id="172">
    <w:p w14:paraId="427F97FA" w14:textId="1574FD13" w:rsidR="00AA37B6" w:rsidRPr="00DC0A26" w:rsidRDefault="00AA37B6" w:rsidP="001847D7">
      <w:pPr>
        <w:pStyle w:val="FootnoteText"/>
        <w:spacing w:before="0" w:after="0"/>
        <w:rPr>
          <w:rFonts w:cstheme="minorHAnsi"/>
          <w:sz w:val="18"/>
          <w:szCs w:val="18"/>
        </w:rPr>
      </w:pPr>
      <w:r w:rsidRPr="00DC0A26">
        <w:rPr>
          <w:rStyle w:val="FootnoteReference"/>
          <w:rFonts w:cstheme="minorHAnsi"/>
          <w:sz w:val="18"/>
          <w:szCs w:val="18"/>
        </w:rPr>
        <w:footnoteRef/>
      </w:r>
      <w:r w:rsidRPr="00DC0A26">
        <w:rPr>
          <w:rFonts w:cstheme="minorHAnsi"/>
          <w:sz w:val="18"/>
          <w:szCs w:val="18"/>
        </w:rPr>
        <w:t xml:space="preserve"> </w:t>
      </w:r>
      <w:r w:rsidRPr="00462EAA">
        <w:rPr>
          <w:rFonts w:cstheme="minorHAnsi"/>
          <w:sz w:val="18"/>
          <w:szCs w:val="18"/>
        </w:rPr>
        <w:t>Brownbill</w:t>
      </w:r>
      <w:r>
        <w:rPr>
          <w:rFonts w:cstheme="minorHAnsi"/>
          <w:sz w:val="18"/>
          <w:szCs w:val="18"/>
        </w:rPr>
        <w:t>,</w:t>
      </w:r>
      <w:r w:rsidRPr="00462EAA">
        <w:rPr>
          <w:rFonts w:cstheme="minorHAnsi"/>
          <w:sz w:val="18"/>
          <w:szCs w:val="18"/>
        </w:rPr>
        <w:t xml:space="preserve"> A</w:t>
      </w:r>
      <w:r>
        <w:rPr>
          <w:rFonts w:cstheme="minorHAnsi"/>
          <w:sz w:val="18"/>
          <w:szCs w:val="18"/>
        </w:rPr>
        <w:t>.</w:t>
      </w:r>
      <w:r w:rsidRPr="00462EAA">
        <w:rPr>
          <w:rFonts w:cstheme="minorHAnsi"/>
          <w:sz w:val="18"/>
          <w:szCs w:val="18"/>
        </w:rPr>
        <w:t>, Braunack-Mayer, A</w:t>
      </w:r>
      <w:r>
        <w:rPr>
          <w:rFonts w:cstheme="minorHAnsi"/>
          <w:sz w:val="18"/>
          <w:szCs w:val="18"/>
        </w:rPr>
        <w:t>. &amp;</w:t>
      </w:r>
      <w:r w:rsidRPr="00462EAA">
        <w:rPr>
          <w:rFonts w:cstheme="minorHAnsi"/>
          <w:sz w:val="18"/>
          <w:szCs w:val="18"/>
        </w:rPr>
        <w:t xml:space="preserve"> Miller, C</w:t>
      </w:r>
      <w:r>
        <w:rPr>
          <w:rFonts w:cstheme="minorHAnsi"/>
          <w:sz w:val="18"/>
          <w:szCs w:val="18"/>
        </w:rPr>
        <w:t>.,</w:t>
      </w:r>
      <w:r w:rsidRPr="00462EAA">
        <w:rPr>
          <w:rFonts w:cstheme="minorHAnsi"/>
          <w:sz w:val="18"/>
          <w:szCs w:val="18"/>
        </w:rPr>
        <w:t xml:space="preserve"> 2018. ‘What’s on the labels of Australian beverages?’</w:t>
      </w:r>
      <w:r>
        <w:rPr>
          <w:rFonts w:cstheme="minorHAnsi"/>
          <w:sz w:val="18"/>
          <w:szCs w:val="18"/>
        </w:rPr>
        <w:t>.</w:t>
      </w:r>
      <w:r w:rsidRPr="00462EAA">
        <w:rPr>
          <w:rFonts w:cstheme="minorHAnsi"/>
          <w:sz w:val="18"/>
          <w:szCs w:val="18"/>
        </w:rPr>
        <w:t xml:space="preserve"> </w:t>
      </w:r>
      <w:r w:rsidRPr="00462EAA">
        <w:rPr>
          <w:rFonts w:cstheme="minorHAnsi"/>
          <w:i/>
          <w:sz w:val="18"/>
          <w:szCs w:val="18"/>
        </w:rPr>
        <w:t>Health Promot</w:t>
      </w:r>
      <w:r>
        <w:rPr>
          <w:rFonts w:cstheme="minorHAnsi"/>
          <w:i/>
          <w:sz w:val="18"/>
          <w:szCs w:val="18"/>
        </w:rPr>
        <w:t>ion</w:t>
      </w:r>
      <w:r w:rsidRPr="00462EAA">
        <w:rPr>
          <w:rFonts w:cstheme="minorHAnsi"/>
          <w:i/>
          <w:sz w:val="18"/>
          <w:szCs w:val="18"/>
        </w:rPr>
        <w:t xml:space="preserve"> J</w:t>
      </w:r>
      <w:r>
        <w:rPr>
          <w:rFonts w:cstheme="minorHAnsi"/>
          <w:i/>
          <w:sz w:val="18"/>
          <w:szCs w:val="18"/>
        </w:rPr>
        <w:t>ournal</w:t>
      </w:r>
      <w:r w:rsidRPr="00462EAA">
        <w:rPr>
          <w:rFonts w:cstheme="minorHAnsi"/>
          <w:i/>
          <w:sz w:val="18"/>
          <w:szCs w:val="18"/>
        </w:rPr>
        <w:t xml:space="preserve"> Austr</w:t>
      </w:r>
      <w:r>
        <w:rPr>
          <w:rFonts w:cstheme="minorHAnsi"/>
          <w:i/>
          <w:sz w:val="18"/>
          <w:szCs w:val="18"/>
        </w:rPr>
        <w:t xml:space="preserve">alia, </w:t>
      </w:r>
      <w:r>
        <w:rPr>
          <w:rFonts w:cstheme="minorHAnsi"/>
          <w:sz w:val="18"/>
          <w:szCs w:val="18"/>
        </w:rPr>
        <w:t>30(1): p114-118.</w:t>
      </w:r>
    </w:p>
  </w:footnote>
  <w:footnote w:id="173">
    <w:p w14:paraId="2B2351CE" w14:textId="43F1CCB1" w:rsidR="00AA37B6" w:rsidRPr="00DC0A26" w:rsidRDefault="00AA37B6" w:rsidP="001847D7">
      <w:pPr>
        <w:pStyle w:val="FootnoteText"/>
        <w:spacing w:before="0" w:after="0"/>
        <w:rPr>
          <w:sz w:val="18"/>
          <w:szCs w:val="18"/>
        </w:rPr>
      </w:pPr>
      <w:r w:rsidRPr="00DC0A26">
        <w:rPr>
          <w:rStyle w:val="FootnoteReference"/>
          <w:sz w:val="18"/>
          <w:szCs w:val="18"/>
        </w:rPr>
        <w:footnoteRef/>
      </w:r>
      <w:r w:rsidRPr="00DC0A26">
        <w:rPr>
          <w:sz w:val="18"/>
          <w:szCs w:val="18"/>
        </w:rPr>
        <w:t xml:space="preserve"> Where non-alcoholic beverages are using the HSR they more often use the ‘energy’ icon which presents information on the kilojoules per 100g.</w:t>
      </w:r>
    </w:p>
  </w:footnote>
  <w:footnote w:id="174">
    <w:p w14:paraId="06846C17" w14:textId="13B48FB0" w:rsidR="00AA37B6" w:rsidRDefault="00AA37B6" w:rsidP="001847D7">
      <w:pPr>
        <w:pStyle w:val="FootnoteText"/>
        <w:spacing w:before="0" w:after="0"/>
      </w:pPr>
      <w:r w:rsidRPr="00DC0A26">
        <w:rPr>
          <w:rStyle w:val="FootnoteReference"/>
          <w:sz w:val="18"/>
          <w:szCs w:val="18"/>
        </w:rPr>
        <w:footnoteRef/>
      </w:r>
      <w:r w:rsidRPr="00DC0A26">
        <w:rPr>
          <w:sz w:val="18"/>
          <w:szCs w:val="18"/>
        </w:rPr>
        <w:t xml:space="preserve"> New Zealand Food Safety, 2018. ‘</w:t>
      </w:r>
      <w:r w:rsidRPr="00DC0A26">
        <w:rPr>
          <w:i/>
          <w:sz w:val="18"/>
          <w:szCs w:val="18"/>
        </w:rPr>
        <w:t>Health Star Rating: Monitoring Implementation for the Five Year Review</w:t>
      </w:r>
      <w:r>
        <w:rPr>
          <w:sz w:val="18"/>
          <w:szCs w:val="18"/>
        </w:rPr>
        <w:t>’</w:t>
      </w:r>
      <w:r w:rsidRPr="00DC0A26">
        <w:rPr>
          <w:sz w:val="18"/>
          <w:szCs w:val="18"/>
        </w:rPr>
        <w:t xml:space="preserve">. Available </w:t>
      </w:r>
      <w:hyperlink r:id="rId115" w:history="1">
        <w:r w:rsidRPr="00DC0A26">
          <w:rPr>
            <w:rStyle w:val="Hyperlink"/>
            <w:sz w:val="18"/>
            <w:szCs w:val="18"/>
          </w:rPr>
          <w:t>online.</w:t>
        </w:r>
      </w:hyperlink>
    </w:p>
  </w:footnote>
  <w:footnote w:id="175">
    <w:p w14:paraId="247469D2" w14:textId="067D99CA" w:rsidR="00AA37B6" w:rsidRDefault="00AA37B6" w:rsidP="001847D7">
      <w:pPr>
        <w:pStyle w:val="FootnoteText"/>
        <w:spacing w:before="0" w:after="0"/>
      </w:pPr>
      <w:r w:rsidRPr="00B7316A">
        <w:rPr>
          <w:rStyle w:val="FootnoteReference"/>
          <w:sz w:val="18"/>
          <w:szCs w:val="18"/>
        </w:rPr>
        <w:footnoteRef/>
      </w:r>
      <w:r w:rsidRPr="00B7316A">
        <w:rPr>
          <w:sz w:val="18"/>
          <w:szCs w:val="18"/>
        </w:rPr>
        <w:t xml:space="preserve"> </w:t>
      </w:r>
      <w:r>
        <w:rPr>
          <w:sz w:val="18"/>
          <w:szCs w:val="18"/>
        </w:rPr>
        <w:t>HSR five-</w:t>
      </w:r>
      <w:r w:rsidRPr="00AB590F">
        <w:rPr>
          <w:sz w:val="18"/>
          <w:szCs w:val="18"/>
        </w:rPr>
        <w:t>year review report.</w:t>
      </w:r>
    </w:p>
  </w:footnote>
  <w:footnote w:id="176">
    <w:p w14:paraId="2D1AB571" w14:textId="4F8F45ED" w:rsidR="00AA37B6" w:rsidRPr="002B4751" w:rsidRDefault="00AA37B6" w:rsidP="001847D7">
      <w:pPr>
        <w:pStyle w:val="FootnoteText"/>
        <w:spacing w:before="0" w:after="0"/>
        <w:rPr>
          <w:rFonts w:cstheme="minorHAnsi"/>
          <w:sz w:val="18"/>
          <w:szCs w:val="18"/>
          <w:lang w:val="en-NZ"/>
        </w:rPr>
      </w:pPr>
      <w:r w:rsidRPr="002B4751">
        <w:rPr>
          <w:rStyle w:val="FootnoteReference"/>
          <w:rFonts w:cstheme="minorHAnsi"/>
          <w:sz w:val="18"/>
          <w:szCs w:val="18"/>
        </w:rPr>
        <w:footnoteRef/>
      </w:r>
      <w:r w:rsidRPr="002B4751">
        <w:rPr>
          <w:rFonts w:cstheme="minorHAnsi"/>
          <w:sz w:val="18"/>
          <w:szCs w:val="18"/>
        </w:rPr>
        <w:t xml:space="preserve"> Bleich</w:t>
      </w:r>
      <w:r>
        <w:rPr>
          <w:rFonts w:cstheme="minorHAnsi"/>
          <w:sz w:val="18"/>
          <w:szCs w:val="18"/>
        </w:rPr>
        <w:t>,</w:t>
      </w:r>
      <w:r w:rsidRPr="002B4751">
        <w:rPr>
          <w:rFonts w:cstheme="minorHAnsi"/>
          <w:sz w:val="18"/>
          <w:szCs w:val="18"/>
        </w:rPr>
        <w:t xml:space="preserve"> S</w:t>
      </w:r>
      <w:r>
        <w:rPr>
          <w:rFonts w:cstheme="minorHAnsi"/>
          <w:sz w:val="18"/>
          <w:szCs w:val="18"/>
        </w:rPr>
        <w:t xml:space="preserve">. </w:t>
      </w:r>
      <w:r w:rsidRPr="002B4751">
        <w:rPr>
          <w:rFonts w:cstheme="minorHAnsi"/>
          <w:sz w:val="18"/>
          <w:szCs w:val="18"/>
        </w:rPr>
        <w:t>N</w:t>
      </w:r>
      <w:r>
        <w:rPr>
          <w:rFonts w:cstheme="minorHAnsi"/>
          <w:sz w:val="18"/>
          <w:szCs w:val="18"/>
        </w:rPr>
        <w:t>.</w:t>
      </w:r>
      <w:r w:rsidRPr="002B4751">
        <w:rPr>
          <w:rFonts w:cstheme="minorHAnsi"/>
          <w:sz w:val="18"/>
          <w:szCs w:val="18"/>
        </w:rPr>
        <w:t xml:space="preserve">, </w:t>
      </w:r>
      <w:r>
        <w:rPr>
          <w:rFonts w:cstheme="minorHAnsi"/>
          <w:sz w:val="18"/>
          <w:szCs w:val="18"/>
        </w:rPr>
        <w:t xml:space="preserve">et al, </w:t>
      </w:r>
      <w:r w:rsidRPr="002B4751">
        <w:rPr>
          <w:rFonts w:cstheme="minorHAnsi"/>
          <w:sz w:val="18"/>
          <w:szCs w:val="18"/>
        </w:rPr>
        <w:t xml:space="preserve">2014. ‘Reducing sugar-sweetened beverage consumption by providing caloric information: how Black adolescents alter their purchases and whether the effects persist’. </w:t>
      </w:r>
      <w:r w:rsidRPr="002B4751">
        <w:rPr>
          <w:rFonts w:cstheme="minorHAnsi"/>
          <w:i/>
          <w:sz w:val="18"/>
          <w:szCs w:val="18"/>
        </w:rPr>
        <w:t>Am</w:t>
      </w:r>
      <w:r>
        <w:rPr>
          <w:rFonts w:cstheme="minorHAnsi"/>
          <w:i/>
          <w:sz w:val="18"/>
          <w:szCs w:val="18"/>
        </w:rPr>
        <w:t>erican</w:t>
      </w:r>
      <w:r w:rsidRPr="002B4751">
        <w:rPr>
          <w:rFonts w:cstheme="minorHAnsi"/>
          <w:i/>
          <w:sz w:val="18"/>
          <w:szCs w:val="18"/>
        </w:rPr>
        <w:t xml:space="preserve"> J</w:t>
      </w:r>
      <w:r>
        <w:rPr>
          <w:rFonts w:cstheme="minorHAnsi"/>
          <w:i/>
          <w:sz w:val="18"/>
          <w:szCs w:val="18"/>
        </w:rPr>
        <w:t>ournal of</w:t>
      </w:r>
      <w:r w:rsidRPr="002B4751">
        <w:rPr>
          <w:rFonts w:cstheme="minorHAnsi"/>
          <w:i/>
          <w:sz w:val="18"/>
          <w:szCs w:val="18"/>
        </w:rPr>
        <w:t xml:space="preserve"> Public Health</w:t>
      </w:r>
      <w:r>
        <w:rPr>
          <w:rFonts w:cstheme="minorHAnsi"/>
          <w:i/>
          <w:sz w:val="18"/>
          <w:szCs w:val="18"/>
        </w:rPr>
        <w:t>,</w:t>
      </w:r>
      <w:r>
        <w:rPr>
          <w:rFonts w:cstheme="minorHAnsi"/>
          <w:sz w:val="18"/>
          <w:szCs w:val="18"/>
        </w:rPr>
        <w:t xml:space="preserve"> 104: p</w:t>
      </w:r>
      <w:r w:rsidRPr="002B4751">
        <w:rPr>
          <w:rFonts w:cstheme="minorHAnsi"/>
          <w:sz w:val="18"/>
          <w:szCs w:val="18"/>
        </w:rPr>
        <w:t>2417-24</w:t>
      </w:r>
      <w:r>
        <w:rPr>
          <w:rFonts w:cstheme="minorHAnsi"/>
          <w:sz w:val="18"/>
          <w:szCs w:val="18"/>
        </w:rPr>
        <w:t>.</w:t>
      </w:r>
    </w:p>
  </w:footnote>
  <w:footnote w:id="177">
    <w:p w14:paraId="74AF7A9A" w14:textId="7804E402" w:rsidR="00AA37B6" w:rsidRPr="002B4751" w:rsidRDefault="00AA37B6" w:rsidP="001847D7">
      <w:pPr>
        <w:pStyle w:val="FootnoteText"/>
        <w:spacing w:before="0" w:after="0"/>
        <w:rPr>
          <w:rFonts w:cstheme="minorHAnsi"/>
          <w:sz w:val="18"/>
          <w:szCs w:val="18"/>
          <w:lang w:val="en-NZ"/>
        </w:rPr>
      </w:pPr>
      <w:r w:rsidRPr="002B4751">
        <w:rPr>
          <w:rStyle w:val="FootnoteReference"/>
          <w:rFonts w:cstheme="minorHAnsi"/>
          <w:sz w:val="18"/>
          <w:szCs w:val="18"/>
        </w:rPr>
        <w:footnoteRef/>
      </w:r>
      <w:r w:rsidRPr="002B4751">
        <w:rPr>
          <w:rFonts w:cstheme="minorHAnsi"/>
          <w:sz w:val="18"/>
          <w:szCs w:val="18"/>
        </w:rPr>
        <w:t xml:space="preserve"> Mantzari, E</w:t>
      </w:r>
      <w:r>
        <w:rPr>
          <w:rFonts w:cstheme="minorHAnsi"/>
          <w:sz w:val="18"/>
          <w:szCs w:val="18"/>
        </w:rPr>
        <w:t>.</w:t>
      </w:r>
      <w:r w:rsidRPr="002B4751">
        <w:rPr>
          <w:rFonts w:cstheme="minorHAnsi"/>
          <w:sz w:val="18"/>
          <w:szCs w:val="18"/>
        </w:rPr>
        <w:t xml:space="preserve">, et al, 2018. ‘Impact of Warning Labels on Sugar-sweetened Beverages on Parental Selection: An Online Experimental Study’. </w:t>
      </w:r>
      <w:r w:rsidRPr="002B4751">
        <w:rPr>
          <w:rFonts w:cstheme="minorHAnsi"/>
          <w:i/>
          <w:sz w:val="18"/>
          <w:szCs w:val="18"/>
        </w:rPr>
        <w:t>Preventive Medicine Reports</w:t>
      </w:r>
      <w:r>
        <w:rPr>
          <w:rFonts w:cstheme="minorHAnsi"/>
          <w:i/>
          <w:sz w:val="18"/>
          <w:szCs w:val="18"/>
        </w:rPr>
        <w:t>,</w:t>
      </w:r>
      <w:r>
        <w:rPr>
          <w:rFonts w:cstheme="minorHAnsi"/>
          <w:sz w:val="18"/>
          <w:szCs w:val="18"/>
        </w:rPr>
        <w:t xml:space="preserve"> 12:</w:t>
      </w:r>
      <w:r w:rsidRPr="002B4751">
        <w:rPr>
          <w:rFonts w:cstheme="minorHAnsi"/>
          <w:sz w:val="18"/>
          <w:szCs w:val="18"/>
        </w:rPr>
        <w:t xml:space="preserve"> </w:t>
      </w:r>
      <w:r>
        <w:rPr>
          <w:rFonts w:cstheme="minorHAnsi"/>
          <w:sz w:val="18"/>
          <w:szCs w:val="18"/>
        </w:rPr>
        <w:t>p</w:t>
      </w:r>
      <w:r w:rsidRPr="002B4751">
        <w:rPr>
          <w:rFonts w:cstheme="minorHAnsi"/>
          <w:sz w:val="18"/>
          <w:szCs w:val="18"/>
        </w:rPr>
        <w:t>259-</w:t>
      </w:r>
      <w:r>
        <w:rPr>
          <w:rFonts w:cstheme="minorHAnsi"/>
          <w:sz w:val="18"/>
          <w:szCs w:val="18"/>
        </w:rPr>
        <w:t>2</w:t>
      </w:r>
      <w:r w:rsidRPr="002B4751">
        <w:rPr>
          <w:rFonts w:cstheme="minorHAnsi"/>
          <w:sz w:val="18"/>
          <w:szCs w:val="18"/>
        </w:rPr>
        <w:t>67</w:t>
      </w:r>
      <w:r>
        <w:rPr>
          <w:rFonts w:cstheme="minorHAnsi"/>
          <w:sz w:val="18"/>
          <w:szCs w:val="18"/>
        </w:rPr>
        <w:t>.</w:t>
      </w:r>
    </w:p>
  </w:footnote>
  <w:footnote w:id="178">
    <w:p w14:paraId="0AFF5BE3" w14:textId="15B7DDB4" w:rsidR="00AA37B6" w:rsidRPr="008E0357" w:rsidRDefault="00AA37B6" w:rsidP="001847D7">
      <w:pPr>
        <w:pStyle w:val="FootnoteText"/>
        <w:spacing w:before="0" w:after="0"/>
        <w:rPr>
          <w:lang w:val="en-NZ"/>
        </w:rPr>
      </w:pPr>
      <w:r w:rsidRPr="002B4751">
        <w:rPr>
          <w:rStyle w:val="FootnoteReference"/>
          <w:rFonts w:cstheme="minorHAnsi"/>
          <w:sz w:val="18"/>
          <w:szCs w:val="18"/>
        </w:rPr>
        <w:footnoteRef/>
      </w:r>
      <w:r w:rsidRPr="002B4751">
        <w:rPr>
          <w:rFonts w:cstheme="minorHAnsi"/>
          <w:sz w:val="18"/>
          <w:szCs w:val="18"/>
        </w:rPr>
        <w:t xml:space="preserve"> Billich</w:t>
      </w:r>
      <w:r>
        <w:rPr>
          <w:rFonts w:cstheme="minorHAnsi"/>
          <w:sz w:val="18"/>
          <w:szCs w:val="18"/>
        </w:rPr>
        <w:t>,</w:t>
      </w:r>
      <w:r w:rsidRPr="002B4751">
        <w:rPr>
          <w:rFonts w:cstheme="minorHAnsi"/>
          <w:sz w:val="18"/>
          <w:szCs w:val="18"/>
        </w:rPr>
        <w:t xml:space="preserve"> N</w:t>
      </w:r>
      <w:r>
        <w:rPr>
          <w:rFonts w:cstheme="minorHAnsi"/>
          <w:sz w:val="18"/>
          <w:szCs w:val="18"/>
        </w:rPr>
        <w:t>., et al</w:t>
      </w:r>
      <w:r w:rsidRPr="002B4751">
        <w:rPr>
          <w:rFonts w:cstheme="minorHAnsi"/>
          <w:sz w:val="18"/>
          <w:szCs w:val="18"/>
        </w:rPr>
        <w:t xml:space="preserve">, 2018. ‘The effect of sugar-sweetened beverage front-of-pack labels on drink selection, health knowledge and awareness: An online randomised controlled trial’. </w:t>
      </w:r>
      <w:r w:rsidRPr="002B4751">
        <w:rPr>
          <w:rFonts w:cstheme="minorHAnsi"/>
          <w:i/>
          <w:sz w:val="18"/>
          <w:szCs w:val="18"/>
        </w:rPr>
        <w:t>Appetite</w:t>
      </w:r>
      <w:r>
        <w:rPr>
          <w:rFonts w:cstheme="minorHAnsi"/>
          <w:i/>
          <w:sz w:val="18"/>
          <w:szCs w:val="18"/>
        </w:rPr>
        <w:t>,</w:t>
      </w:r>
      <w:r w:rsidRPr="002B4751">
        <w:rPr>
          <w:rFonts w:cstheme="minorHAnsi"/>
          <w:sz w:val="18"/>
          <w:szCs w:val="18"/>
        </w:rPr>
        <w:t xml:space="preserve"> 128</w:t>
      </w:r>
      <w:r>
        <w:rPr>
          <w:rFonts w:cstheme="minorHAnsi"/>
          <w:sz w:val="18"/>
          <w:szCs w:val="18"/>
        </w:rPr>
        <w:t>:</w:t>
      </w:r>
      <w:r w:rsidRPr="002B4751">
        <w:rPr>
          <w:rFonts w:cstheme="minorHAnsi"/>
          <w:sz w:val="18"/>
          <w:szCs w:val="18"/>
        </w:rPr>
        <w:t xml:space="preserve"> </w:t>
      </w:r>
      <w:r>
        <w:rPr>
          <w:rFonts w:cstheme="minorHAnsi"/>
          <w:sz w:val="18"/>
          <w:szCs w:val="18"/>
        </w:rPr>
        <w:t>p</w:t>
      </w:r>
      <w:r w:rsidRPr="002B4751">
        <w:rPr>
          <w:rFonts w:cstheme="minorHAnsi"/>
          <w:sz w:val="18"/>
          <w:szCs w:val="18"/>
        </w:rPr>
        <w:t>233-241</w:t>
      </w:r>
      <w:r>
        <w:rPr>
          <w:rFonts w:cstheme="minorHAnsi"/>
          <w:sz w:val="18"/>
          <w:szCs w:val="18"/>
        </w:rPr>
        <w:t>.</w:t>
      </w:r>
    </w:p>
  </w:footnote>
  <w:footnote w:id="179">
    <w:p w14:paraId="1145DC19" w14:textId="0D01A8BE" w:rsidR="00AA37B6" w:rsidRPr="00FD21B6" w:rsidRDefault="00AA37B6" w:rsidP="001847D7">
      <w:pPr>
        <w:pStyle w:val="FootnoteText"/>
        <w:spacing w:before="0" w:after="0"/>
        <w:rPr>
          <w:sz w:val="18"/>
          <w:szCs w:val="18"/>
        </w:rPr>
      </w:pPr>
      <w:r w:rsidRPr="00FD21B6">
        <w:rPr>
          <w:rStyle w:val="FootnoteReference"/>
          <w:sz w:val="18"/>
          <w:szCs w:val="18"/>
        </w:rPr>
        <w:footnoteRef/>
      </w:r>
      <w:r w:rsidRPr="00FD21B6">
        <w:rPr>
          <w:sz w:val="18"/>
          <w:szCs w:val="18"/>
        </w:rPr>
        <w:t xml:space="preserve"> </w:t>
      </w:r>
      <w:r w:rsidRPr="00FD21B6">
        <w:rPr>
          <w:rFonts w:eastAsia="Times New Roman" w:cstheme="minorHAnsi"/>
          <w:sz w:val="18"/>
          <w:szCs w:val="18"/>
        </w:rPr>
        <w:t>Australian Bureau of Statistics, 2016. ‘</w:t>
      </w:r>
      <w:r w:rsidRPr="00FD21B6">
        <w:rPr>
          <w:rFonts w:eastAsia="Times New Roman" w:cstheme="minorHAnsi"/>
          <w:i/>
          <w:sz w:val="18"/>
          <w:szCs w:val="18"/>
        </w:rPr>
        <w:t>Australian Healthy Survey: Consumption of added sugars, 2011-12</w:t>
      </w:r>
      <w:r w:rsidRPr="00FD21B6">
        <w:rPr>
          <w:rFonts w:eastAsia="Times New Roman" w:cstheme="minorHAnsi"/>
          <w:sz w:val="18"/>
          <w:szCs w:val="18"/>
        </w:rPr>
        <w:t xml:space="preserve">’. Available at: </w:t>
      </w:r>
      <w:hyperlink r:id="rId116" w:history="1">
        <w:r w:rsidRPr="00FD21B6">
          <w:rPr>
            <w:rStyle w:val="Hyperlink"/>
            <w:rFonts w:eastAsia="Times New Roman" w:cstheme="minorHAnsi"/>
            <w:sz w:val="18"/>
            <w:szCs w:val="18"/>
          </w:rPr>
          <w:t>Australian Bureau of Statistics</w:t>
        </w:r>
      </w:hyperlink>
      <w:r w:rsidRPr="00FD21B6">
        <w:rPr>
          <w:rFonts w:eastAsia="Times New Roman" w:cstheme="minorHAnsi"/>
          <w:sz w:val="18"/>
          <w:szCs w:val="18"/>
        </w:rPr>
        <w:t xml:space="preserve"> (accessed 23 April 2018).</w:t>
      </w:r>
    </w:p>
  </w:footnote>
  <w:footnote w:id="180">
    <w:p w14:paraId="28EBAEA2" w14:textId="6A7C33A1" w:rsidR="00AA37B6" w:rsidRPr="00FD21B6" w:rsidRDefault="00AA37B6" w:rsidP="001847D7">
      <w:pPr>
        <w:pStyle w:val="FootnoteText"/>
        <w:spacing w:before="0" w:after="0"/>
        <w:rPr>
          <w:i/>
          <w:sz w:val="18"/>
          <w:szCs w:val="18"/>
        </w:rPr>
      </w:pPr>
      <w:r w:rsidRPr="00FD21B6">
        <w:rPr>
          <w:rStyle w:val="FootnoteReference"/>
          <w:sz w:val="18"/>
          <w:szCs w:val="18"/>
        </w:rPr>
        <w:footnoteRef/>
      </w:r>
      <w:r w:rsidRPr="00FD21B6">
        <w:rPr>
          <w:sz w:val="18"/>
          <w:szCs w:val="18"/>
        </w:rPr>
        <w:t xml:space="preserve"> Malik</w:t>
      </w:r>
      <w:r>
        <w:rPr>
          <w:sz w:val="18"/>
          <w:szCs w:val="18"/>
        </w:rPr>
        <w:t>,</w:t>
      </w:r>
      <w:r w:rsidRPr="00FD21B6">
        <w:rPr>
          <w:sz w:val="18"/>
          <w:szCs w:val="18"/>
        </w:rPr>
        <w:t xml:space="preserve"> V</w:t>
      </w:r>
      <w:r>
        <w:rPr>
          <w:sz w:val="18"/>
          <w:szCs w:val="18"/>
        </w:rPr>
        <w:t>.</w:t>
      </w:r>
      <w:r w:rsidRPr="00FD21B6">
        <w:rPr>
          <w:sz w:val="18"/>
          <w:szCs w:val="18"/>
        </w:rPr>
        <w:t>S</w:t>
      </w:r>
      <w:r>
        <w:rPr>
          <w:sz w:val="18"/>
          <w:szCs w:val="18"/>
        </w:rPr>
        <w:t>.</w:t>
      </w:r>
      <w:r w:rsidRPr="00FD21B6">
        <w:rPr>
          <w:sz w:val="18"/>
          <w:szCs w:val="18"/>
        </w:rPr>
        <w:t xml:space="preserve">, et al, 2013, ‘Sugar-sweetened beverages and weight gain in children and adults: a systematic review and meta-analysis’. </w:t>
      </w:r>
      <w:r w:rsidRPr="00FD21B6">
        <w:rPr>
          <w:i/>
          <w:sz w:val="18"/>
          <w:szCs w:val="18"/>
        </w:rPr>
        <w:t>Am</w:t>
      </w:r>
      <w:r>
        <w:rPr>
          <w:i/>
          <w:sz w:val="18"/>
          <w:szCs w:val="18"/>
        </w:rPr>
        <w:t>erican</w:t>
      </w:r>
      <w:r w:rsidRPr="00FD21B6">
        <w:rPr>
          <w:i/>
          <w:sz w:val="18"/>
          <w:szCs w:val="18"/>
        </w:rPr>
        <w:t xml:space="preserve"> J</w:t>
      </w:r>
      <w:r>
        <w:rPr>
          <w:i/>
          <w:sz w:val="18"/>
          <w:szCs w:val="18"/>
        </w:rPr>
        <w:t>ournal of C</w:t>
      </w:r>
      <w:r w:rsidRPr="00FD21B6">
        <w:rPr>
          <w:i/>
          <w:sz w:val="18"/>
          <w:szCs w:val="18"/>
        </w:rPr>
        <w:t>lin</w:t>
      </w:r>
      <w:r>
        <w:rPr>
          <w:i/>
          <w:sz w:val="18"/>
          <w:szCs w:val="18"/>
        </w:rPr>
        <w:t>ical</w:t>
      </w:r>
      <w:r w:rsidRPr="00FD21B6">
        <w:rPr>
          <w:i/>
          <w:sz w:val="18"/>
          <w:szCs w:val="18"/>
        </w:rPr>
        <w:t xml:space="preserve"> Nutr</w:t>
      </w:r>
      <w:r>
        <w:rPr>
          <w:i/>
          <w:sz w:val="18"/>
          <w:szCs w:val="18"/>
        </w:rPr>
        <w:t>ition</w:t>
      </w:r>
      <w:r w:rsidRPr="00FD21B6">
        <w:rPr>
          <w:sz w:val="18"/>
          <w:szCs w:val="18"/>
        </w:rPr>
        <w:t xml:space="preserve">, 98(4): </w:t>
      </w:r>
      <w:r>
        <w:rPr>
          <w:sz w:val="18"/>
          <w:szCs w:val="18"/>
        </w:rPr>
        <w:t>p</w:t>
      </w:r>
      <w:r w:rsidRPr="00FD21B6">
        <w:rPr>
          <w:sz w:val="18"/>
          <w:szCs w:val="18"/>
        </w:rPr>
        <w:t>1084-1102.</w:t>
      </w:r>
    </w:p>
  </w:footnote>
  <w:footnote w:id="181">
    <w:p w14:paraId="2B83450C" w14:textId="10200E9C" w:rsidR="00AA37B6" w:rsidRPr="00FD21B6" w:rsidRDefault="00AA37B6" w:rsidP="001847D7">
      <w:pPr>
        <w:spacing w:before="0" w:after="0"/>
        <w:rPr>
          <w:sz w:val="18"/>
          <w:szCs w:val="18"/>
        </w:rPr>
      </w:pPr>
      <w:r w:rsidRPr="00FD21B6">
        <w:rPr>
          <w:rStyle w:val="FootnoteReference"/>
          <w:sz w:val="18"/>
          <w:szCs w:val="18"/>
        </w:rPr>
        <w:footnoteRef/>
      </w:r>
      <w:r w:rsidRPr="00FD21B6">
        <w:rPr>
          <w:sz w:val="18"/>
          <w:szCs w:val="18"/>
        </w:rPr>
        <w:t xml:space="preserve"> Te Morenga, L</w:t>
      </w:r>
      <w:r>
        <w:rPr>
          <w:sz w:val="18"/>
          <w:szCs w:val="18"/>
        </w:rPr>
        <w:t>.</w:t>
      </w:r>
      <w:r w:rsidRPr="00FD21B6">
        <w:rPr>
          <w:sz w:val="18"/>
          <w:szCs w:val="18"/>
        </w:rPr>
        <w:t>, Mallard, S</w:t>
      </w:r>
      <w:r>
        <w:rPr>
          <w:sz w:val="18"/>
          <w:szCs w:val="18"/>
        </w:rPr>
        <w:t>.</w:t>
      </w:r>
      <w:r w:rsidRPr="00FD21B6">
        <w:rPr>
          <w:sz w:val="18"/>
          <w:szCs w:val="18"/>
        </w:rPr>
        <w:t xml:space="preserve"> &amp; Mann</w:t>
      </w:r>
      <w:r>
        <w:rPr>
          <w:sz w:val="18"/>
          <w:szCs w:val="18"/>
        </w:rPr>
        <w:t>,</w:t>
      </w:r>
      <w:r w:rsidRPr="00FD21B6">
        <w:rPr>
          <w:sz w:val="18"/>
          <w:szCs w:val="18"/>
        </w:rPr>
        <w:t xml:space="preserve"> J</w:t>
      </w:r>
      <w:r>
        <w:rPr>
          <w:sz w:val="18"/>
          <w:szCs w:val="18"/>
        </w:rPr>
        <w:t>., 2013.</w:t>
      </w:r>
      <w:r w:rsidRPr="00FD21B6">
        <w:rPr>
          <w:sz w:val="18"/>
          <w:szCs w:val="18"/>
        </w:rPr>
        <w:t xml:space="preserve"> ‘Dietary sugars and body weight: a systematic review and meta-analysis of randomised controlled trials and cohort studies’. </w:t>
      </w:r>
      <w:r w:rsidRPr="00FD21B6">
        <w:rPr>
          <w:i/>
          <w:sz w:val="18"/>
          <w:szCs w:val="18"/>
        </w:rPr>
        <w:t>BMJ</w:t>
      </w:r>
      <w:r w:rsidRPr="00FD21B6">
        <w:rPr>
          <w:sz w:val="18"/>
          <w:szCs w:val="18"/>
        </w:rPr>
        <w:t xml:space="preserve">, </w:t>
      </w:r>
      <w:r>
        <w:rPr>
          <w:sz w:val="18"/>
          <w:szCs w:val="18"/>
        </w:rPr>
        <w:t>346: e7492.</w:t>
      </w:r>
    </w:p>
  </w:footnote>
  <w:footnote w:id="182">
    <w:p w14:paraId="06832591" w14:textId="7AFD34A0" w:rsidR="00AA37B6" w:rsidRPr="00FD21B6" w:rsidRDefault="00AA37B6" w:rsidP="001847D7">
      <w:pPr>
        <w:pStyle w:val="FootnoteText"/>
        <w:spacing w:before="0" w:after="0"/>
        <w:rPr>
          <w:i/>
          <w:sz w:val="18"/>
          <w:szCs w:val="18"/>
        </w:rPr>
      </w:pPr>
      <w:r w:rsidRPr="00FD21B6">
        <w:rPr>
          <w:rStyle w:val="FootnoteReference"/>
          <w:sz w:val="18"/>
          <w:szCs w:val="18"/>
        </w:rPr>
        <w:footnoteRef/>
      </w:r>
      <w:r w:rsidRPr="00FD21B6">
        <w:rPr>
          <w:sz w:val="18"/>
          <w:szCs w:val="18"/>
        </w:rPr>
        <w:t xml:space="preserve"> Luger</w:t>
      </w:r>
      <w:r>
        <w:rPr>
          <w:sz w:val="18"/>
          <w:szCs w:val="18"/>
        </w:rPr>
        <w:t>,</w:t>
      </w:r>
      <w:r w:rsidRPr="00FD21B6">
        <w:rPr>
          <w:sz w:val="18"/>
          <w:szCs w:val="18"/>
        </w:rPr>
        <w:t xml:space="preserve"> M</w:t>
      </w:r>
      <w:r>
        <w:rPr>
          <w:sz w:val="18"/>
          <w:szCs w:val="18"/>
        </w:rPr>
        <w:t>.</w:t>
      </w:r>
      <w:r w:rsidRPr="00FD21B6">
        <w:rPr>
          <w:sz w:val="18"/>
          <w:szCs w:val="18"/>
        </w:rPr>
        <w:t>, et al</w:t>
      </w:r>
      <w:r>
        <w:rPr>
          <w:sz w:val="18"/>
          <w:szCs w:val="18"/>
        </w:rPr>
        <w:t>, 2017.</w:t>
      </w:r>
      <w:r w:rsidRPr="00FD21B6">
        <w:rPr>
          <w:sz w:val="18"/>
          <w:szCs w:val="18"/>
        </w:rPr>
        <w:t xml:space="preserve"> ‘Sugar-sweetened beverages and weight gain in children and adults: A systematic review from 2013-2015 and a comparison with previous studies’. </w:t>
      </w:r>
      <w:r w:rsidRPr="00FD21B6">
        <w:rPr>
          <w:i/>
          <w:sz w:val="18"/>
          <w:szCs w:val="18"/>
        </w:rPr>
        <w:t>Obes</w:t>
      </w:r>
      <w:r>
        <w:rPr>
          <w:i/>
          <w:sz w:val="18"/>
          <w:szCs w:val="18"/>
        </w:rPr>
        <w:t>ity</w:t>
      </w:r>
      <w:r w:rsidRPr="00FD21B6">
        <w:rPr>
          <w:i/>
          <w:sz w:val="18"/>
          <w:szCs w:val="18"/>
        </w:rPr>
        <w:t xml:space="preserve"> Facts, </w:t>
      </w:r>
      <w:r w:rsidRPr="00FD21B6">
        <w:rPr>
          <w:sz w:val="18"/>
          <w:szCs w:val="18"/>
        </w:rPr>
        <w:t xml:space="preserve">10: </w:t>
      </w:r>
      <w:r>
        <w:rPr>
          <w:sz w:val="18"/>
          <w:szCs w:val="18"/>
        </w:rPr>
        <w:t>p</w:t>
      </w:r>
      <w:r w:rsidRPr="00FD21B6">
        <w:rPr>
          <w:sz w:val="18"/>
          <w:szCs w:val="18"/>
        </w:rPr>
        <w:t>674-693.</w:t>
      </w:r>
    </w:p>
  </w:footnote>
  <w:footnote w:id="183">
    <w:p w14:paraId="3BAD581A" w14:textId="52A7EFA5" w:rsidR="00AA37B6" w:rsidRPr="00FD21B6" w:rsidRDefault="00AA37B6" w:rsidP="001847D7">
      <w:pPr>
        <w:pStyle w:val="FootnoteText"/>
        <w:spacing w:before="0" w:after="0"/>
        <w:rPr>
          <w:sz w:val="18"/>
          <w:szCs w:val="18"/>
        </w:rPr>
      </w:pPr>
      <w:r w:rsidRPr="00FD21B6">
        <w:rPr>
          <w:rStyle w:val="FootnoteReference"/>
          <w:sz w:val="18"/>
          <w:szCs w:val="18"/>
        </w:rPr>
        <w:footnoteRef/>
      </w:r>
      <w:r w:rsidRPr="00FD21B6">
        <w:rPr>
          <w:sz w:val="18"/>
          <w:szCs w:val="18"/>
        </w:rPr>
        <w:t xml:space="preserve"> Woodward-Lopez</w:t>
      </w:r>
      <w:r>
        <w:rPr>
          <w:sz w:val="18"/>
          <w:szCs w:val="18"/>
        </w:rPr>
        <w:t>,</w:t>
      </w:r>
      <w:r w:rsidRPr="00FD21B6">
        <w:rPr>
          <w:sz w:val="18"/>
          <w:szCs w:val="18"/>
        </w:rPr>
        <w:t xml:space="preserve"> G</w:t>
      </w:r>
      <w:r>
        <w:rPr>
          <w:sz w:val="18"/>
          <w:szCs w:val="18"/>
        </w:rPr>
        <w:t>.</w:t>
      </w:r>
      <w:r w:rsidRPr="00FD21B6">
        <w:rPr>
          <w:sz w:val="18"/>
          <w:szCs w:val="18"/>
        </w:rPr>
        <w:t>, Kao</w:t>
      </w:r>
      <w:r>
        <w:rPr>
          <w:sz w:val="18"/>
          <w:szCs w:val="18"/>
        </w:rPr>
        <w:t>,</w:t>
      </w:r>
      <w:r w:rsidRPr="00FD21B6">
        <w:rPr>
          <w:sz w:val="18"/>
          <w:szCs w:val="18"/>
        </w:rPr>
        <w:t xml:space="preserve"> J</w:t>
      </w:r>
      <w:r>
        <w:rPr>
          <w:sz w:val="18"/>
          <w:szCs w:val="18"/>
        </w:rPr>
        <w:t>.</w:t>
      </w:r>
      <w:r w:rsidRPr="00FD21B6">
        <w:rPr>
          <w:sz w:val="18"/>
          <w:szCs w:val="18"/>
        </w:rPr>
        <w:t xml:space="preserve"> &amp; Ritchie</w:t>
      </w:r>
      <w:r>
        <w:rPr>
          <w:sz w:val="18"/>
          <w:szCs w:val="18"/>
        </w:rPr>
        <w:t>,</w:t>
      </w:r>
      <w:r w:rsidRPr="00FD21B6">
        <w:rPr>
          <w:sz w:val="18"/>
          <w:szCs w:val="18"/>
        </w:rPr>
        <w:t xml:space="preserve"> L</w:t>
      </w:r>
      <w:r>
        <w:rPr>
          <w:sz w:val="18"/>
          <w:szCs w:val="18"/>
        </w:rPr>
        <w:t>.</w:t>
      </w:r>
      <w:r w:rsidRPr="00FD21B6">
        <w:rPr>
          <w:sz w:val="18"/>
          <w:szCs w:val="18"/>
        </w:rPr>
        <w:t>, 2011. ‘To what extent have sweetened beverages contributed to the obesity epidemic?’</w:t>
      </w:r>
      <w:r>
        <w:rPr>
          <w:sz w:val="18"/>
          <w:szCs w:val="18"/>
        </w:rPr>
        <w:t>.</w:t>
      </w:r>
      <w:r w:rsidRPr="00FD21B6">
        <w:rPr>
          <w:sz w:val="18"/>
          <w:szCs w:val="18"/>
        </w:rPr>
        <w:t xml:space="preserve"> </w:t>
      </w:r>
      <w:r w:rsidRPr="00FD21B6">
        <w:rPr>
          <w:i/>
          <w:sz w:val="18"/>
          <w:szCs w:val="18"/>
        </w:rPr>
        <w:t>Public Health Nutr</w:t>
      </w:r>
      <w:r>
        <w:rPr>
          <w:i/>
          <w:sz w:val="18"/>
          <w:szCs w:val="18"/>
        </w:rPr>
        <w:t>ition</w:t>
      </w:r>
      <w:r w:rsidRPr="00FD21B6">
        <w:rPr>
          <w:sz w:val="18"/>
          <w:szCs w:val="18"/>
        </w:rPr>
        <w:t>, 14(3):</w:t>
      </w:r>
      <w:r>
        <w:rPr>
          <w:sz w:val="18"/>
          <w:szCs w:val="18"/>
        </w:rPr>
        <w:t xml:space="preserve"> p</w:t>
      </w:r>
      <w:r w:rsidRPr="00FD21B6">
        <w:rPr>
          <w:sz w:val="18"/>
          <w:szCs w:val="18"/>
        </w:rPr>
        <w:t>499-509.</w:t>
      </w:r>
    </w:p>
  </w:footnote>
  <w:footnote w:id="184">
    <w:p w14:paraId="7ED050EA" w14:textId="3105D909" w:rsidR="00AA37B6" w:rsidRDefault="00AA37B6" w:rsidP="001847D7">
      <w:pPr>
        <w:pStyle w:val="FootnoteText"/>
        <w:spacing w:before="0" w:after="0"/>
      </w:pPr>
      <w:r>
        <w:rPr>
          <w:rStyle w:val="FootnoteReference"/>
        </w:rPr>
        <w:footnoteRef/>
      </w:r>
      <w:r>
        <w:t xml:space="preserve"> HSR five-</w:t>
      </w:r>
      <w:r w:rsidRPr="003373CF">
        <w:t>year review report</w:t>
      </w:r>
    </w:p>
  </w:footnote>
  <w:footnote w:id="185">
    <w:p w14:paraId="326ED779" w14:textId="18D94286" w:rsidR="00AA37B6" w:rsidRPr="003456D0" w:rsidRDefault="00AA37B6" w:rsidP="001847D7">
      <w:pPr>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w:t>
      </w:r>
      <w:r w:rsidRPr="003456D0">
        <w:rPr>
          <w:rFonts w:cstheme="minorHAnsi"/>
          <w:sz w:val="18"/>
          <w:szCs w:val="18"/>
          <w:lang w:val="en"/>
        </w:rPr>
        <w:t>Australian Bureau of Statistics</w:t>
      </w:r>
      <w:r w:rsidRPr="003456D0">
        <w:rPr>
          <w:rFonts w:cstheme="minorHAnsi"/>
          <w:sz w:val="18"/>
          <w:szCs w:val="18"/>
        </w:rPr>
        <w:t>, 2016. ‘</w:t>
      </w:r>
      <w:r w:rsidRPr="003456D0">
        <w:rPr>
          <w:rFonts w:cstheme="minorHAnsi"/>
          <w:i/>
          <w:sz w:val="18"/>
          <w:szCs w:val="18"/>
        </w:rPr>
        <w:t>Australian Healthy Survey: Consumption of added sugars, 2011-12’</w:t>
      </w:r>
      <w:r w:rsidRPr="003456D0">
        <w:rPr>
          <w:rFonts w:cstheme="minorHAnsi"/>
          <w:sz w:val="18"/>
          <w:szCs w:val="18"/>
        </w:rPr>
        <w:t xml:space="preserve">. Available at: </w:t>
      </w:r>
      <w:hyperlink r:id="rId117" w:history="1">
        <w:r w:rsidRPr="003456D0">
          <w:rPr>
            <w:rStyle w:val="Hyperlink"/>
            <w:rFonts w:eastAsiaTheme="majorEastAsia" w:cstheme="minorHAnsi"/>
            <w:sz w:val="18"/>
            <w:szCs w:val="18"/>
          </w:rPr>
          <w:t>Australian Bureau of Statistics</w:t>
        </w:r>
      </w:hyperlink>
      <w:r w:rsidRPr="003456D0">
        <w:rPr>
          <w:rStyle w:val="Hyperlink"/>
          <w:rFonts w:eastAsiaTheme="majorEastAsia" w:cstheme="minorHAnsi"/>
          <w:sz w:val="18"/>
          <w:szCs w:val="18"/>
        </w:rPr>
        <w:t xml:space="preserve"> </w:t>
      </w:r>
      <w:r w:rsidRPr="003456D0">
        <w:rPr>
          <w:rStyle w:val="Hyperlink"/>
          <w:rFonts w:eastAsiaTheme="majorEastAsia" w:cstheme="minorHAnsi"/>
          <w:color w:val="auto"/>
          <w:sz w:val="18"/>
          <w:szCs w:val="18"/>
          <w:u w:val="none"/>
        </w:rPr>
        <w:t>(accessed 20 July 2016).</w:t>
      </w:r>
    </w:p>
  </w:footnote>
  <w:footnote w:id="186">
    <w:p w14:paraId="614D05C9" w14:textId="700A91EB" w:rsidR="00AA37B6" w:rsidRPr="003456D0" w:rsidRDefault="00AA37B6" w:rsidP="001847D7">
      <w:pPr>
        <w:pStyle w:val="FootnoteText"/>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Using the second defin</w:t>
      </w:r>
      <w:r>
        <w:rPr>
          <w:rFonts w:cstheme="minorHAnsi"/>
          <w:sz w:val="18"/>
          <w:szCs w:val="18"/>
        </w:rPr>
        <w:t xml:space="preserve">ition of ‘sugars’ in the Code. </w:t>
      </w:r>
      <w:r w:rsidRPr="003456D0">
        <w:rPr>
          <w:rFonts w:cstheme="minorHAnsi"/>
          <w:sz w:val="18"/>
          <w:szCs w:val="18"/>
        </w:rPr>
        <w:t>Includes sucrose, fructose, dextrose, lactose and sugar syrups such as glucose syrup.</w:t>
      </w:r>
    </w:p>
  </w:footnote>
  <w:footnote w:id="187">
    <w:p w14:paraId="62E3DF23" w14:textId="625B6633" w:rsidR="00AA37B6" w:rsidRPr="003456D0" w:rsidRDefault="00AA37B6" w:rsidP="001847D7">
      <w:pPr>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Food Standards Australia New Zealand (FSANZ). 2015. ‘</w:t>
      </w:r>
      <w:r w:rsidRPr="003456D0">
        <w:rPr>
          <w:rFonts w:cstheme="minorHAnsi"/>
          <w:i/>
          <w:sz w:val="18"/>
          <w:szCs w:val="18"/>
        </w:rPr>
        <w:t>Determining the amount of added sugars and free sugars in foods listed in the AUSNUT 2011-13 dataset</w:t>
      </w:r>
      <w:r w:rsidRPr="003456D0">
        <w:rPr>
          <w:rFonts w:cstheme="minorHAnsi"/>
          <w:sz w:val="18"/>
          <w:szCs w:val="18"/>
        </w:rPr>
        <w:t xml:space="preserve">’ Available at: </w:t>
      </w:r>
      <w:hyperlink r:id="rId118" w:history="1">
        <w:r w:rsidRPr="003456D0">
          <w:rPr>
            <w:rStyle w:val="Hyperlink"/>
            <w:rFonts w:eastAsiaTheme="majorEastAsia" w:cstheme="minorHAnsi"/>
            <w:sz w:val="18"/>
            <w:szCs w:val="18"/>
          </w:rPr>
          <w:t>Food Standards Australia New Zealand</w:t>
        </w:r>
      </w:hyperlink>
      <w:r>
        <w:rPr>
          <w:rFonts w:cstheme="minorHAnsi"/>
          <w:sz w:val="18"/>
          <w:szCs w:val="18"/>
        </w:rPr>
        <w:t xml:space="preserve"> (accessed 21 July 2016).</w:t>
      </w:r>
    </w:p>
  </w:footnote>
  <w:footnote w:id="188">
    <w:p w14:paraId="5AF429DD" w14:textId="77777777" w:rsidR="00AA37B6" w:rsidRDefault="00AA37B6" w:rsidP="001847D7">
      <w:pPr>
        <w:spacing w:before="0" w:after="0"/>
      </w:pPr>
      <w:r w:rsidRPr="003456D0">
        <w:rPr>
          <w:rStyle w:val="FootnoteReference"/>
          <w:rFonts w:cstheme="minorHAnsi"/>
          <w:sz w:val="18"/>
          <w:szCs w:val="18"/>
        </w:rPr>
        <w:footnoteRef/>
      </w:r>
      <w:r w:rsidRPr="003456D0">
        <w:rPr>
          <w:rFonts w:cstheme="minorHAnsi"/>
          <w:sz w:val="18"/>
          <w:szCs w:val="18"/>
        </w:rPr>
        <w:t xml:space="preserve"> World Health Organization, 2015. ‘</w:t>
      </w:r>
      <w:r w:rsidRPr="003456D0">
        <w:rPr>
          <w:rFonts w:cstheme="minorHAnsi"/>
          <w:i/>
          <w:iCs/>
          <w:sz w:val="18"/>
          <w:szCs w:val="18"/>
        </w:rPr>
        <w:t>Guideline: Sugars intake for adults and children</w:t>
      </w:r>
      <w:r w:rsidRPr="003456D0">
        <w:rPr>
          <w:rFonts w:cstheme="minorHAnsi"/>
          <w:iCs/>
          <w:sz w:val="18"/>
          <w:szCs w:val="18"/>
        </w:rPr>
        <w:t>’</w:t>
      </w:r>
      <w:r w:rsidRPr="003456D0">
        <w:rPr>
          <w:rFonts w:cstheme="minorHAnsi"/>
          <w:sz w:val="18"/>
          <w:szCs w:val="18"/>
        </w:rPr>
        <w:t xml:space="preserve">. Available at: </w:t>
      </w:r>
      <w:hyperlink r:id="rId119" w:tgtFrame="_" w:history="1">
        <w:r w:rsidRPr="003456D0">
          <w:rPr>
            <w:rStyle w:val="Hyperlink"/>
            <w:rFonts w:eastAsiaTheme="majorEastAsia" w:cstheme="minorHAnsi"/>
            <w:sz w:val="18"/>
            <w:szCs w:val="18"/>
          </w:rPr>
          <w:t>World Health Organisation - Guideline: Sugars intake for adults and children</w:t>
        </w:r>
      </w:hyperlink>
      <w:r w:rsidRPr="003456D0">
        <w:rPr>
          <w:rStyle w:val="Hyperlink"/>
          <w:rFonts w:eastAsiaTheme="majorEastAsia" w:cstheme="minorHAnsi"/>
          <w:sz w:val="18"/>
          <w:szCs w:val="18"/>
        </w:rPr>
        <w:t xml:space="preserve"> </w:t>
      </w:r>
      <w:r w:rsidRPr="003456D0">
        <w:rPr>
          <w:rStyle w:val="Hyperlink"/>
          <w:rFonts w:eastAsiaTheme="majorEastAsia" w:cstheme="minorHAnsi"/>
          <w:color w:val="auto"/>
          <w:sz w:val="18"/>
          <w:szCs w:val="18"/>
          <w:u w:val="none"/>
        </w:rPr>
        <w:t>(accessed 20 June 2016).</w:t>
      </w:r>
    </w:p>
  </w:footnote>
  <w:footnote w:id="189">
    <w:p w14:paraId="2AB2B06B" w14:textId="4C0E107C" w:rsidR="00AA37B6" w:rsidRPr="003456D0" w:rsidRDefault="00AA37B6" w:rsidP="001847D7">
      <w:pPr>
        <w:pStyle w:val="FootnoteText"/>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Australian Bureau of Statistics 2018, ‘</w:t>
      </w:r>
      <w:r w:rsidRPr="003456D0">
        <w:rPr>
          <w:rFonts w:cstheme="minorHAnsi"/>
          <w:i/>
          <w:sz w:val="18"/>
          <w:szCs w:val="18"/>
        </w:rPr>
        <w:t>Australian Aboriginal and Torres Strait Islander Health Survey: Consumption of Added Sugars, 2012-13’</w:t>
      </w:r>
      <w:r w:rsidRPr="003456D0">
        <w:rPr>
          <w:rFonts w:cstheme="minorHAnsi"/>
          <w:sz w:val="18"/>
          <w:szCs w:val="18"/>
        </w:rPr>
        <w:t xml:space="preserve">. Available at: </w:t>
      </w:r>
      <w:hyperlink r:id="rId120" w:history="1">
        <w:r w:rsidRPr="003456D0">
          <w:rPr>
            <w:rStyle w:val="Hyperlink"/>
            <w:rFonts w:cstheme="minorHAnsi"/>
            <w:sz w:val="18"/>
            <w:szCs w:val="18"/>
          </w:rPr>
          <w:t>Australian Bureau of Statistics</w:t>
        </w:r>
      </w:hyperlink>
      <w:r w:rsidRPr="003456D0">
        <w:rPr>
          <w:rFonts w:cstheme="minorHAnsi"/>
          <w:sz w:val="18"/>
          <w:szCs w:val="18"/>
        </w:rPr>
        <w:t xml:space="preserve"> (accessed 26 April 2018)</w:t>
      </w:r>
    </w:p>
  </w:footnote>
  <w:footnote w:id="190">
    <w:p w14:paraId="7B672D5B" w14:textId="07BBC6B0" w:rsidR="00AA37B6" w:rsidRPr="003456D0" w:rsidRDefault="00AA37B6" w:rsidP="001847D7">
      <w:pPr>
        <w:pStyle w:val="FootnoteText"/>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w:t>
      </w:r>
      <w:r w:rsidRPr="003456D0">
        <w:rPr>
          <w:rFonts w:cstheme="minorHAnsi"/>
          <w:sz w:val="18"/>
          <w:szCs w:val="18"/>
          <w:lang w:val="en"/>
        </w:rPr>
        <w:t>Australian Bureau of Statistics</w:t>
      </w:r>
      <w:r w:rsidRPr="003456D0">
        <w:rPr>
          <w:rFonts w:cstheme="minorHAnsi"/>
          <w:sz w:val="18"/>
          <w:szCs w:val="18"/>
        </w:rPr>
        <w:t>, 2016. ‘</w:t>
      </w:r>
      <w:r w:rsidRPr="003456D0">
        <w:rPr>
          <w:rFonts w:cstheme="minorHAnsi"/>
          <w:i/>
          <w:sz w:val="18"/>
          <w:szCs w:val="18"/>
        </w:rPr>
        <w:t>Australian Healthy Survey: Consumption of added sugars, 2011-12’</w:t>
      </w:r>
      <w:r w:rsidRPr="003456D0">
        <w:rPr>
          <w:rFonts w:cstheme="minorHAnsi"/>
          <w:sz w:val="18"/>
          <w:szCs w:val="18"/>
        </w:rPr>
        <w:t xml:space="preserve">. Available at: </w:t>
      </w:r>
      <w:hyperlink r:id="rId121" w:history="1">
        <w:r w:rsidRPr="003456D0">
          <w:rPr>
            <w:rStyle w:val="Hyperlink"/>
            <w:rFonts w:eastAsiaTheme="majorEastAsia" w:cstheme="minorHAnsi"/>
            <w:sz w:val="18"/>
            <w:szCs w:val="18"/>
          </w:rPr>
          <w:t>Australian Bureau of Statistics</w:t>
        </w:r>
      </w:hyperlink>
      <w:r w:rsidRPr="003456D0">
        <w:rPr>
          <w:rStyle w:val="Hyperlink"/>
          <w:rFonts w:eastAsiaTheme="majorEastAsia" w:cstheme="minorHAnsi"/>
          <w:sz w:val="18"/>
          <w:szCs w:val="18"/>
        </w:rPr>
        <w:t xml:space="preserve"> </w:t>
      </w:r>
      <w:r w:rsidRPr="003456D0">
        <w:rPr>
          <w:rStyle w:val="Hyperlink"/>
          <w:rFonts w:eastAsiaTheme="majorEastAsia" w:cstheme="minorHAnsi"/>
          <w:color w:val="auto"/>
          <w:sz w:val="18"/>
          <w:szCs w:val="18"/>
          <w:u w:val="none"/>
        </w:rPr>
        <w:t>(accessed 20 July 2016).</w:t>
      </w:r>
    </w:p>
  </w:footnote>
  <w:footnote w:id="191">
    <w:p w14:paraId="542FB339" w14:textId="7FC6D6BB" w:rsidR="00AA37B6" w:rsidRDefault="00AA37B6" w:rsidP="001847D7">
      <w:pPr>
        <w:pStyle w:val="FootnoteText"/>
        <w:spacing w:before="0" w:after="0"/>
      </w:pPr>
      <w:r w:rsidRPr="003456D0">
        <w:rPr>
          <w:rStyle w:val="FootnoteReference"/>
          <w:rFonts w:cstheme="minorHAnsi"/>
          <w:sz w:val="18"/>
          <w:szCs w:val="18"/>
        </w:rPr>
        <w:footnoteRef/>
      </w:r>
      <w:r w:rsidRPr="003456D0">
        <w:rPr>
          <w:rFonts w:cstheme="minorHAnsi"/>
          <w:sz w:val="18"/>
          <w:szCs w:val="18"/>
        </w:rPr>
        <w:t xml:space="preserve"> Australian Bureau of Statistics 2018, ‘</w:t>
      </w:r>
      <w:r w:rsidRPr="003456D0">
        <w:rPr>
          <w:rFonts w:cstheme="minorHAnsi"/>
          <w:i/>
          <w:sz w:val="18"/>
          <w:szCs w:val="18"/>
        </w:rPr>
        <w:t>Australian Aboriginal and Torres Strait Islander Health Survey: Consumption of Added Sugars, 2012-13’</w:t>
      </w:r>
      <w:r>
        <w:rPr>
          <w:rFonts w:cstheme="minorHAnsi"/>
          <w:sz w:val="18"/>
          <w:szCs w:val="18"/>
        </w:rPr>
        <w:t xml:space="preserve">. </w:t>
      </w:r>
      <w:r w:rsidRPr="003456D0">
        <w:rPr>
          <w:rFonts w:cstheme="minorHAnsi"/>
          <w:sz w:val="18"/>
          <w:szCs w:val="18"/>
        </w:rPr>
        <w:t xml:space="preserve">Available at: </w:t>
      </w:r>
      <w:hyperlink r:id="rId122" w:history="1">
        <w:r w:rsidRPr="003456D0">
          <w:rPr>
            <w:rStyle w:val="Hyperlink"/>
            <w:rFonts w:cstheme="minorHAnsi"/>
            <w:sz w:val="18"/>
            <w:szCs w:val="18"/>
          </w:rPr>
          <w:t>Australian Bureau of Statistics</w:t>
        </w:r>
      </w:hyperlink>
      <w:r w:rsidRPr="003456D0">
        <w:rPr>
          <w:rFonts w:cstheme="minorHAnsi"/>
          <w:sz w:val="18"/>
          <w:szCs w:val="18"/>
        </w:rPr>
        <w:t xml:space="preserve"> (accessed 26 April 2018)</w:t>
      </w:r>
    </w:p>
  </w:footnote>
  <w:footnote w:id="192">
    <w:p w14:paraId="63F6EF8E" w14:textId="591D049F" w:rsidR="00AA37B6" w:rsidRPr="003456D0" w:rsidRDefault="00AA37B6" w:rsidP="001847D7">
      <w:pPr>
        <w:pStyle w:val="FootnoteText"/>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Australian Bureau of Statistics 2017, ‘</w:t>
      </w:r>
      <w:r w:rsidRPr="003456D0">
        <w:rPr>
          <w:rFonts w:cstheme="minorHAnsi"/>
          <w:i/>
          <w:sz w:val="18"/>
          <w:szCs w:val="18"/>
        </w:rPr>
        <w:t>Consumption of added sugars- A comparison of 1995 to 2011-12</w:t>
      </w:r>
      <w:r w:rsidRPr="003456D0">
        <w:rPr>
          <w:rFonts w:cstheme="minorHAnsi"/>
          <w:sz w:val="18"/>
          <w:szCs w:val="18"/>
        </w:rPr>
        <w:t xml:space="preserve">. Available at: </w:t>
      </w:r>
      <w:hyperlink r:id="rId123" w:history="1">
        <w:r w:rsidRPr="003456D0">
          <w:rPr>
            <w:rStyle w:val="Hyperlink"/>
            <w:rFonts w:cstheme="minorHAnsi"/>
            <w:sz w:val="18"/>
            <w:szCs w:val="18"/>
          </w:rPr>
          <w:t>Australian Bureau of Statistics</w:t>
        </w:r>
      </w:hyperlink>
    </w:p>
  </w:footnote>
  <w:footnote w:id="193">
    <w:p w14:paraId="1351067C" w14:textId="77777777" w:rsidR="00AA37B6" w:rsidRPr="003456D0" w:rsidRDefault="00AA37B6" w:rsidP="001847D7">
      <w:pPr>
        <w:pStyle w:val="FootnoteText"/>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University of Otago and Ministry of Health, 2011. ‘</w:t>
      </w:r>
      <w:r w:rsidRPr="003456D0">
        <w:rPr>
          <w:rFonts w:cstheme="minorHAnsi"/>
          <w:i/>
          <w:sz w:val="18"/>
          <w:szCs w:val="18"/>
        </w:rPr>
        <w:t>A Focus on Nutrition: Key findings of the 2008/09 New Zealand Adult Nutrition Survey’</w:t>
      </w:r>
      <w:r w:rsidRPr="003456D0">
        <w:rPr>
          <w:rFonts w:cstheme="minorHAnsi"/>
          <w:sz w:val="18"/>
          <w:szCs w:val="18"/>
        </w:rPr>
        <w:t>. Wellington: Ministry of Health.</w:t>
      </w:r>
    </w:p>
  </w:footnote>
  <w:footnote w:id="194">
    <w:p w14:paraId="26728C1B" w14:textId="7FA79500" w:rsidR="00AA37B6" w:rsidRPr="003456D0" w:rsidRDefault="00AA37B6" w:rsidP="001847D7">
      <w:pPr>
        <w:pStyle w:val="FootnoteText"/>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Nettleton A, 2016.’ </w:t>
      </w:r>
      <w:r w:rsidRPr="003456D0">
        <w:rPr>
          <w:rFonts w:cstheme="minorHAnsi"/>
          <w:i/>
          <w:sz w:val="18"/>
          <w:szCs w:val="18"/>
        </w:rPr>
        <w:t>Estimating added sugars intake in New Zealand’</w:t>
      </w:r>
      <w:r w:rsidRPr="003456D0">
        <w:rPr>
          <w:rFonts w:cstheme="minorHAnsi"/>
          <w:sz w:val="18"/>
          <w:szCs w:val="18"/>
        </w:rPr>
        <w:t xml:space="preserve"> [Thesis]. Dunedin, New Zealand: University of Otago. Available at: </w:t>
      </w:r>
      <w:hyperlink r:id="rId124" w:history="1">
        <w:r w:rsidRPr="003456D0">
          <w:rPr>
            <w:rStyle w:val="Hyperlink"/>
            <w:rFonts w:cstheme="minorHAnsi"/>
            <w:sz w:val="18"/>
            <w:szCs w:val="18"/>
          </w:rPr>
          <w:t>University of Otago</w:t>
        </w:r>
      </w:hyperlink>
      <w:r w:rsidRPr="003456D0">
        <w:rPr>
          <w:rFonts w:cstheme="minorHAnsi"/>
          <w:sz w:val="18"/>
          <w:szCs w:val="18"/>
        </w:rPr>
        <w:t xml:space="preserve"> (accessed 23 April 2018). </w:t>
      </w:r>
    </w:p>
  </w:footnote>
  <w:footnote w:id="195">
    <w:p w14:paraId="13759F1C" w14:textId="0E162117" w:rsidR="00AA37B6" w:rsidRPr="003456D0" w:rsidRDefault="00AA37B6" w:rsidP="001847D7">
      <w:pPr>
        <w:pStyle w:val="FootnoteText"/>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Kibblewhite R</w:t>
      </w:r>
      <w:r>
        <w:rPr>
          <w:rFonts w:cstheme="minorHAnsi"/>
          <w:sz w:val="18"/>
          <w:szCs w:val="18"/>
        </w:rPr>
        <w:t>.</w:t>
      </w:r>
      <w:r w:rsidRPr="003456D0">
        <w:rPr>
          <w:rFonts w:cstheme="minorHAnsi"/>
          <w:sz w:val="18"/>
          <w:szCs w:val="18"/>
        </w:rPr>
        <w:t>L</w:t>
      </w:r>
      <w:r>
        <w:rPr>
          <w:rFonts w:cstheme="minorHAnsi"/>
          <w:sz w:val="18"/>
          <w:szCs w:val="18"/>
        </w:rPr>
        <w:t>.</w:t>
      </w:r>
      <w:r w:rsidRPr="003456D0">
        <w:rPr>
          <w:rFonts w:cstheme="minorHAnsi"/>
          <w:sz w:val="18"/>
          <w:szCs w:val="18"/>
        </w:rPr>
        <w:t>, 2016. ‘</w:t>
      </w:r>
      <w:r w:rsidRPr="003456D0">
        <w:rPr>
          <w:rFonts w:cstheme="minorHAnsi"/>
          <w:i/>
          <w:sz w:val="18"/>
          <w:szCs w:val="18"/>
        </w:rPr>
        <w:t>Estimating free sugars intake in New Zealand’</w:t>
      </w:r>
      <w:r w:rsidRPr="003456D0">
        <w:rPr>
          <w:rFonts w:cstheme="minorHAnsi"/>
          <w:sz w:val="18"/>
          <w:szCs w:val="18"/>
        </w:rPr>
        <w:t xml:space="preserve"> [Thesis]. Dunedin, New Zealand: University of Otago. Available at: </w:t>
      </w:r>
      <w:hyperlink r:id="rId125" w:history="1">
        <w:r w:rsidRPr="003456D0">
          <w:rPr>
            <w:rStyle w:val="Hyperlink"/>
            <w:rFonts w:cstheme="minorHAnsi"/>
            <w:sz w:val="18"/>
            <w:szCs w:val="18"/>
          </w:rPr>
          <w:t>University of Otago</w:t>
        </w:r>
      </w:hyperlink>
      <w:r>
        <w:rPr>
          <w:rFonts w:cstheme="minorHAnsi"/>
          <w:sz w:val="18"/>
          <w:szCs w:val="18"/>
        </w:rPr>
        <w:t xml:space="preserve"> (accessed 23 April 2018).</w:t>
      </w:r>
    </w:p>
  </w:footnote>
  <w:footnote w:id="196">
    <w:p w14:paraId="2265AA99" w14:textId="32F6A997" w:rsidR="00AA37B6" w:rsidRDefault="00AA37B6" w:rsidP="001847D7">
      <w:pPr>
        <w:pStyle w:val="FootnoteText"/>
        <w:spacing w:before="0" w:after="0"/>
      </w:pPr>
      <w:r w:rsidRPr="003456D0">
        <w:rPr>
          <w:rStyle w:val="FootnoteReference"/>
          <w:rFonts w:cstheme="minorHAnsi"/>
          <w:sz w:val="18"/>
          <w:szCs w:val="18"/>
        </w:rPr>
        <w:footnoteRef/>
      </w:r>
      <w:r w:rsidRPr="003456D0">
        <w:rPr>
          <w:rFonts w:cstheme="minorHAnsi"/>
          <w:sz w:val="18"/>
          <w:szCs w:val="18"/>
        </w:rPr>
        <w:t xml:space="preserve"> Louie J</w:t>
      </w:r>
      <w:r>
        <w:rPr>
          <w:rFonts w:cstheme="minorHAnsi"/>
          <w:sz w:val="18"/>
          <w:szCs w:val="18"/>
        </w:rPr>
        <w:t>.</w:t>
      </w:r>
      <w:r w:rsidRPr="003456D0">
        <w:rPr>
          <w:rFonts w:cstheme="minorHAnsi"/>
          <w:sz w:val="18"/>
          <w:szCs w:val="18"/>
        </w:rPr>
        <w:t>C</w:t>
      </w:r>
      <w:r>
        <w:rPr>
          <w:rFonts w:cstheme="minorHAnsi"/>
          <w:sz w:val="18"/>
          <w:szCs w:val="18"/>
        </w:rPr>
        <w:t>.</w:t>
      </w:r>
      <w:r w:rsidRPr="003456D0">
        <w:rPr>
          <w:rFonts w:cstheme="minorHAnsi"/>
          <w:sz w:val="18"/>
          <w:szCs w:val="18"/>
        </w:rPr>
        <w:t>Y</w:t>
      </w:r>
      <w:r>
        <w:rPr>
          <w:rFonts w:cstheme="minorHAnsi"/>
          <w:sz w:val="18"/>
          <w:szCs w:val="18"/>
        </w:rPr>
        <w:t>.</w:t>
      </w:r>
      <w:r w:rsidRPr="003456D0">
        <w:rPr>
          <w:rFonts w:cstheme="minorHAnsi"/>
          <w:sz w:val="18"/>
          <w:szCs w:val="18"/>
        </w:rPr>
        <w:t>, et al</w:t>
      </w:r>
      <w:r>
        <w:rPr>
          <w:rFonts w:cstheme="minorHAnsi"/>
          <w:sz w:val="18"/>
          <w:szCs w:val="18"/>
        </w:rPr>
        <w:t>.</w:t>
      </w:r>
      <w:r w:rsidRPr="003456D0">
        <w:rPr>
          <w:rFonts w:cstheme="minorHAnsi"/>
          <w:sz w:val="18"/>
          <w:szCs w:val="18"/>
        </w:rPr>
        <w:t xml:space="preserve">, 2015.’A systematic methodology to estimate added sugar content of foods’. </w:t>
      </w:r>
      <w:r w:rsidRPr="003456D0">
        <w:rPr>
          <w:rFonts w:cstheme="minorHAnsi"/>
          <w:i/>
          <w:sz w:val="18"/>
          <w:szCs w:val="18"/>
        </w:rPr>
        <w:t>European journal of clinical nutrition</w:t>
      </w:r>
      <w:r>
        <w:rPr>
          <w:rFonts w:cstheme="minorHAnsi"/>
          <w:sz w:val="18"/>
          <w:szCs w:val="18"/>
        </w:rPr>
        <w:t>. 69(2);</w:t>
      </w:r>
      <w:r w:rsidRPr="003456D0">
        <w:rPr>
          <w:rFonts w:cstheme="minorHAnsi"/>
          <w:sz w:val="18"/>
          <w:szCs w:val="18"/>
        </w:rPr>
        <w:t xml:space="preserve"> 154-61.</w:t>
      </w:r>
    </w:p>
  </w:footnote>
  <w:footnote w:id="197">
    <w:p w14:paraId="314E769E" w14:textId="77777777" w:rsidR="00AA37B6" w:rsidRPr="003456D0" w:rsidRDefault="00AA37B6" w:rsidP="001847D7">
      <w:pPr>
        <w:pStyle w:val="FootnoteText"/>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defined as a body mass index of 22.5kg/m</w:t>
      </w:r>
      <w:r w:rsidRPr="003456D0">
        <w:rPr>
          <w:rFonts w:cstheme="minorHAnsi"/>
          <w:sz w:val="18"/>
          <w:szCs w:val="18"/>
          <w:vertAlign w:val="superscript"/>
        </w:rPr>
        <w:t xml:space="preserve">2 </w:t>
      </w:r>
      <w:r w:rsidRPr="003456D0">
        <w:rPr>
          <w:rFonts w:cstheme="minorHAnsi"/>
          <w:sz w:val="18"/>
          <w:szCs w:val="18"/>
        </w:rPr>
        <w:t>or greater</w:t>
      </w:r>
    </w:p>
  </w:footnote>
  <w:footnote w:id="198">
    <w:p w14:paraId="2A29465E" w14:textId="731BD2AB" w:rsidR="00AA37B6" w:rsidRPr="003456D0" w:rsidRDefault="00AA37B6" w:rsidP="001847D7">
      <w:pPr>
        <w:pStyle w:val="FootnoteText"/>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Institute for Health Metrics and Evaluation, 2016. </w:t>
      </w:r>
      <w:r>
        <w:rPr>
          <w:rFonts w:cstheme="minorHAnsi"/>
          <w:sz w:val="18"/>
          <w:szCs w:val="18"/>
        </w:rPr>
        <w:t>‘</w:t>
      </w:r>
      <w:r w:rsidRPr="00384E03">
        <w:rPr>
          <w:rFonts w:cstheme="minorHAnsi"/>
          <w:i/>
          <w:sz w:val="18"/>
          <w:szCs w:val="18"/>
        </w:rPr>
        <w:t>GBD Compare Viz Hub</w:t>
      </w:r>
      <w:r>
        <w:rPr>
          <w:rFonts w:cstheme="minorHAnsi"/>
          <w:i/>
          <w:sz w:val="18"/>
          <w:szCs w:val="18"/>
        </w:rPr>
        <w:t>’</w:t>
      </w:r>
      <w:r w:rsidRPr="003456D0">
        <w:rPr>
          <w:rFonts w:cstheme="minorHAnsi"/>
          <w:sz w:val="18"/>
          <w:szCs w:val="18"/>
        </w:rPr>
        <w:t xml:space="preserve">. Available at: </w:t>
      </w:r>
      <w:hyperlink r:id="rId126" w:history="1">
        <w:r w:rsidRPr="003456D0">
          <w:rPr>
            <w:rStyle w:val="Hyperlink"/>
            <w:rFonts w:cstheme="minorHAnsi"/>
            <w:sz w:val="18"/>
            <w:szCs w:val="18"/>
          </w:rPr>
          <w:t>Institute for Health Metrics and Evaluation</w:t>
        </w:r>
      </w:hyperlink>
      <w:r w:rsidRPr="003456D0">
        <w:rPr>
          <w:rFonts w:cstheme="minorHAnsi"/>
          <w:sz w:val="18"/>
          <w:szCs w:val="18"/>
        </w:rPr>
        <w:t xml:space="preserve"> (accessed 29 March 2018).</w:t>
      </w:r>
    </w:p>
  </w:footnote>
  <w:footnote w:id="199">
    <w:p w14:paraId="0C7D5C1E" w14:textId="77777777" w:rsidR="00AA37B6" w:rsidRPr="003456D0" w:rsidRDefault="00AA37B6" w:rsidP="001847D7">
      <w:pPr>
        <w:pStyle w:val="FootnoteText"/>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Note that the Australian Institute of Health and Welfare has undertaken an Australian Burden of Disease Study which is more tailored to the Australian context, however, the Global Burden of Disease Study is cited here to enable comparison with New Zealand estimates. </w:t>
      </w:r>
    </w:p>
  </w:footnote>
  <w:footnote w:id="200">
    <w:p w14:paraId="4043A7D1" w14:textId="4CFED0FA" w:rsidR="00AA37B6" w:rsidRPr="005C2393" w:rsidRDefault="00AA37B6" w:rsidP="001847D7">
      <w:pPr>
        <w:pStyle w:val="FootnoteText"/>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Institute for Health Metrics and Evaluation, 2016. </w:t>
      </w:r>
      <w:r>
        <w:rPr>
          <w:rFonts w:cstheme="minorHAnsi"/>
          <w:sz w:val="18"/>
          <w:szCs w:val="18"/>
        </w:rPr>
        <w:t>‘</w:t>
      </w:r>
      <w:r w:rsidRPr="00384E03">
        <w:rPr>
          <w:rFonts w:cstheme="minorHAnsi"/>
          <w:i/>
          <w:sz w:val="18"/>
          <w:szCs w:val="18"/>
        </w:rPr>
        <w:t>GBD Compare Viz Hub</w:t>
      </w:r>
      <w:r>
        <w:rPr>
          <w:rFonts w:cstheme="minorHAnsi"/>
          <w:i/>
          <w:sz w:val="18"/>
          <w:szCs w:val="18"/>
        </w:rPr>
        <w:t>’</w:t>
      </w:r>
      <w:r w:rsidRPr="003456D0">
        <w:rPr>
          <w:rFonts w:cstheme="minorHAnsi"/>
          <w:sz w:val="18"/>
          <w:szCs w:val="18"/>
        </w:rPr>
        <w:t>. Available at:</w:t>
      </w:r>
      <w:hyperlink r:id="rId127" w:history="1">
        <w:r w:rsidRPr="003456D0">
          <w:rPr>
            <w:rStyle w:val="Hyperlink"/>
            <w:rFonts w:cstheme="minorHAnsi"/>
            <w:sz w:val="18"/>
            <w:szCs w:val="18"/>
          </w:rPr>
          <w:t xml:space="preserve"> Institute of Health Metrics and Evaluation</w:t>
        </w:r>
      </w:hyperlink>
      <w:r>
        <w:rPr>
          <w:rFonts w:cstheme="minorHAnsi"/>
          <w:sz w:val="18"/>
          <w:szCs w:val="18"/>
        </w:rPr>
        <w:t xml:space="preserve"> (accessed 3 April 2018).</w:t>
      </w:r>
    </w:p>
  </w:footnote>
  <w:footnote w:id="201">
    <w:p w14:paraId="5418C86D" w14:textId="4317FCE2" w:rsidR="00AA37B6" w:rsidRPr="005C2393" w:rsidRDefault="00AA37B6" w:rsidP="001847D7">
      <w:pPr>
        <w:pStyle w:val="FootnoteText"/>
        <w:spacing w:before="0" w:after="0"/>
        <w:rPr>
          <w:sz w:val="18"/>
          <w:szCs w:val="18"/>
        </w:rPr>
      </w:pPr>
      <w:r>
        <w:rPr>
          <w:rStyle w:val="FootnoteReference"/>
        </w:rPr>
        <w:footnoteRef/>
      </w:r>
      <w:r>
        <w:t xml:space="preserve"> </w:t>
      </w:r>
      <w:r w:rsidRPr="00716E73">
        <w:rPr>
          <w:rFonts w:cstheme="minorHAnsi"/>
          <w:sz w:val="18"/>
          <w:szCs w:val="18"/>
          <w:lang w:val="en"/>
        </w:rPr>
        <w:t>Austr</w:t>
      </w:r>
      <w:r>
        <w:rPr>
          <w:rFonts w:cstheme="minorHAnsi"/>
          <w:sz w:val="18"/>
          <w:szCs w:val="18"/>
          <w:lang w:val="en"/>
        </w:rPr>
        <w:t>alian Bureau of Statistics, 2018</w:t>
      </w:r>
      <w:r w:rsidRPr="00716E73">
        <w:rPr>
          <w:rFonts w:cstheme="minorHAnsi"/>
          <w:sz w:val="18"/>
          <w:szCs w:val="18"/>
          <w:lang w:val="en"/>
        </w:rPr>
        <w:t xml:space="preserve">. </w:t>
      </w:r>
      <w:r>
        <w:rPr>
          <w:rFonts w:cstheme="minorHAnsi"/>
          <w:sz w:val="18"/>
          <w:szCs w:val="18"/>
          <w:lang w:val="en"/>
        </w:rPr>
        <w:t>‘</w:t>
      </w:r>
      <w:r w:rsidRPr="00716E73">
        <w:rPr>
          <w:rFonts w:cstheme="minorHAnsi"/>
          <w:i/>
          <w:sz w:val="18"/>
          <w:szCs w:val="18"/>
          <w:lang w:val="en"/>
        </w:rPr>
        <w:t>National Health Survey: First Results, 2017-18</w:t>
      </w:r>
      <w:r>
        <w:rPr>
          <w:rFonts w:cstheme="minorHAnsi"/>
          <w:i/>
          <w:sz w:val="18"/>
          <w:szCs w:val="18"/>
          <w:lang w:val="en"/>
        </w:rPr>
        <w:t>’.</w:t>
      </w:r>
      <w:r w:rsidRPr="00716E73">
        <w:rPr>
          <w:rFonts w:cstheme="minorHAnsi"/>
          <w:sz w:val="18"/>
          <w:szCs w:val="18"/>
          <w:lang w:val="en"/>
        </w:rPr>
        <w:t xml:space="preserve"> Available at </w:t>
      </w:r>
      <w:hyperlink r:id="rId128" w:history="1">
        <w:r w:rsidRPr="00716E73">
          <w:rPr>
            <w:rStyle w:val="Hyperlink"/>
            <w:rFonts w:eastAsiaTheme="majorEastAsia" w:cstheme="minorHAnsi"/>
            <w:sz w:val="18"/>
            <w:szCs w:val="18"/>
          </w:rPr>
          <w:t>Australian Bureau of Statistics</w:t>
        </w:r>
      </w:hyperlink>
      <w:r w:rsidRPr="00716E73">
        <w:rPr>
          <w:rStyle w:val="Hyperlink"/>
          <w:rFonts w:eastAsiaTheme="majorEastAsia" w:cstheme="minorHAnsi"/>
          <w:sz w:val="18"/>
          <w:szCs w:val="18"/>
          <w:lang w:val="en"/>
        </w:rPr>
        <w:t xml:space="preserve"> </w:t>
      </w:r>
      <w:r w:rsidRPr="00716E73">
        <w:rPr>
          <w:rFonts w:cstheme="minorHAnsi"/>
          <w:sz w:val="18"/>
          <w:szCs w:val="18"/>
        </w:rPr>
        <w:t>(accessed 9 January 2019).</w:t>
      </w:r>
    </w:p>
  </w:footnote>
  <w:footnote w:id="202">
    <w:p w14:paraId="0720E47A" w14:textId="2A3E505B" w:rsidR="00AA37B6" w:rsidRPr="003456D0" w:rsidRDefault="00AA37B6" w:rsidP="001847D7">
      <w:pPr>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w:t>
      </w:r>
      <w:r w:rsidRPr="00716E73">
        <w:rPr>
          <w:rFonts w:cstheme="minorHAnsi"/>
          <w:sz w:val="18"/>
          <w:szCs w:val="18"/>
          <w:lang w:val="en"/>
        </w:rPr>
        <w:t>Austr</w:t>
      </w:r>
      <w:r>
        <w:rPr>
          <w:rFonts w:cstheme="minorHAnsi"/>
          <w:sz w:val="18"/>
          <w:szCs w:val="18"/>
          <w:lang w:val="en"/>
        </w:rPr>
        <w:t>alian Bureau of Statistics, 2018</w:t>
      </w:r>
      <w:r w:rsidRPr="00716E73">
        <w:rPr>
          <w:rFonts w:cstheme="minorHAnsi"/>
          <w:sz w:val="18"/>
          <w:szCs w:val="18"/>
          <w:lang w:val="en"/>
        </w:rPr>
        <w:t xml:space="preserve">. </w:t>
      </w:r>
      <w:r>
        <w:rPr>
          <w:rFonts w:cstheme="minorHAnsi"/>
          <w:sz w:val="18"/>
          <w:szCs w:val="18"/>
          <w:lang w:val="en"/>
        </w:rPr>
        <w:t>‘</w:t>
      </w:r>
      <w:r w:rsidRPr="00716E73">
        <w:rPr>
          <w:rFonts w:cstheme="minorHAnsi"/>
          <w:i/>
          <w:sz w:val="18"/>
          <w:szCs w:val="18"/>
          <w:lang w:val="en"/>
        </w:rPr>
        <w:t>National Healt</w:t>
      </w:r>
      <w:r>
        <w:rPr>
          <w:rFonts w:cstheme="minorHAnsi"/>
          <w:i/>
          <w:sz w:val="18"/>
          <w:szCs w:val="18"/>
          <w:lang w:val="en"/>
        </w:rPr>
        <w:t>h Survey: First Results, 2017-18’</w:t>
      </w:r>
      <w:r w:rsidRPr="00716E73">
        <w:rPr>
          <w:rFonts w:cstheme="minorHAnsi"/>
          <w:sz w:val="18"/>
          <w:szCs w:val="18"/>
          <w:lang w:val="en"/>
        </w:rPr>
        <w:t xml:space="preserve">. Available at </w:t>
      </w:r>
      <w:hyperlink r:id="rId129" w:history="1">
        <w:r w:rsidRPr="00716E73">
          <w:rPr>
            <w:rStyle w:val="Hyperlink"/>
            <w:rFonts w:eastAsiaTheme="majorEastAsia" w:cstheme="minorHAnsi"/>
            <w:sz w:val="18"/>
            <w:szCs w:val="18"/>
          </w:rPr>
          <w:t>Australian Bureau of Statistics</w:t>
        </w:r>
      </w:hyperlink>
      <w:r w:rsidRPr="00716E73">
        <w:rPr>
          <w:rStyle w:val="Hyperlink"/>
          <w:rFonts w:eastAsiaTheme="majorEastAsia" w:cstheme="minorHAnsi"/>
          <w:sz w:val="18"/>
          <w:szCs w:val="18"/>
          <w:lang w:val="en"/>
        </w:rPr>
        <w:t xml:space="preserve"> </w:t>
      </w:r>
      <w:r w:rsidRPr="00716E73">
        <w:rPr>
          <w:rFonts w:cstheme="minorHAnsi"/>
          <w:sz w:val="18"/>
          <w:szCs w:val="18"/>
        </w:rPr>
        <w:t>(accessed 9 January 2019).</w:t>
      </w:r>
    </w:p>
  </w:footnote>
  <w:footnote w:id="203">
    <w:p w14:paraId="64A820D4" w14:textId="0DA63042" w:rsidR="00AA37B6" w:rsidRPr="003456D0" w:rsidRDefault="00AA37B6" w:rsidP="001847D7">
      <w:pPr>
        <w:pStyle w:val="FootnoteText"/>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w:t>
      </w:r>
      <w:r w:rsidRPr="00716E73">
        <w:rPr>
          <w:rFonts w:cstheme="minorHAnsi"/>
          <w:sz w:val="18"/>
          <w:szCs w:val="18"/>
          <w:lang w:val="en"/>
        </w:rPr>
        <w:t>Austr</w:t>
      </w:r>
      <w:r>
        <w:rPr>
          <w:rFonts w:cstheme="minorHAnsi"/>
          <w:sz w:val="18"/>
          <w:szCs w:val="18"/>
          <w:lang w:val="en"/>
        </w:rPr>
        <w:t>alian Bureau of Statistics, 2018</w:t>
      </w:r>
      <w:r w:rsidRPr="00716E73">
        <w:rPr>
          <w:rFonts w:cstheme="minorHAnsi"/>
          <w:sz w:val="18"/>
          <w:szCs w:val="18"/>
          <w:lang w:val="en"/>
        </w:rPr>
        <w:t xml:space="preserve">. </w:t>
      </w:r>
      <w:r>
        <w:rPr>
          <w:rFonts w:cstheme="minorHAnsi"/>
          <w:sz w:val="18"/>
          <w:szCs w:val="18"/>
          <w:lang w:val="en"/>
        </w:rPr>
        <w:t>‘</w:t>
      </w:r>
      <w:r w:rsidRPr="00716E73">
        <w:rPr>
          <w:rFonts w:cstheme="minorHAnsi"/>
          <w:i/>
          <w:sz w:val="18"/>
          <w:szCs w:val="18"/>
          <w:lang w:val="en"/>
        </w:rPr>
        <w:t>National Health Survey: First Results, 2017-18</w:t>
      </w:r>
      <w:r>
        <w:rPr>
          <w:rFonts w:cstheme="minorHAnsi"/>
          <w:i/>
          <w:sz w:val="18"/>
          <w:szCs w:val="18"/>
          <w:lang w:val="en"/>
        </w:rPr>
        <w:t>’</w:t>
      </w:r>
      <w:r w:rsidRPr="00716E73">
        <w:rPr>
          <w:rFonts w:cstheme="minorHAnsi"/>
          <w:sz w:val="18"/>
          <w:szCs w:val="18"/>
          <w:lang w:val="en"/>
        </w:rPr>
        <w:t xml:space="preserve">. Available at </w:t>
      </w:r>
      <w:hyperlink r:id="rId130" w:history="1">
        <w:r w:rsidRPr="00716E73">
          <w:rPr>
            <w:rStyle w:val="Hyperlink"/>
            <w:rFonts w:eastAsiaTheme="majorEastAsia" w:cstheme="minorHAnsi"/>
            <w:sz w:val="18"/>
            <w:szCs w:val="18"/>
          </w:rPr>
          <w:t>Australian Bureau of Statistics</w:t>
        </w:r>
      </w:hyperlink>
      <w:r w:rsidRPr="00716E73">
        <w:rPr>
          <w:rStyle w:val="Hyperlink"/>
          <w:rFonts w:eastAsiaTheme="majorEastAsia" w:cstheme="minorHAnsi"/>
          <w:sz w:val="18"/>
          <w:szCs w:val="18"/>
          <w:lang w:val="en"/>
        </w:rPr>
        <w:t xml:space="preserve"> </w:t>
      </w:r>
      <w:r w:rsidRPr="00716E73">
        <w:rPr>
          <w:rFonts w:cstheme="minorHAnsi"/>
          <w:sz w:val="18"/>
          <w:szCs w:val="18"/>
        </w:rPr>
        <w:t>(accessed 9 January 2019).</w:t>
      </w:r>
    </w:p>
  </w:footnote>
  <w:footnote w:id="204">
    <w:p w14:paraId="0B6E1B71" w14:textId="7EC0E200" w:rsidR="00AA37B6" w:rsidRPr="003456D0" w:rsidRDefault="00AA37B6" w:rsidP="001847D7">
      <w:pPr>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Australian Bureau of Statistics, 2014. </w:t>
      </w:r>
      <w:r>
        <w:rPr>
          <w:rFonts w:cstheme="minorHAnsi"/>
          <w:sz w:val="18"/>
          <w:szCs w:val="18"/>
        </w:rPr>
        <w:t>‘</w:t>
      </w:r>
      <w:r w:rsidRPr="009C4897">
        <w:rPr>
          <w:rFonts w:cstheme="minorHAnsi"/>
          <w:i/>
          <w:sz w:val="18"/>
          <w:szCs w:val="18"/>
        </w:rPr>
        <w:t>Australian Aboriginal and Torres Strait Islander Health Survey: Updated Results, 2012–13’</w:t>
      </w:r>
      <w:r>
        <w:rPr>
          <w:rFonts w:cstheme="minorHAnsi"/>
          <w:sz w:val="18"/>
          <w:szCs w:val="18"/>
        </w:rPr>
        <w:t>.</w:t>
      </w:r>
      <w:r w:rsidRPr="003456D0">
        <w:rPr>
          <w:rFonts w:cstheme="minorHAnsi"/>
          <w:sz w:val="18"/>
          <w:szCs w:val="18"/>
        </w:rPr>
        <w:t xml:space="preserve"> Available at: </w:t>
      </w:r>
      <w:hyperlink r:id="rId131" w:history="1">
        <w:r w:rsidRPr="003456D0">
          <w:rPr>
            <w:rStyle w:val="Hyperlink"/>
            <w:rFonts w:eastAsiaTheme="majorEastAsia" w:cstheme="minorHAnsi"/>
            <w:sz w:val="18"/>
            <w:szCs w:val="18"/>
          </w:rPr>
          <w:t>Australian Bureau of Statistics</w:t>
        </w:r>
      </w:hyperlink>
      <w:r w:rsidRPr="003456D0">
        <w:rPr>
          <w:rFonts w:cstheme="minorHAnsi"/>
          <w:sz w:val="18"/>
          <w:szCs w:val="18"/>
        </w:rPr>
        <w:t xml:space="preserve"> (accessed 5 August 2016)</w:t>
      </w:r>
      <w:r>
        <w:rPr>
          <w:rFonts w:cstheme="minorHAnsi"/>
          <w:sz w:val="18"/>
          <w:szCs w:val="18"/>
        </w:rPr>
        <w:t>.</w:t>
      </w:r>
    </w:p>
  </w:footnote>
  <w:footnote w:id="205">
    <w:p w14:paraId="1A1F6BFC" w14:textId="2AB11F92" w:rsidR="00AA37B6" w:rsidRPr="003456D0" w:rsidRDefault="00AA37B6" w:rsidP="001847D7">
      <w:pPr>
        <w:pStyle w:val="FootnoteText"/>
        <w:spacing w:before="0" w:after="0"/>
        <w:rPr>
          <w:rFonts w:cstheme="minorHAnsi"/>
          <w:sz w:val="18"/>
          <w:szCs w:val="18"/>
        </w:rPr>
      </w:pPr>
      <w:r w:rsidRPr="003456D0">
        <w:rPr>
          <w:rStyle w:val="FootnoteReference"/>
          <w:rFonts w:cstheme="minorHAnsi"/>
          <w:sz w:val="18"/>
          <w:szCs w:val="18"/>
        </w:rPr>
        <w:footnoteRef/>
      </w:r>
      <w:r>
        <w:rPr>
          <w:rFonts w:cstheme="minorHAnsi"/>
          <w:sz w:val="18"/>
          <w:szCs w:val="18"/>
        </w:rPr>
        <w:t xml:space="preserve"> Pricew</w:t>
      </w:r>
      <w:r w:rsidRPr="003456D0">
        <w:rPr>
          <w:rFonts w:cstheme="minorHAnsi"/>
          <w:sz w:val="18"/>
          <w:szCs w:val="18"/>
        </w:rPr>
        <w:t>aterhouseCooper</w:t>
      </w:r>
      <w:r>
        <w:rPr>
          <w:rFonts w:cstheme="minorHAnsi"/>
          <w:sz w:val="18"/>
          <w:szCs w:val="18"/>
        </w:rPr>
        <w:t>s</w:t>
      </w:r>
      <w:r w:rsidRPr="003456D0">
        <w:rPr>
          <w:rFonts w:cstheme="minorHAnsi"/>
          <w:sz w:val="18"/>
          <w:szCs w:val="18"/>
        </w:rPr>
        <w:t>, 2015. ‘</w:t>
      </w:r>
      <w:r w:rsidRPr="009C4897">
        <w:rPr>
          <w:rFonts w:cstheme="minorHAnsi"/>
          <w:i/>
          <w:sz w:val="18"/>
          <w:szCs w:val="18"/>
        </w:rPr>
        <w:t>Weighing the cost of obesity: A case for action’</w:t>
      </w:r>
      <w:r w:rsidRPr="003456D0">
        <w:rPr>
          <w:rFonts w:cstheme="minorHAnsi"/>
          <w:sz w:val="18"/>
          <w:szCs w:val="18"/>
        </w:rPr>
        <w:t xml:space="preserve">. Available at: </w:t>
      </w:r>
      <w:hyperlink r:id="rId132" w:history="1">
        <w:r w:rsidRPr="003456D0">
          <w:rPr>
            <w:rStyle w:val="Hyperlink"/>
            <w:rFonts w:cstheme="minorHAnsi"/>
            <w:sz w:val="18"/>
            <w:szCs w:val="18"/>
          </w:rPr>
          <w:t>PwC</w:t>
        </w:r>
      </w:hyperlink>
      <w:r>
        <w:rPr>
          <w:rFonts w:cstheme="minorHAnsi"/>
          <w:sz w:val="18"/>
          <w:szCs w:val="18"/>
        </w:rPr>
        <w:t xml:space="preserve"> (accessed 3 April 2018).</w:t>
      </w:r>
    </w:p>
  </w:footnote>
  <w:footnote w:id="206">
    <w:p w14:paraId="427E6349" w14:textId="77777777" w:rsidR="00AA37B6" w:rsidRPr="003456D0" w:rsidRDefault="00AA37B6" w:rsidP="001847D7">
      <w:pPr>
        <w:pStyle w:val="FootnoteText"/>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Institute for Health Metrics and Evaluation, 2016. </w:t>
      </w:r>
      <w:r w:rsidRPr="009C4897">
        <w:rPr>
          <w:rFonts w:cstheme="minorHAnsi"/>
          <w:i/>
          <w:sz w:val="18"/>
          <w:szCs w:val="18"/>
        </w:rPr>
        <w:t>‘GBD Compare Viz Hub’</w:t>
      </w:r>
      <w:r w:rsidRPr="003456D0">
        <w:rPr>
          <w:rFonts w:cstheme="minorHAnsi"/>
          <w:sz w:val="18"/>
          <w:szCs w:val="18"/>
        </w:rPr>
        <w:t xml:space="preserve">. Available at: </w:t>
      </w:r>
      <w:hyperlink r:id="rId133" w:history="1">
        <w:r w:rsidRPr="003456D0">
          <w:rPr>
            <w:rStyle w:val="Hyperlink"/>
            <w:rFonts w:cstheme="minorHAnsi"/>
            <w:sz w:val="18"/>
            <w:szCs w:val="18"/>
          </w:rPr>
          <w:t>Institute for Health Metrics and Evaluation</w:t>
        </w:r>
      </w:hyperlink>
      <w:r w:rsidRPr="003456D0">
        <w:rPr>
          <w:rFonts w:cstheme="minorHAnsi"/>
          <w:sz w:val="18"/>
          <w:szCs w:val="18"/>
        </w:rPr>
        <w:t xml:space="preserve"> (accessed 29 March 2018).</w:t>
      </w:r>
    </w:p>
  </w:footnote>
  <w:footnote w:id="207">
    <w:p w14:paraId="05B3BEF7" w14:textId="320DC9ED" w:rsidR="00AA37B6" w:rsidRPr="003456D0" w:rsidRDefault="00AA37B6" w:rsidP="001847D7">
      <w:pPr>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Institute for Health Metrics and Evaluation, 2015. ‘</w:t>
      </w:r>
      <w:r w:rsidRPr="009C4897">
        <w:rPr>
          <w:rFonts w:cstheme="minorHAnsi"/>
          <w:i/>
          <w:sz w:val="18"/>
          <w:szCs w:val="18"/>
        </w:rPr>
        <w:t>GBD Compare Viz Hub’</w:t>
      </w:r>
      <w:r w:rsidRPr="003456D0">
        <w:rPr>
          <w:rFonts w:cstheme="minorHAnsi"/>
          <w:sz w:val="18"/>
          <w:szCs w:val="18"/>
        </w:rPr>
        <w:t>. Available at</w:t>
      </w:r>
      <w:hyperlink r:id="rId134" w:anchor="settings=" w:history="1">
        <w:r w:rsidRPr="003456D0">
          <w:rPr>
            <w:rStyle w:val="Hyperlink"/>
            <w:rFonts w:cstheme="minorHAnsi"/>
            <w:sz w:val="18"/>
            <w:szCs w:val="18"/>
          </w:rPr>
          <w:t xml:space="preserve">: </w:t>
        </w:r>
        <w:r w:rsidRPr="003456D0">
          <w:rPr>
            <w:rStyle w:val="Hyperlink"/>
            <w:rFonts w:eastAsiaTheme="majorEastAsia" w:cstheme="minorHAnsi"/>
            <w:sz w:val="18"/>
            <w:szCs w:val="18"/>
          </w:rPr>
          <w:t>Institute for Health Metrics and Evaluation</w:t>
        </w:r>
      </w:hyperlink>
      <w:r w:rsidRPr="003456D0">
        <w:rPr>
          <w:rFonts w:cstheme="minorHAnsi"/>
          <w:sz w:val="18"/>
          <w:szCs w:val="18"/>
        </w:rPr>
        <w:t xml:space="preserve"> (accessed 29 March 2018)</w:t>
      </w:r>
      <w:r>
        <w:rPr>
          <w:rFonts w:cstheme="minorHAnsi"/>
          <w:sz w:val="18"/>
          <w:szCs w:val="18"/>
        </w:rPr>
        <w:t>.</w:t>
      </w:r>
    </w:p>
  </w:footnote>
  <w:footnote w:id="208">
    <w:p w14:paraId="3B3188BD" w14:textId="77777777" w:rsidR="00AA37B6" w:rsidRPr="002222CC" w:rsidRDefault="00AA37B6" w:rsidP="001847D7">
      <w:pPr>
        <w:spacing w:before="0" w:after="0"/>
        <w:rPr>
          <w:sz w:val="18"/>
          <w:szCs w:val="18"/>
        </w:rPr>
      </w:pPr>
      <w:r w:rsidRPr="003456D0">
        <w:rPr>
          <w:rStyle w:val="FootnoteReference"/>
          <w:rFonts w:cstheme="minorHAnsi"/>
          <w:sz w:val="18"/>
          <w:szCs w:val="18"/>
        </w:rPr>
        <w:footnoteRef/>
      </w:r>
      <w:r w:rsidRPr="003456D0">
        <w:rPr>
          <w:rFonts w:cstheme="minorHAnsi"/>
          <w:sz w:val="18"/>
          <w:szCs w:val="18"/>
        </w:rPr>
        <w:t xml:space="preserve"> New Zealand Health Ministry of Health, 2016. ‘A</w:t>
      </w:r>
      <w:r w:rsidRPr="003456D0">
        <w:rPr>
          <w:rFonts w:cstheme="minorHAnsi"/>
          <w:i/>
          <w:sz w:val="18"/>
          <w:szCs w:val="18"/>
        </w:rPr>
        <w:t>nnual Update of Key Results 2016/17: New Zealand Health Survey</w:t>
      </w:r>
      <w:r w:rsidRPr="003456D0">
        <w:rPr>
          <w:rFonts w:cstheme="minorHAnsi"/>
          <w:sz w:val="18"/>
          <w:szCs w:val="18"/>
        </w:rPr>
        <w:t xml:space="preserve">’. Available at </w:t>
      </w:r>
      <w:hyperlink r:id="rId135" w:history="1">
        <w:r w:rsidRPr="003456D0">
          <w:rPr>
            <w:rStyle w:val="Hyperlink"/>
            <w:rFonts w:eastAsiaTheme="majorEastAsia" w:cstheme="minorHAnsi"/>
            <w:sz w:val="18"/>
            <w:szCs w:val="18"/>
          </w:rPr>
          <w:t>New Zealand Ministry of Health</w:t>
        </w:r>
      </w:hyperlink>
      <w:r w:rsidRPr="003456D0">
        <w:rPr>
          <w:rFonts w:cstheme="minorHAnsi"/>
          <w:sz w:val="18"/>
          <w:szCs w:val="18"/>
        </w:rPr>
        <w:t xml:space="preserve"> (accessed 24 April 2018).</w:t>
      </w:r>
    </w:p>
  </w:footnote>
  <w:footnote w:id="209">
    <w:p w14:paraId="4F9E701B" w14:textId="5A98FFFB" w:rsidR="00AA37B6" w:rsidRPr="003456D0" w:rsidRDefault="00AA37B6" w:rsidP="001847D7">
      <w:pPr>
        <w:pStyle w:val="FootnoteText"/>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New Zealand Health Ministry of Health, 2016. ‘A</w:t>
      </w:r>
      <w:r w:rsidRPr="003456D0">
        <w:rPr>
          <w:rFonts w:cstheme="minorHAnsi"/>
          <w:i/>
          <w:sz w:val="18"/>
          <w:szCs w:val="18"/>
        </w:rPr>
        <w:t>nnual Update of Key Results 2016/17: New Zealand Health Survey</w:t>
      </w:r>
      <w:r w:rsidRPr="003456D0">
        <w:rPr>
          <w:rFonts w:cstheme="minorHAnsi"/>
          <w:sz w:val="18"/>
          <w:szCs w:val="18"/>
        </w:rPr>
        <w:t xml:space="preserve">’. Available at </w:t>
      </w:r>
      <w:hyperlink r:id="rId136" w:history="1">
        <w:r w:rsidRPr="003456D0">
          <w:rPr>
            <w:rStyle w:val="Hyperlink"/>
            <w:rFonts w:eastAsiaTheme="majorEastAsia" w:cstheme="minorHAnsi"/>
            <w:sz w:val="18"/>
            <w:szCs w:val="18"/>
          </w:rPr>
          <w:t>New Zealand Ministry of Health</w:t>
        </w:r>
      </w:hyperlink>
      <w:r w:rsidRPr="003456D0">
        <w:rPr>
          <w:rFonts w:cstheme="minorHAnsi"/>
          <w:sz w:val="18"/>
          <w:szCs w:val="18"/>
        </w:rPr>
        <w:t xml:space="preserve"> (accessed 24 April 2018).</w:t>
      </w:r>
    </w:p>
  </w:footnote>
  <w:footnote w:id="210">
    <w:p w14:paraId="4362C630" w14:textId="045FC54B" w:rsidR="00AA37B6" w:rsidRPr="003456D0" w:rsidRDefault="00AA37B6" w:rsidP="001847D7">
      <w:pPr>
        <w:pStyle w:val="FootnoteText"/>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New Zealand Health Ministry of Health, 2016. ‘</w:t>
      </w:r>
      <w:r w:rsidRPr="003456D0">
        <w:rPr>
          <w:rFonts w:cstheme="minorHAnsi"/>
          <w:i/>
          <w:sz w:val="18"/>
          <w:szCs w:val="18"/>
        </w:rPr>
        <w:t>Annual Update of Key Results 2015/16: New Zealand Health Survey</w:t>
      </w:r>
      <w:r w:rsidRPr="003456D0">
        <w:rPr>
          <w:rFonts w:cstheme="minorHAnsi"/>
          <w:sz w:val="18"/>
          <w:szCs w:val="18"/>
        </w:rPr>
        <w:t xml:space="preserve">’. Available at </w:t>
      </w:r>
      <w:hyperlink r:id="rId137" w:history="1">
        <w:r w:rsidRPr="003456D0">
          <w:rPr>
            <w:rStyle w:val="Hyperlink"/>
            <w:rFonts w:eastAsiaTheme="majorEastAsia" w:cstheme="minorHAnsi"/>
            <w:sz w:val="18"/>
            <w:szCs w:val="18"/>
          </w:rPr>
          <w:t>New Zealand Ministry of Health</w:t>
        </w:r>
      </w:hyperlink>
      <w:r w:rsidRPr="003456D0">
        <w:rPr>
          <w:rFonts w:cstheme="minorHAnsi"/>
          <w:sz w:val="18"/>
          <w:szCs w:val="18"/>
        </w:rPr>
        <w:t xml:space="preserve"> (accessed 14 July 2017).</w:t>
      </w:r>
    </w:p>
  </w:footnote>
  <w:footnote w:id="211">
    <w:p w14:paraId="6A382522" w14:textId="7E4809DB" w:rsidR="00AA37B6" w:rsidRPr="002222CC" w:rsidRDefault="00AA37B6" w:rsidP="001847D7">
      <w:pPr>
        <w:spacing w:before="0" w:after="0"/>
        <w:rPr>
          <w:sz w:val="18"/>
          <w:szCs w:val="18"/>
        </w:rPr>
      </w:pPr>
      <w:r w:rsidRPr="003456D0">
        <w:rPr>
          <w:rStyle w:val="FootnoteReference"/>
          <w:rFonts w:cstheme="minorHAnsi"/>
          <w:sz w:val="18"/>
          <w:szCs w:val="18"/>
        </w:rPr>
        <w:footnoteRef/>
      </w:r>
      <w:r w:rsidRPr="003456D0">
        <w:rPr>
          <w:rFonts w:cstheme="minorHAnsi"/>
          <w:sz w:val="18"/>
          <w:szCs w:val="18"/>
        </w:rPr>
        <w:t xml:space="preserve"> New Zealand Health Ministry of Health, 2016. ‘A</w:t>
      </w:r>
      <w:r w:rsidRPr="003456D0">
        <w:rPr>
          <w:rFonts w:cstheme="minorHAnsi"/>
          <w:i/>
          <w:sz w:val="18"/>
          <w:szCs w:val="18"/>
        </w:rPr>
        <w:t>nnual Update of Key Results 2016/17: New Zealand Health Survey</w:t>
      </w:r>
      <w:r w:rsidRPr="003456D0">
        <w:rPr>
          <w:rFonts w:cstheme="minorHAnsi"/>
          <w:sz w:val="18"/>
          <w:szCs w:val="18"/>
        </w:rPr>
        <w:t xml:space="preserve">’. Available at </w:t>
      </w:r>
      <w:hyperlink r:id="rId138" w:history="1">
        <w:r w:rsidRPr="003456D0">
          <w:rPr>
            <w:rStyle w:val="Hyperlink"/>
            <w:rFonts w:eastAsiaTheme="majorEastAsia" w:cstheme="minorHAnsi"/>
            <w:sz w:val="18"/>
            <w:szCs w:val="18"/>
          </w:rPr>
          <w:t>New Zealand Ministry of Health</w:t>
        </w:r>
      </w:hyperlink>
      <w:r w:rsidRPr="003456D0">
        <w:rPr>
          <w:rFonts w:cstheme="minorHAnsi"/>
          <w:sz w:val="18"/>
          <w:szCs w:val="18"/>
        </w:rPr>
        <w:t xml:space="preserve"> (accessed 24 April 2018).</w:t>
      </w:r>
    </w:p>
  </w:footnote>
  <w:footnote w:id="212">
    <w:p w14:paraId="0ACABCDA" w14:textId="65634EA7" w:rsidR="00AA37B6" w:rsidRPr="003456D0" w:rsidRDefault="00AA37B6" w:rsidP="001847D7">
      <w:pPr>
        <w:pStyle w:val="FootnoteText"/>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Australian Health Policy Collaboration and the Australian Dental Association, 2018. ‘</w:t>
      </w:r>
      <w:r w:rsidRPr="003456D0">
        <w:rPr>
          <w:rFonts w:cstheme="minorHAnsi"/>
          <w:i/>
          <w:sz w:val="18"/>
          <w:szCs w:val="18"/>
        </w:rPr>
        <w:t>Australia’s Oral Health Tracker Technical Paper</w:t>
      </w:r>
      <w:r w:rsidRPr="003456D0">
        <w:rPr>
          <w:rFonts w:cstheme="minorHAnsi"/>
          <w:sz w:val="18"/>
          <w:szCs w:val="18"/>
        </w:rPr>
        <w:t xml:space="preserve">’. Available at: </w:t>
      </w:r>
      <w:hyperlink r:id="rId139" w:history="1">
        <w:r w:rsidRPr="003456D0">
          <w:rPr>
            <w:rStyle w:val="Hyperlink"/>
            <w:rFonts w:cstheme="minorHAnsi"/>
            <w:sz w:val="18"/>
            <w:szCs w:val="18"/>
          </w:rPr>
          <w:t>Oral Health Tracker</w:t>
        </w:r>
      </w:hyperlink>
      <w:r w:rsidRPr="003456D0">
        <w:rPr>
          <w:rFonts w:cstheme="minorHAnsi"/>
          <w:sz w:val="18"/>
          <w:szCs w:val="18"/>
        </w:rPr>
        <w:t xml:space="preserve"> (accessed 3 A</w:t>
      </w:r>
      <w:r>
        <w:rPr>
          <w:rFonts w:cstheme="minorHAnsi"/>
          <w:sz w:val="18"/>
          <w:szCs w:val="18"/>
        </w:rPr>
        <w:t>pril 2018).</w:t>
      </w:r>
    </w:p>
  </w:footnote>
  <w:footnote w:id="213">
    <w:p w14:paraId="0424F80F" w14:textId="2802BDD9" w:rsidR="00AA37B6" w:rsidRPr="003456D0" w:rsidRDefault="00AA37B6" w:rsidP="001847D7">
      <w:pPr>
        <w:spacing w:before="0" w:after="0"/>
        <w:rPr>
          <w:rFonts w:cstheme="minorHAnsi"/>
          <w:color w:val="000000" w:themeColor="text1"/>
          <w:sz w:val="18"/>
          <w:szCs w:val="18"/>
        </w:rPr>
      </w:pPr>
      <w:r w:rsidRPr="003456D0">
        <w:rPr>
          <w:rStyle w:val="FootnoteReference"/>
          <w:rFonts w:cstheme="minorHAnsi"/>
          <w:sz w:val="18"/>
          <w:szCs w:val="18"/>
        </w:rPr>
        <w:footnoteRef/>
      </w:r>
      <w:r w:rsidRPr="003456D0">
        <w:rPr>
          <w:rFonts w:cstheme="minorHAnsi"/>
          <w:sz w:val="18"/>
          <w:szCs w:val="18"/>
        </w:rPr>
        <w:t xml:space="preserve"> Australian Institute of Health and Welfare (AIHW) 2012. ‘</w:t>
      </w:r>
      <w:r w:rsidRPr="003456D0">
        <w:rPr>
          <w:rFonts w:cstheme="minorHAnsi"/>
          <w:i/>
          <w:sz w:val="18"/>
          <w:szCs w:val="18"/>
        </w:rPr>
        <w:t>Child Dental Health Survey Australia 2007 – 30 year trends in child oral health’</w:t>
      </w:r>
      <w:r>
        <w:rPr>
          <w:rFonts w:cstheme="minorHAnsi"/>
          <w:sz w:val="18"/>
          <w:szCs w:val="18"/>
        </w:rPr>
        <w:t xml:space="preserve">. </w:t>
      </w:r>
      <w:r w:rsidRPr="003456D0">
        <w:rPr>
          <w:rFonts w:cstheme="minorHAnsi"/>
          <w:sz w:val="18"/>
          <w:szCs w:val="18"/>
        </w:rPr>
        <w:t xml:space="preserve">Available at </w:t>
      </w:r>
      <w:hyperlink r:id="rId140" w:history="1">
        <w:r w:rsidRPr="003456D0">
          <w:rPr>
            <w:rStyle w:val="Hyperlink"/>
            <w:rFonts w:eastAsiaTheme="majorEastAsia" w:cstheme="minorHAnsi"/>
            <w:sz w:val="18"/>
            <w:szCs w:val="18"/>
          </w:rPr>
          <w:t>Australian Institute of Health and Welfare</w:t>
        </w:r>
      </w:hyperlink>
      <w:r w:rsidRPr="003456D0">
        <w:rPr>
          <w:rFonts w:cstheme="minorHAnsi"/>
          <w:sz w:val="18"/>
          <w:szCs w:val="18"/>
        </w:rPr>
        <w:t xml:space="preserve"> (accessed 22 August </w:t>
      </w:r>
      <w:r w:rsidRPr="003456D0">
        <w:rPr>
          <w:rFonts w:cstheme="minorHAnsi"/>
          <w:color w:val="000000" w:themeColor="text1"/>
          <w:sz w:val="18"/>
          <w:szCs w:val="18"/>
        </w:rPr>
        <w:t>2016).</w:t>
      </w:r>
    </w:p>
  </w:footnote>
  <w:footnote w:id="214">
    <w:p w14:paraId="0D985C3E" w14:textId="38BCD49F" w:rsidR="00AA37B6" w:rsidRPr="001847D7" w:rsidRDefault="00AA37B6" w:rsidP="001847D7">
      <w:pPr>
        <w:spacing w:before="0" w:after="0"/>
        <w:rPr>
          <w:color w:val="000000" w:themeColor="text1"/>
          <w:kern w:val="36"/>
          <w:sz w:val="18"/>
          <w:szCs w:val="18"/>
        </w:rPr>
      </w:pPr>
      <w:r w:rsidRPr="001847D7">
        <w:rPr>
          <w:rStyle w:val="FootnoteReference"/>
          <w:rFonts w:cstheme="minorHAnsi"/>
          <w:color w:val="000000" w:themeColor="text1"/>
          <w:sz w:val="18"/>
          <w:szCs w:val="18"/>
        </w:rPr>
        <w:footnoteRef/>
      </w:r>
      <w:r w:rsidRPr="001847D7">
        <w:rPr>
          <w:color w:val="000000" w:themeColor="text1"/>
          <w:sz w:val="18"/>
          <w:szCs w:val="18"/>
        </w:rPr>
        <w:t xml:space="preserve"> Australian Institute of Health and Welfare 2015, ‘</w:t>
      </w:r>
      <w:r w:rsidRPr="001847D7">
        <w:rPr>
          <w:i/>
          <w:color w:val="000000" w:themeColor="text1"/>
          <w:kern w:val="36"/>
          <w:sz w:val="18"/>
          <w:szCs w:val="18"/>
        </w:rPr>
        <w:t xml:space="preserve">Oral health and dental care in Australia 2015’. </w:t>
      </w:r>
      <w:r w:rsidRPr="001847D7">
        <w:rPr>
          <w:color w:val="000000" w:themeColor="text1"/>
          <w:kern w:val="36"/>
          <w:sz w:val="18"/>
          <w:szCs w:val="18"/>
        </w:rPr>
        <w:t xml:space="preserve">Available at: </w:t>
      </w:r>
      <w:hyperlink r:id="rId141" w:history="1">
        <w:r w:rsidRPr="001847D7">
          <w:rPr>
            <w:rStyle w:val="Hyperlink"/>
            <w:rFonts w:cstheme="minorHAnsi"/>
            <w:sz w:val="18"/>
            <w:szCs w:val="18"/>
          </w:rPr>
          <w:t>Oral health and dental care in Australia</w:t>
        </w:r>
      </w:hyperlink>
      <w:r w:rsidRPr="001847D7">
        <w:rPr>
          <w:color w:val="000000" w:themeColor="text1"/>
          <w:kern w:val="36"/>
          <w:sz w:val="18"/>
          <w:szCs w:val="18"/>
        </w:rPr>
        <w:t xml:space="preserve"> (accessed 3 May 2018).</w:t>
      </w:r>
    </w:p>
  </w:footnote>
  <w:footnote w:id="215">
    <w:p w14:paraId="62852A2B" w14:textId="77777777" w:rsidR="00AA37B6" w:rsidRPr="003456D0" w:rsidRDefault="00AA37B6" w:rsidP="001847D7">
      <w:pPr>
        <w:pStyle w:val="FootnoteText"/>
        <w:spacing w:before="0" w:after="0"/>
        <w:rPr>
          <w:rFonts w:cstheme="minorHAnsi"/>
          <w:sz w:val="18"/>
          <w:szCs w:val="18"/>
        </w:rPr>
      </w:pPr>
      <w:r w:rsidRPr="003456D0">
        <w:rPr>
          <w:rStyle w:val="FootnoteReference"/>
          <w:rFonts w:cstheme="minorHAnsi"/>
          <w:color w:val="000000" w:themeColor="text1"/>
          <w:sz w:val="18"/>
          <w:szCs w:val="18"/>
        </w:rPr>
        <w:footnoteRef/>
      </w:r>
      <w:r w:rsidRPr="003456D0">
        <w:rPr>
          <w:rFonts w:cstheme="minorHAnsi"/>
          <w:color w:val="000000" w:themeColor="text1"/>
          <w:sz w:val="18"/>
          <w:szCs w:val="18"/>
        </w:rPr>
        <w:t xml:space="preserve"> Australian Health Policy Collaboration and the Australian Dental Association</w:t>
      </w:r>
      <w:r w:rsidRPr="003456D0">
        <w:rPr>
          <w:rFonts w:cstheme="minorHAnsi"/>
          <w:sz w:val="18"/>
          <w:szCs w:val="18"/>
        </w:rPr>
        <w:t>, 2018. ‘</w:t>
      </w:r>
      <w:r w:rsidRPr="003456D0">
        <w:rPr>
          <w:rFonts w:cstheme="minorHAnsi"/>
          <w:i/>
          <w:sz w:val="18"/>
          <w:szCs w:val="18"/>
        </w:rPr>
        <w:t>Australia’s Oral Health Tracker Technical Paper</w:t>
      </w:r>
      <w:r w:rsidRPr="003456D0">
        <w:rPr>
          <w:rFonts w:cstheme="minorHAnsi"/>
          <w:sz w:val="18"/>
          <w:szCs w:val="18"/>
        </w:rPr>
        <w:t xml:space="preserve">’. Available at: </w:t>
      </w:r>
      <w:hyperlink r:id="rId142" w:history="1">
        <w:r w:rsidRPr="003456D0">
          <w:rPr>
            <w:rStyle w:val="Hyperlink"/>
            <w:rFonts w:cstheme="minorHAnsi"/>
            <w:sz w:val="18"/>
            <w:szCs w:val="18"/>
          </w:rPr>
          <w:t>Oral Health Tracker</w:t>
        </w:r>
      </w:hyperlink>
      <w:r w:rsidRPr="003456D0">
        <w:rPr>
          <w:rFonts w:cstheme="minorHAnsi"/>
          <w:sz w:val="18"/>
          <w:szCs w:val="18"/>
        </w:rPr>
        <w:t xml:space="preserve"> (accessed 3 April 2018).</w:t>
      </w:r>
    </w:p>
  </w:footnote>
  <w:footnote w:id="216">
    <w:p w14:paraId="29AFA54A" w14:textId="3B6624C7" w:rsidR="00AA37B6" w:rsidRPr="003456D0" w:rsidRDefault="00AA37B6" w:rsidP="001847D7">
      <w:pPr>
        <w:pStyle w:val="FootnoteText"/>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National Advisory Council on Dental Health 2012</w:t>
      </w:r>
      <w:r w:rsidRPr="003456D0">
        <w:rPr>
          <w:rFonts w:cstheme="minorHAnsi"/>
          <w:i/>
          <w:sz w:val="18"/>
          <w:szCs w:val="18"/>
        </w:rPr>
        <w:t>. ‘Report of the National Advisory Council on Dental Health’</w:t>
      </w:r>
      <w:r w:rsidRPr="003456D0">
        <w:rPr>
          <w:rFonts w:cstheme="minorHAnsi"/>
          <w:sz w:val="18"/>
          <w:szCs w:val="18"/>
        </w:rPr>
        <w:t xml:space="preserve">, available at: </w:t>
      </w:r>
      <w:hyperlink r:id="rId143" w:history="1">
        <w:r w:rsidRPr="003456D0">
          <w:rPr>
            <w:rStyle w:val="Hyperlink"/>
            <w:rFonts w:cstheme="minorHAnsi"/>
            <w:sz w:val="18"/>
            <w:szCs w:val="18"/>
          </w:rPr>
          <w:t>Department of Health website</w:t>
        </w:r>
      </w:hyperlink>
      <w:r w:rsidRPr="003456D0">
        <w:rPr>
          <w:rFonts w:cstheme="minorHAnsi"/>
          <w:sz w:val="18"/>
          <w:szCs w:val="18"/>
        </w:rPr>
        <w:t xml:space="preserve"> (accessed 29 March 2018)</w:t>
      </w:r>
    </w:p>
  </w:footnote>
  <w:footnote w:id="217">
    <w:p w14:paraId="5264D06A" w14:textId="77777777" w:rsidR="00AA37B6" w:rsidRPr="003456D0" w:rsidRDefault="00AA37B6" w:rsidP="001847D7">
      <w:pPr>
        <w:pStyle w:val="FootnoteText"/>
        <w:spacing w:before="0" w:after="0"/>
        <w:rPr>
          <w:rFonts w:cstheme="minorHAnsi"/>
          <w:sz w:val="18"/>
          <w:szCs w:val="18"/>
        </w:rPr>
      </w:pPr>
      <w:r w:rsidRPr="003456D0">
        <w:rPr>
          <w:rStyle w:val="FootnoteReference"/>
          <w:rFonts w:cstheme="minorHAnsi"/>
          <w:sz w:val="18"/>
          <w:szCs w:val="18"/>
        </w:rPr>
        <w:footnoteRef/>
      </w:r>
      <w:r w:rsidRPr="003456D0">
        <w:rPr>
          <w:rFonts w:cstheme="minorHAnsi"/>
          <w:sz w:val="18"/>
          <w:szCs w:val="18"/>
        </w:rPr>
        <w:t xml:space="preserve"> Australian Health Policy Collaboration and the Australian Dental Association, 2018. ‘</w:t>
      </w:r>
      <w:r w:rsidRPr="003456D0">
        <w:rPr>
          <w:rFonts w:cstheme="minorHAnsi"/>
          <w:i/>
          <w:sz w:val="18"/>
          <w:szCs w:val="18"/>
        </w:rPr>
        <w:t>Australia’s Oral Health Tracker Technical Paper</w:t>
      </w:r>
      <w:r w:rsidRPr="003456D0">
        <w:rPr>
          <w:rFonts w:cstheme="minorHAnsi"/>
          <w:sz w:val="18"/>
          <w:szCs w:val="18"/>
        </w:rPr>
        <w:t xml:space="preserve">’. Available at: </w:t>
      </w:r>
      <w:hyperlink r:id="rId144" w:history="1">
        <w:r w:rsidRPr="003456D0">
          <w:rPr>
            <w:rStyle w:val="Hyperlink"/>
            <w:rFonts w:cstheme="minorHAnsi"/>
            <w:sz w:val="18"/>
            <w:szCs w:val="18"/>
          </w:rPr>
          <w:t>Oral Health Tracker</w:t>
        </w:r>
      </w:hyperlink>
      <w:r w:rsidRPr="003456D0">
        <w:rPr>
          <w:rFonts w:cstheme="minorHAnsi"/>
          <w:sz w:val="18"/>
          <w:szCs w:val="18"/>
        </w:rPr>
        <w:t xml:space="preserve"> (accessed 3 April 2018).</w:t>
      </w:r>
    </w:p>
  </w:footnote>
  <w:footnote w:id="218">
    <w:p w14:paraId="009C45C2" w14:textId="77777777" w:rsidR="00AA37B6" w:rsidRPr="004A0374" w:rsidRDefault="00AA37B6" w:rsidP="001847D7">
      <w:pPr>
        <w:pStyle w:val="FootnoteText"/>
        <w:spacing w:before="0" w:after="0"/>
        <w:rPr>
          <w:sz w:val="18"/>
          <w:szCs w:val="18"/>
        </w:rPr>
      </w:pPr>
      <w:r w:rsidRPr="003456D0">
        <w:rPr>
          <w:rStyle w:val="FootnoteReference"/>
          <w:rFonts w:cstheme="minorHAnsi"/>
          <w:sz w:val="18"/>
          <w:szCs w:val="18"/>
        </w:rPr>
        <w:footnoteRef/>
      </w:r>
      <w:r w:rsidRPr="003456D0">
        <w:rPr>
          <w:rFonts w:cstheme="minorHAnsi"/>
          <w:sz w:val="18"/>
          <w:szCs w:val="18"/>
        </w:rPr>
        <w:t xml:space="preserve"> Ministry of Health, 2010. ‘</w:t>
      </w:r>
      <w:r w:rsidRPr="003456D0">
        <w:rPr>
          <w:rFonts w:cstheme="minorHAnsi"/>
          <w:i/>
          <w:sz w:val="18"/>
          <w:szCs w:val="18"/>
        </w:rPr>
        <w:t>Our Oral health: Key findings of the 2009 New Zealand Oral Health Survey’</w:t>
      </w:r>
      <w:r w:rsidRPr="003456D0">
        <w:rPr>
          <w:rFonts w:cstheme="minorHAnsi"/>
          <w:sz w:val="18"/>
          <w:szCs w:val="18"/>
        </w:rPr>
        <w:t xml:space="preserve">. Available at </w:t>
      </w:r>
      <w:hyperlink r:id="rId145" w:history="1">
        <w:r w:rsidRPr="003456D0">
          <w:rPr>
            <w:rStyle w:val="Hyperlink"/>
            <w:rFonts w:cstheme="minorHAnsi"/>
            <w:sz w:val="18"/>
            <w:szCs w:val="18"/>
          </w:rPr>
          <w:t>New Zealand Ministry of Health</w:t>
        </w:r>
      </w:hyperlink>
      <w:r w:rsidRPr="003456D0">
        <w:rPr>
          <w:rFonts w:cstheme="minorHAnsi"/>
          <w:sz w:val="18"/>
          <w:szCs w:val="18"/>
        </w:rPr>
        <w:t xml:space="preserve"> (accessed 23 August 2016).</w:t>
      </w:r>
    </w:p>
  </w:footnote>
  <w:footnote w:id="219">
    <w:p w14:paraId="1DDC372C" w14:textId="12A65027" w:rsidR="00AA37B6" w:rsidRPr="008175C1" w:rsidRDefault="00AA37B6" w:rsidP="001847D7">
      <w:pPr>
        <w:pStyle w:val="FootnoteText"/>
        <w:spacing w:before="0" w:after="0"/>
        <w:rPr>
          <w:rFonts w:cstheme="minorHAnsi"/>
          <w:sz w:val="18"/>
          <w:szCs w:val="18"/>
          <w:highlight w:val="green"/>
        </w:rPr>
      </w:pPr>
      <w:r w:rsidRPr="008175C1">
        <w:rPr>
          <w:rStyle w:val="FootnoteReference"/>
          <w:rFonts w:cstheme="minorHAnsi"/>
          <w:sz w:val="18"/>
          <w:szCs w:val="18"/>
        </w:rPr>
        <w:footnoteRef/>
      </w:r>
      <w:r w:rsidRPr="008175C1">
        <w:rPr>
          <w:rFonts w:cstheme="minorHAnsi"/>
          <w:sz w:val="18"/>
          <w:szCs w:val="18"/>
        </w:rPr>
        <w:t xml:space="preserve"> Roy Morgan Research, 2016. </w:t>
      </w:r>
      <w:r w:rsidRPr="008175C1">
        <w:rPr>
          <w:rFonts w:cstheme="minorHAnsi"/>
          <w:i/>
          <w:sz w:val="18"/>
          <w:szCs w:val="18"/>
        </w:rPr>
        <w:t>‘Dairy Monitor Wave 12 Report, 2017. Dairy Australia Community Tracking’</w:t>
      </w:r>
      <w:r>
        <w:rPr>
          <w:rFonts w:cstheme="minorHAnsi"/>
          <w:sz w:val="18"/>
          <w:szCs w:val="18"/>
        </w:rPr>
        <w:t>.</w:t>
      </w:r>
    </w:p>
  </w:footnote>
  <w:footnote w:id="220">
    <w:p w14:paraId="243D49AF" w14:textId="109D9139" w:rsidR="00AA37B6" w:rsidRPr="008175C1" w:rsidRDefault="00AA37B6" w:rsidP="001847D7">
      <w:pPr>
        <w:pStyle w:val="FootnoteText"/>
        <w:spacing w:before="0" w:after="0"/>
        <w:rPr>
          <w:rFonts w:cstheme="minorHAnsi"/>
          <w:sz w:val="18"/>
          <w:szCs w:val="18"/>
          <w:highlight w:val="green"/>
        </w:rPr>
      </w:pPr>
      <w:r w:rsidRPr="008175C1">
        <w:rPr>
          <w:rStyle w:val="FootnoteReference"/>
          <w:rFonts w:cstheme="minorHAnsi"/>
          <w:sz w:val="18"/>
          <w:szCs w:val="18"/>
        </w:rPr>
        <w:footnoteRef/>
      </w:r>
      <w:r>
        <w:rPr>
          <w:rFonts w:cstheme="minorHAnsi"/>
          <w:sz w:val="18"/>
          <w:szCs w:val="18"/>
        </w:rPr>
        <w:t xml:space="preserve"> Menigoz, K., et al</w:t>
      </w:r>
      <w:r w:rsidRPr="008175C1">
        <w:rPr>
          <w:rFonts w:cstheme="minorHAnsi"/>
          <w:sz w:val="18"/>
          <w:szCs w:val="18"/>
        </w:rPr>
        <w:t xml:space="preserve">, 2016. ‘Ethnic differences in overweight and obesity and the influence of acculturation on immigrant bodyweight: evidence from a national sample of Australian adults’. </w:t>
      </w:r>
      <w:r w:rsidRPr="008175C1">
        <w:rPr>
          <w:rFonts w:cstheme="minorHAnsi"/>
          <w:i/>
          <w:iCs/>
          <w:sz w:val="18"/>
          <w:szCs w:val="18"/>
        </w:rPr>
        <w:t>BMC public health,</w:t>
      </w:r>
      <w:r>
        <w:rPr>
          <w:rFonts w:cstheme="minorHAnsi"/>
          <w:sz w:val="18"/>
          <w:szCs w:val="18"/>
        </w:rPr>
        <w:t xml:space="preserve"> 16(1): p</w:t>
      </w:r>
      <w:r w:rsidRPr="008175C1">
        <w:rPr>
          <w:rFonts w:cstheme="minorHAnsi"/>
          <w:sz w:val="18"/>
          <w:szCs w:val="18"/>
        </w:rPr>
        <w:t>932.</w:t>
      </w:r>
    </w:p>
  </w:footnote>
  <w:footnote w:id="221">
    <w:p w14:paraId="5E4088FA" w14:textId="7C7309F7" w:rsidR="00AA37B6" w:rsidRPr="008175C1" w:rsidRDefault="00AA37B6" w:rsidP="001847D7">
      <w:pPr>
        <w:spacing w:before="0" w:after="0" w:line="256" w:lineRule="auto"/>
        <w:rPr>
          <w:rFonts w:cstheme="minorHAnsi"/>
          <w:sz w:val="18"/>
          <w:szCs w:val="18"/>
          <w:lang w:val="en"/>
        </w:rPr>
      </w:pPr>
      <w:r w:rsidRPr="008175C1">
        <w:rPr>
          <w:rFonts w:cstheme="minorHAnsi"/>
          <w:sz w:val="18"/>
          <w:szCs w:val="18"/>
          <w:vertAlign w:val="superscript"/>
          <w:lang w:val="en"/>
        </w:rPr>
        <w:footnoteRef/>
      </w:r>
      <w:r w:rsidRPr="008175C1">
        <w:rPr>
          <w:rFonts w:cstheme="minorHAnsi"/>
          <w:sz w:val="18"/>
          <w:szCs w:val="18"/>
          <w:vertAlign w:val="superscript"/>
          <w:lang w:val="en"/>
        </w:rPr>
        <w:t xml:space="preserve"> </w:t>
      </w:r>
      <w:r w:rsidRPr="008175C1">
        <w:rPr>
          <w:rFonts w:cstheme="minorHAnsi"/>
          <w:sz w:val="18"/>
          <w:szCs w:val="18"/>
        </w:rPr>
        <w:t>Ministry of Health, 2015. ‘</w:t>
      </w:r>
      <w:r w:rsidRPr="008175C1">
        <w:rPr>
          <w:rFonts w:cstheme="minorHAnsi"/>
          <w:i/>
          <w:sz w:val="18"/>
          <w:szCs w:val="18"/>
        </w:rPr>
        <w:t>Eating and Activity Guidelines for New Zealand Adults’</w:t>
      </w:r>
      <w:r>
        <w:rPr>
          <w:rFonts w:cstheme="minorHAnsi"/>
          <w:sz w:val="18"/>
          <w:szCs w:val="18"/>
        </w:rPr>
        <w:t>.</w:t>
      </w:r>
      <w:r w:rsidRPr="008175C1">
        <w:rPr>
          <w:rFonts w:cstheme="minorHAnsi"/>
          <w:sz w:val="18"/>
          <w:szCs w:val="18"/>
        </w:rPr>
        <w:t xml:space="preserve"> Wellington: Ministry of Health. Available at: </w:t>
      </w:r>
      <w:hyperlink r:id="rId146" w:history="1">
        <w:r w:rsidRPr="008175C1">
          <w:rPr>
            <w:rStyle w:val="Hyperlink"/>
            <w:rFonts w:cstheme="minorHAnsi"/>
            <w:sz w:val="18"/>
            <w:szCs w:val="18"/>
          </w:rPr>
          <w:t>Eating and Activity Guidelines for New Zealand Adults</w:t>
        </w:r>
      </w:hyperlink>
      <w:r w:rsidRPr="008175C1">
        <w:rPr>
          <w:rFonts w:cstheme="minorHAnsi"/>
          <w:sz w:val="18"/>
          <w:szCs w:val="18"/>
        </w:rPr>
        <w:t xml:space="preserve"> (accessed 24 June 2016).</w:t>
      </w:r>
    </w:p>
  </w:footnote>
  <w:footnote w:id="222">
    <w:p w14:paraId="137F44A0" w14:textId="77777777" w:rsidR="00AA37B6" w:rsidRPr="008175C1" w:rsidRDefault="00AA37B6" w:rsidP="001847D7">
      <w:pPr>
        <w:spacing w:before="0" w:after="0"/>
        <w:rPr>
          <w:rFonts w:cstheme="minorHAnsi"/>
          <w:sz w:val="18"/>
          <w:szCs w:val="18"/>
          <w:lang w:val="en"/>
        </w:rPr>
      </w:pPr>
      <w:r w:rsidRPr="008175C1">
        <w:rPr>
          <w:rFonts w:cstheme="minorHAnsi"/>
          <w:sz w:val="18"/>
          <w:szCs w:val="18"/>
          <w:vertAlign w:val="superscript"/>
          <w:lang w:val="en"/>
        </w:rPr>
        <w:footnoteRef/>
      </w:r>
      <w:r w:rsidRPr="008175C1">
        <w:rPr>
          <w:rFonts w:cstheme="minorHAnsi"/>
          <w:sz w:val="18"/>
          <w:szCs w:val="18"/>
          <w:vertAlign w:val="superscript"/>
          <w:lang w:val="en"/>
        </w:rPr>
        <w:t xml:space="preserve"> </w:t>
      </w:r>
      <w:r w:rsidRPr="008175C1">
        <w:rPr>
          <w:rFonts w:cstheme="minorHAnsi"/>
          <w:sz w:val="18"/>
          <w:szCs w:val="18"/>
          <w:lang w:val="en"/>
        </w:rPr>
        <w:t>Government includes state and territory Governments in Australia, New Zealand Government Ministries and New Zealand local Government agencies.</w:t>
      </w:r>
    </w:p>
  </w:footnote>
  <w:footnote w:id="223">
    <w:p w14:paraId="14787BFA" w14:textId="10D15628" w:rsidR="00AA37B6" w:rsidRPr="00166D40" w:rsidRDefault="00AA37B6" w:rsidP="001847D7">
      <w:pPr>
        <w:pStyle w:val="FootnoteText"/>
        <w:spacing w:before="0" w:after="0"/>
        <w:rPr>
          <w:rFonts w:asciiTheme="majorHAnsi" w:hAnsiTheme="majorHAnsi" w:cstheme="majorHAnsi"/>
          <w:sz w:val="18"/>
          <w:szCs w:val="18"/>
        </w:rPr>
      </w:pPr>
      <w:r w:rsidRPr="008175C1">
        <w:rPr>
          <w:rFonts w:cstheme="minorHAnsi"/>
          <w:sz w:val="18"/>
          <w:szCs w:val="18"/>
          <w:vertAlign w:val="superscript"/>
        </w:rPr>
        <w:footnoteRef/>
      </w:r>
      <w:r w:rsidRPr="008175C1">
        <w:rPr>
          <w:rFonts w:cstheme="minorHAnsi"/>
          <w:sz w:val="18"/>
          <w:szCs w:val="18"/>
        </w:rPr>
        <w:t xml:space="preserve"> He, F.J., Brinsden, H., MacGregor, G.</w:t>
      </w:r>
      <w:r>
        <w:rPr>
          <w:rFonts w:cstheme="minorHAnsi"/>
          <w:sz w:val="18"/>
          <w:szCs w:val="18"/>
        </w:rPr>
        <w:t>,</w:t>
      </w:r>
      <w:r w:rsidRPr="008175C1">
        <w:rPr>
          <w:rFonts w:cstheme="minorHAnsi"/>
          <w:sz w:val="18"/>
          <w:szCs w:val="18"/>
        </w:rPr>
        <w:t xml:space="preserve"> 2014. ‘Salt reduction in the United Kingdom: a successful experiment in public health’. </w:t>
      </w:r>
      <w:r w:rsidRPr="008175C1">
        <w:rPr>
          <w:rFonts w:cstheme="minorHAnsi"/>
          <w:i/>
          <w:sz w:val="18"/>
          <w:szCs w:val="18"/>
        </w:rPr>
        <w:t>Journal of Human Hypertension</w:t>
      </w:r>
      <w:r w:rsidRPr="008175C1">
        <w:rPr>
          <w:rFonts w:cstheme="minorHAnsi"/>
          <w:sz w:val="18"/>
          <w:szCs w:val="18"/>
        </w:rPr>
        <w:t>, 28: p345-352.</w:t>
      </w:r>
    </w:p>
  </w:footnote>
  <w:footnote w:id="224">
    <w:p w14:paraId="4BC50D51" w14:textId="245E3CD3" w:rsidR="00AA37B6" w:rsidRPr="00246FBF" w:rsidRDefault="00AA37B6" w:rsidP="001847D7">
      <w:pPr>
        <w:spacing w:before="0" w:after="0"/>
        <w:rPr>
          <w:rFonts w:cstheme="minorHAnsi"/>
          <w:sz w:val="18"/>
          <w:szCs w:val="18"/>
        </w:rPr>
      </w:pPr>
      <w:r w:rsidRPr="00246FBF">
        <w:rPr>
          <w:rFonts w:cstheme="minorHAnsi"/>
          <w:sz w:val="18"/>
          <w:szCs w:val="18"/>
          <w:vertAlign w:val="superscript"/>
        </w:rPr>
        <w:footnoteRef/>
      </w:r>
      <w:r w:rsidRPr="00246FBF">
        <w:rPr>
          <w:rFonts w:cstheme="minorHAnsi"/>
          <w:sz w:val="18"/>
          <w:szCs w:val="18"/>
          <w:vertAlign w:val="superscript"/>
        </w:rPr>
        <w:t xml:space="preserve"> </w:t>
      </w:r>
      <w:r w:rsidRPr="00246FBF">
        <w:rPr>
          <w:rFonts w:cstheme="minorHAnsi"/>
          <w:sz w:val="18"/>
          <w:szCs w:val="18"/>
        </w:rPr>
        <w:t>Brug, J</w:t>
      </w:r>
      <w:r>
        <w:rPr>
          <w:rFonts w:cstheme="minorHAnsi"/>
          <w:sz w:val="18"/>
          <w:szCs w:val="18"/>
        </w:rPr>
        <w:t>.</w:t>
      </w:r>
      <w:r w:rsidRPr="00246FBF">
        <w:rPr>
          <w:rFonts w:cstheme="minorHAnsi"/>
          <w:sz w:val="18"/>
          <w:szCs w:val="18"/>
        </w:rPr>
        <w:t xml:space="preserve">, 2008. ‘Determinants of healthy eating: motivation, abilities and environmental opportunities’. </w:t>
      </w:r>
      <w:r w:rsidRPr="00246FBF">
        <w:rPr>
          <w:rFonts w:cstheme="minorHAnsi"/>
          <w:i/>
          <w:sz w:val="18"/>
          <w:szCs w:val="18"/>
        </w:rPr>
        <w:t>Family Practice</w:t>
      </w:r>
      <w:r w:rsidRPr="00246FBF">
        <w:rPr>
          <w:rFonts w:cstheme="minorHAnsi"/>
          <w:sz w:val="18"/>
          <w:szCs w:val="18"/>
        </w:rPr>
        <w:t>, 25: pi50-i55.</w:t>
      </w:r>
    </w:p>
  </w:footnote>
  <w:footnote w:id="225">
    <w:p w14:paraId="619CAB79" w14:textId="5653CEC6" w:rsidR="00AA37B6" w:rsidRPr="00246FBF" w:rsidRDefault="00AA37B6" w:rsidP="001847D7">
      <w:pPr>
        <w:spacing w:before="0" w:after="0"/>
        <w:rPr>
          <w:rFonts w:cstheme="minorHAnsi"/>
          <w:sz w:val="18"/>
          <w:szCs w:val="18"/>
        </w:rPr>
      </w:pPr>
      <w:r w:rsidRPr="00246FBF">
        <w:rPr>
          <w:rFonts w:cstheme="minorHAnsi"/>
          <w:sz w:val="18"/>
          <w:szCs w:val="18"/>
          <w:vertAlign w:val="superscript"/>
        </w:rPr>
        <w:footnoteRef/>
      </w:r>
      <w:r w:rsidRPr="00246FBF">
        <w:rPr>
          <w:rFonts w:cstheme="minorHAnsi"/>
          <w:sz w:val="18"/>
          <w:szCs w:val="18"/>
          <w:vertAlign w:val="superscript"/>
        </w:rPr>
        <w:t xml:space="preserve"> </w:t>
      </w:r>
      <w:r w:rsidRPr="00246FBF">
        <w:rPr>
          <w:rFonts w:cstheme="minorHAnsi"/>
          <w:sz w:val="18"/>
          <w:szCs w:val="18"/>
        </w:rPr>
        <w:t>Wang, C.Y</w:t>
      </w:r>
      <w:r>
        <w:rPr>
          <w:rFonts w:cstheme="minorHAnsi"/>
          <w:sz w:val="18"/>
          <w:szCs w:val="18"/>
        </w:rPr>
        <w:t>.</w:t>
      </w:r>
      <w:r w:rsidRPr="00246FBF">
        <w:rPr>
          <w:rFonts w:cstheme="minorHAnsi"/>
          <w:sz w:val="18"/>
          <w:szCs w:val="18"/>
        </w:rPr>
        <w:t xml:space="preserve">, et al, 2011. ‘Health and economic burden of the projected obesity trends in the USA and the UK’. </w:t>
      </w:r>
      <w:r w:rsidRPr="00246FBF">
        <w:rPr>
          <w:rFonts w:cstheme="minorHAnsi"/>
          <w:i/>
          <w:sz w:val="18"/>
          <w:szCs w:val="18"/>
        </w:rPr>
        <w:t>The Lancet</w:t>
      </w:r>
      <w:r w:rsidRPr="00246FBF">
        <w:rPr>
          <w:rFonts w:cstheme="minorHAnsi"/>
          <w:sz w:val="18"/>
          <w:szCs w:val="18"/>
        </w:rPr>
        <w:t>, 378(9793): p815-825.</w:t>
      </w:r>
    </w:p>
  </w:footnote>
  <w:footnote w:id="226">
    <w:p w14:paraId="526B32FF" w14:textId="51B3EBBD" w:rsidR="00AA37B6" w:rsidRPr="0087386E" w:rsidRDefault="00AA37B6" w:rsidP="001847D7">
      <w:pPr>
        <w:spacing w:before="0" w:after="0"/>
        <w:rPr>
          <w:sz w:val="18"/>
          <w:szCs w:val="18"/>
        </w:rPr>
      </w:pPr>
      <w:r w:rsidRPr="00246FBF">
        <w:rPr>
          <w:rFonts w:cstheme="minorHAnsi"/>
          <w:sz w:val="18"/>
          <w:szCs w:val="18"/>
          <w:vertAlign w:val="superscript"/>
        </w:rPr>
        <w:footnoteRef/>
      </w:r>
      <w:r w:rsidRPr="00246FBF">
        <w:rPr>
          <w:rFonts w:cstheme="minorHAnsi"/>
          <w:sz w:val="18"/>
          <w:szCs w:val="18"/>
          <w:vertAlign w:val="superscript"/>
        </w:rPr>
        <w:t xml:space="preserve"> </w:t>
      </w:r>
      <w:r w:rsidRPr="00246FBF">
        <w:rPr>
          <w:rFonts w:cstheme="minorHAnsi"/>
          <w:sz w:val="18"/>
          <w:szCs w:val="18"/>
        </w:rPr>
        <w:t xml:space="preserve">Hossain, P., Kawar, B. &amp; El Nahas, M, 2007. ‘Obesity and Diabetes in the Developing World — A Growing Challenge’. </w:t>
      </w:r>
      <w:r w:rsidRPr="00246FBF">
        <w:rPr>
          <w:rFonts w:cstheme="minorHAnsi"/>
          <w:i/>
          <w:sz w:val="18"/>
          <w:szCs w:val="18"/>
        </w:rPr>
        <w:t>The New England Journal of Medicine</w:t>
      </w:r>
      <w:r w:rsidRPr="00246FBF">
        <w:rPr>
          <w:rFonts w:cstheme="minorHAnsi"/>
          <w:sz w:val="18"/>
          <w:szCs w:val="18"/>
        </w:rPr>
        <w:t>, 356: p213-215.</w:t>
      </w:r>
    </w:p>
  </w:footnote>
  <w:footnote w:id="227">
    <w:p w14:paraId="75904C02" w14:textId="3631499A" w:rsidR="00AA37B6" w:rsidRPr="0087386E" w:rsidRDefault="00AA37B6" w:rsidP="001847D7">
      <w:pPr>
        <w:spacing w:before="0" w:after="0"/>
        <w:rPr>
          <w:sz w:val="18"/>
          <w:szCs w:val="18"/>
        </w:rPr>
      </w:pPr>
      <w:r w:rsidRPr="0087386E">
        <w:rPr>
          <w:sz w:val="18"/>
          <w:szCs w:val="18"/>
          <w:vertAlign w:val="superscript"/>
        </w:rPr>
        <w:footnoteRef/>
      </w:r>
      <w:r w:rsidRPr="0087386E">
        <w:rPr>
          <w:sz w:val="18"/>
          <w:szCs w:val="18"/>
          <w:vertAlign w:val="superscript"/>
        </w:rPr>
        <w:t xml:space="preserve"> </w:t>
      </w:r>
      <w:r w:rsidRPr="0087386E">
        <w:rPr>
          <w:sz w:val="18"/>
          <w:szCs w:val="18"/>
        </w:rPr>
        <w:t>Al-Zahrani,</w:t>
      </w:r>
      <w:r>
        <w:rPr>
          <w:sz w:val="18"/>
          <w:szCs w:val="18"/>
        </w:rPr>
        <w:t xml:space="preserve"> M., Bissada, N. &amp; Borawski, E.,</w:t>
      </w:r>
      <w:r w:rsidRPr="0087386E">
        <w:rPr>
          <w:sz w:val="18"/>
          <w:szCs w:val="18"/>
        </w:rPr>
        <w:t xml:space="preserve"> 2003. ‘Obesity and Periodontal Disease in Young, Middle‐Aged, and Older Adults’. </w:t>
      </w:r>
      <w:r w:rsidRPr="0087386E">
        <w:rPr>
          <w:i/>
          <w:sz w:val="18"/>
          <w:szCs w:val="18"/>
        </w:rPr>
        <w:t>Journal of Periodontology</w:t>
      </w:r>
      <w:r w:rsidRPr="0087386E">
        <w:rPr>
          <w:sz w:val="18"/>
          <w:szCs w:val="18"/>
        </w:rPr>
        <w:t>, 74(5): p610-615</w:t>
      </w:r>
      <w:r>
        <w:rPr>
          <w:sz w:val="18"/>
          <w:szCs w:val="18"/>
        </w:rPr>
        <w:t>.</w:t>
      </w:r>
    </w:p>
  </w:footnote>
  <w:footnote w:id="228">
    <w:p w14:paraId="6D38F518" w14:textId="09EF0A54" w:rsidR="00AA37B6" w:rsidRPr="008175C1" w:rsidRDefault="00AA37B6" w:rsidP="00282CFC">
      <w:pPr>
        <w:spacing w:before="0" w:after="0"/>
        <w:jc w:val="both"/>
        <w:rPr>
          <w:rFonts w:cstheme="minorHAnsi"/>
          <w:sz w:val="18"/>
          <w:szCs w:val="18"/>
        </w:rPr>
      </w:pPr>
      <w:r w:rsidRPr="008175C1">
        <w:rPr>
          <w:rStyle w:val="FootnoteReference"/>
          <w:rFonts w:cstheme="minorHAnsi"/>
          <w:sz w:val="18"/>
          <w:szCs w:val="18"/>
        </w:rPr>
        <w:footnoteRef/>
      </w:r>
      <w:r w:rsidRPr="008175C1">
        <w:rPr>
          <w:rFonts w:cstheme="minorHAnsi"/>
          <w:sz w:val="18"/>
          <w:szCs w:val="18"/>
        </w:rPr>
        <w:t xml:space="preserve"> Satherley, P., Laws, E. &amp; Sok, S., 2008. </w:t>
      </w:r>
      <w:r w:rsidRPr="008175C1">
        <w:rPr>
          <w:rFonts w:cstheme="minorHAnsi"/>
          <w:i/>
          <w:sz w:val="18"/>
          <w:szCs w:val="18"/>
        </w:rPr>
        <w:t>‘</w:t>
      </w:r>
      <w:r w:rsidRPr="008175C1">
        <w:rPr>
          <w:rFonts w:cstheme="minorHAnsi"/>
          <w:i/>
          <w:iCs/>
          <w:sz w:val="18"/>
          <w:szCs w:val="18"/>
        </w:rPr>
        <w:t>The adult literacy and life skills (ALL) survey: Overview and international comparisons’</w:t>
      </w:r>
      <w:r w:rsidRPr="008175C1">
        <w:rPr>
          <w:rFonts w:cstheme="minorHAnsi"/>
          <w:i/>
          <w:sz w:val="18"/>
          <w:szCs w:val="18"/>
        </w:rPr>
        <w:t>.</w:t>
      </w:r>
      <w:r>
        <w:rPr>
          <w:rFonts w:cstheme="minorHAnsi"/>
          <w:sz w:val="18"/>
          <w:szCs w:val="18"/>
        </w:rPr>
        <w:t xml:space="preserve"> </w:t>
      </w:r>
      <w:r w:rsidRPr="008175C1">
        <w:rPr>
          <w:rFonts w:cstheme="minorHAnsi"/>
          <w:sz w:val="18"/>
          <w:szCs w:val="18"/>
        </w:rPr>
        <w:t xml:space="preserve">Wellington, New Zealand: Ministry of Education. Available at: </w:t>
      </w:r>
      <w:hyperlink r:id="rId147" w:history="1">
        <w:r w:rsidRPr="008175C1">
          <w:rPr>
            <w:rStyle w:val="Hyperlink"/>
            <w:rFonts w:cstheme="minorHAnsi"/>
            <w:sz w:val="18"/>
            <w:szCs w:val="18"/>
          </w:rPr>
          <w:t>Ministry of Education website</w:t>
        </w:r>
      </w:hyperlink>
      <w:r w:rsidRPr="008175C1">
        <w:rPr>
          <w:rFonts w:cstheme="minorHAnsi"/>
          <w:sz w:val="18"/>
          <w:szCs w:val="18"/>
        </w:rPr>
        <w:t xml:space="preserve"> (a</w:t>
      </w:r>
      <w:r w:rsidRPr="008175C1">
        <w:rPr>
          <w:rFonts w:cstheme="minorHAnsi"/>
          <w:noProof/>
          <w:sz w:val="18"/>
          <w:szCs w:val="18"/>
        </w:rPr>
        <w:t>ccessed 14 November 2018).</w:t>
      </w:r>
    </w:p>
  </w:footnote>
  <w:footnote w:id="229">
    <w:p w14:paraId="3D1F7A4D" w14:textId="563B1631" w:rsidR="00AA37B6" w:rsidRPr="00282CFC" w:rsidRDefault="00AA37B6" w:rsidP="00282CFC">
      <w:pPr>
        <w:pStyle w:val="FootnoteText"/>
        <w:spacing w:before="0" w:after="0"/>
        <w:rPr>
          <w:rFonts w:cstheme="minorHAnsi"/>
          <w:sz w:val="18"/>
          <w:szCs w:val="18"/>
        </w:rPr>
      </w:pPr>
      <w:r w:rsidRPr="008175C1">
        <w:rPr>
          <w:rStyle w:val="FootnoteReference"/>
          <w:rFonts w:cstheme="minorHAnsi"/>
          <w:sz w:val="18"/>
          <w:szCs w:val="18"/>
        </w:rPr>
        <w:footnoteRef/>
      </w:r>
      <w:r w:rsidRPr="008175C1">
        <w:rPr>
          <w:rFonts w:cstheme="minorHAnsi"/>
          <w:sz w:val="18"/>
          <w:szCs w:val="18"/>
        </w:rPr>
        <w:t xml:space="preserve"> OECD, 2017. </w:t>
      </w:r>
      <w:r w:rsidRPr="008175C1">
        <w:rPr>
          <w:rFonts w:cstheme="minorHAnsi"/>
          <w:i/>
          <w:sz w:val="18"/>
          <w:szCs w:val="18"/>
        </w:rPr>
        <w:t xml:space="preserve">‘Building Skills for All in Australia: Policy Insights from the Survey of Adult Skills’. </w:t>
      </w:r>
      <w:r w:rsidRPr="00910339">
        <w:rPr>
          <w:rFonts w:cstheme="minorHAnsi"/>
          <w:sz w:val="18"/>
          <w:szCs w:val="18"/>
        </w:rPr>
        <w:t>OECD Skills Studies.</w:t>
      </w:r>
      <w:r w:rsidRPr="008175C1">
        <w:rPr>
          <w:rFonts w:cstheme="minorHAnsi"/>
          <w:i/>
          <w:sz w:val="18"/>
          <w:szCs w:val="18"/>
        </w:rPr>
        <w:t xml:space="preserve"> </w:t>
      </w:r>
      <w:r w:rsidRPr="008175C1">
        <w:rPr>
          <w:rFonts w:cstheme="minorHAnsi"/>
          <w:sz w:val="18"/>
          <w:szCs w:val="18"/>
        </w:rPr>
        <w:t xml:space="preserve">Available </w:t>
      </w:r>
      <w:hyperlink r:id="rId148" w:anchor="page4" w:history="1">
        <w:r w:rsidRPr="008175C1">
          <w:rPr>
            <w:rStyle w:val="Hyperlink"/>
            <w:rFonts w:cstheme="minorHAnsi"/>
            <w:sz w:val="18"/>
            <w:szCs w:val="18"/>
          </w:rPr>
          <w:t>online</w:t>
        </w:r>
      </w:hyperlink>
      <w:r w:rsidRPr="008175C1">
        <w:rPr>
          <w:rFonts w:cstheme="minorHAnsi"/>
          <w:sz w:val="18"/>
          <w:szCs w:val="18"/>
        </w:rPr>
        <w:t xml:space="preserve"> (accessed 14 November 2018).</w:t>
      </w:r>
    </w:p>
  </w:footnote>
  <w:footnote w:id="230">
    <w:p w14:paraId="7BA3BB0E" w14:textId="77777777" w:rsidR="00AA37B6" w:rsidRPr="008175C1" w:rsidRDefault="00AA37B6" w:rsidP="00282CFC">
      <w:pPr>
        <w:pStyle w:val="FootnoteText"/>
        <w:spacing w:before="0" w:after="0"/>
        <w:rPr>
          <w:rFonts w:cstheme="minorHAnsi"/>
          <w:sz w:val="18"/>
          <w:szCs w:val="18"/>
        </w:rPr>
      </w:pPr>
      <w:r w:rsidRPr="008175C1">
        <w:rPr>
          <w:rFonts w:cstheme="minorHAnsi"/>
          <w:sz w:val="18"/>
          <w:szCs w:val="18"/>
          <w:vertAlign w:val="superscript"/>
        </w:rPr>
        <w:footnoteRef/>
      </w:r>
      <w:r w:rsidRPr="008175C1">
        <w:rPr>
          <w:rFonts w:cstheme="minorHAnsi"/>
          <w:sz w:val="18"/>
          <w:szCs w:val="18"/>
        </w:rPr>
        <w:t xml:space="preserve"> New Zealand Ministry of Health, 2010. </w:t>
      </w:r>
      <w:r w:rsidRPr="008175C1">
        <w:rPr>
          <w:rFonts w:cstheme="minorHAnsi"/>
          <w:i/>
          <w:sz w:val="18"/>
          <w:szCs w:val="18"/>
        </w:rPr>
        <w:t>‘Kōrero mārama: Health literacy and Māori Results from the 2006 adult literacy and life skills survey’</w:t>
      </w:r>
      <w:r w:rsidRPr="008175C1">
        <w:rPr>
          <w:rFonts w:cstheme="minorHAnsi"/>
          <w:sz w:val="18"/>
          <w:szCs w:val="18"/>
        </w:rPr>
        <w:t xml:space="preserve">. Available at: </w:t>
      </w:r>
      <w:hyperlink r:id="rId149" w:history="1">
        <w:r w:rsidRPr="008175C1">
          <w:rPr>
            <w:rStyle w:val="Hyperlink"/>
            <w:rFonts w:cstheme="minorHAnsi"/>
            <w:sz w:val="18"/>
            <w:szCs w:val="18"/>
          </w:rPr>
          <w:t>Ministry of Health website</w:t>
        </w:r>
      </w:hyperlink>
      <w:r w:rsidRPr="008175C1">
        <w:rPr>
          <w:rFonts w:cstheme="minorHAnsi"/>
          <w:sz w:val="18"/>
          <w:szCs w:val="18"/>
        </w:rPr>
        <w:t xml:space="preserve"> (accessed 14 November 2018).</w:t>
      </w:r>
    </w:p>
  </w:footnote>
  <w:footnote w:id="231">
    <w:p w14:paraId="534BF52E" w14:textId="433868CC" w:rsidR="00AA37B6" w:rsidRPr="008175C1" w:rsidRDefault="00AA37B6" w:rsidP="00282CFC">
      <w:pPr>
        <w:pStyle w:val="FootnoteText"/>
        <w:spacing w:before="0" w:after="0"/>
        <w:rPr>
          <w:rFonts w:cstheme="minorHAnsi"/>
          <w:sz w:val="18"/>
          <w:szCs w:val="18"/>
        </w:rPr>
      </w:pPr>
      <w:r w:rsidRPr="008175C1">
        <w:rPr>
          <w:rStyle w:val="FootnoteReference"/>
          <w:rFonts w:cstheme="minorHAnsi"/>
          <w:sz w:val="18"/>
          <w:szCs w:val="18"/>
        </w:rPr>
        <w:footnoteRef/>
      </w:r>
      <w:r w:rsidRPr="008175C1">
        <w:rPr>
          <w:rFonts w:cstheme="minorHAnsi"/>
          <w:sz w:val="18"/>
          <w:szCs w:val="18"/>
        </w:rPr>
        <w:t xml:space="preserve"> Australian Government Department of Prime Minister and Cabinet</w:t>
      </w:r>
      <w:r>
        <w:rPr>
          <w:rFonts w:cstheme="minorHAnsi"/>
          <w:sz w:val="18"/>
          <w:szCs w:val="18"/>
        </w:rPr>
        <w:t>,</w:t>
      </w:r>
      <w:r w:rsidRPr="008175C1">
        <w:rPr>
          <w:rFonts w:cstheme="minorHAnsi"/>
          <w:sz w:val="18"/>
          <w:szCs w:val="18"/>
        </w:rPr>
        <w:t xml:space="preserve"> 2014. ‘</w:t>
      </w:r>
      <w:r w:rsidRPr="008175C1">
        <w:rPr>
          <w:rFonts w:cstheme="minorHAnsi"/>
          <w:i/>
          <w:sz w:val="18"/>
          <w:szCs w:val="18"/>
        </w:rPr>
        <w:t xml:space="preserve">Aboriginal and Torres Strait Islander Health Performance Framework 2014 Report: 2.04 Literacy and Numeracy’. </w:t>
      </w:r>
      <w:r w:rsidRPr="008175C1">
        <w:rPr>
          <w:rFonts w:cstheme="minorHAnsi"/>
          <w:sz w:val="18"/>
          <w:szCs w:val="18"/>
        </w:rPr>
        <w:t xml:space="preserve">Available at: </w:t>
      </w:r>
      <w:hyperlink r:id="rId150" w:history="1">
        <w:r w:rsidRPr="008175C1">
          <w:rPr>
            <w:rStyle w:val="Hyperlink"/>
            <w:rFonts w:cstheme="minorHAnsi"/>
            <w:sz w:val="18"/>
            <w:szCs w:val="18"/>
          </w:rPr>
          <w:t>Prime Minister and Cabinet website</w:t>
        </w:r>
      </w:hyperlink>
      <w:r w:rsidRPr="008175C1">
        <w:rPr>
          <w:rFonts w:cstheme="minorHAnsi"/>
          <w:sz w:val="18"/>
          <w:szCs w:val="18"/>
        </w:rPr>
        <w:t xml:space="preserve"> (accessed 14 November 2018).</w:t>
      </w:r>
    </w:p>
  </w:footnote>
  <w:footnote w:id="232">
    <w:p w14:paraId="2409D189" w14:textId="2A59D906" w:rsidR="00AA37B6" w:rsidRPr="008175C1" w:rsidRDefault="00AA37B6" w:rsidP="00282CFC">
      <w:pPr>
        <w:pStyle w:val="FootnoteText"/>
        <w:spacing w:before="0" w:after="0"/>
        <w:rPr>
          <w:rFonts w:cstheme="minorHAnsi"/>
          <w:sz w:val="18"/>
          <w:szCs w:val="18"/>
        </w:rPr>
      </w:pPr>
      <w:r w:rsidRPr="008175C1">
        <w:rPr>
          <w:rFonts w:cstheme="minorHAnsi"/>
          <w:sz w:val="18"/>
          <w:szCs w:val="18"/>
          <w:vertAlign w:val="superscript"/>
        </w:rPr>
        <w:footnoteRef/>
      </w:r>
      <w:r w:rsidRPr="008175C1">
        <w:rPr>
          <w:rFonts w:cstheme="minorHAnsi"/>
          <w:sz w:val="18"/>
          <w:szCs w:val="18"/>
        </w:rPr>
        <w:t xml:space="preserve"> Australian Institute of Health and Welfare (AIHW), 2018. </w:t>
      </w:r>
      <w:r w:rsidRPr="008175C1">
        <w:rPr>
          <w:rFonts w:cstheme="minorHAnsi"/>
          <w:i/>
          <w:sz w:val="18"/>
          <w:szCs w:val="18"/>
        </w:rPr>
        <w:t>‘Australia’s Health 2018’</w:t>
      </w:r>
      <w:r>
        <w:rPr>
          <w:rFonts w:cstheme="minorHAnsi"/>
          <w:sz w:val="18"/>
          <w:szCs w:val="18"/>
        </w:rPr>
        <w:t>.</w:t>
      </w:r>
      <w:r w:rsidRPr="008175C1">
        <w:rPr>
          <w:rFonts w:cstheme="minorHAnsi"/>
          <w:sz w:val="18"/>
          <w:szCs w:val="18"/>
        </w:rPr>
        <w:t xml:space="preserve"> Available at: </w:t>
      </w:r>
      <w:hyperlink r:id="rId151" w:history="1">
        <w:r w:rsidRPr="008175C1">
          <w:rPr>
            <w:rFonts w:cstheme="minorHAnsi"/>
            <w:sz w:val="18"/>
            <w:szCs w:val="18"/>
            <w:u w:val="single"/>
          </w:rPr>
          <w:t>AIHW website</w:t>
        </w:r>
      </w:hyperlink>
      <w:r w:rsidRPr="008175C1">
        <w:rPr>
          <w:rFonts w:cstheme="minorHAnsi"/>
          <w:sz w:val="18"/>
          <w:szCs w:val="18"/>
        </w:rPr>
        <w:t xml:space="preserve"> (accessed 14 November 2018).</w:t>
      </w:r>
    </w:p>
  </w:footnote>
  <w:footnote w:id="233">
    <w:p w14:paraId="27B836DC" w14:textId="24523043" w:rsidR="00AA37B6" w:rsidRPr="008175C1" w:rsidRDefault="00AA37B6" w:rsidP="00282CFC">
      <w:pPr>
        <w:pStyle w:val="FootnoteText"/>
        <w:spacing w:before="0" w:after="0"/>
        <w:rPr>
          <w:rFonts w:cstheme="minorHAnsi"/>
          <w:sz w:val="18"/>
          <w:szCs w:val="18"/>
        </w:rPr>
      </w:pPr>
      <w:r w:rsidRPr="008175C1">
        <w:rPr>
          <w:rFonts w:cstheme="minorHAnsi"/>
          <w:sz w:val="18"/>
          <w:szCs w:val="18"/>
          <w:vertAlign w:val="superscript"/>
        </w:rPr>
        <w:footnoteRef/>
      </w:r>
      <w:r w:rsidRPr="008175C1">
        <w:rPr>
          <w:rFonts w:cstheme="minorHAnsi"/>
          <w:sz w:val="18"/>
          <w:szCs w:val="18"/>
          <w:vertAlign w:val="superscript"/>
        </w:rPr>
        <w:t xml:space="preserve"> </w:t>
      </w:r>
      <w:r w:rsidRPr="008175C1">
        <w:rPr>
          <w:rFonts w:cstheme="minorHAnsi"/>
          <w:sz w:val="18"/>
          <w:szCs w:val="18"/>
        </w:rPr>
        <w:t xml:space="preserve">New Zealand Ministry of Health, 2015. </w:t>
      </w:r>
      <w:r w:rsidRPr="008175C1">
        <w:rPr>
          <w:rFonts w:cstheme="minorHAnsi"/>
          <w:i/>
          <w:sz w:val="18"/>
          <w:szCs w:val="18"/>
        </w:rPr>
        <w:t>‘Tatau Kahukura: Māori Health Chart Book 2015 (3rd edition)’</w:t>
      </w:r>
      <w:r w:rsidRPr="008175C1">
        <w:rPr>
          <w:rFonts w:cstheme="minorHAnsi"/>
          <w:sz w:val="18"/>
          <w:szCs w:val="18"/>
        </w:rPr>
        <w:t xml:space="preserve">. </w:t>
      </w:r>
      <w:r>
        <w:rPr>
          <w:rFonts w:cstheme="minorHAnsi"/>
          <w:sz w:val="18"/>
          <w:szCs w:val="18"/>
        </w:rPr>
        <w:t xml:space="preserve">Available at: </w:t>
      </w:r>
      <w:hyperlink r:id="rId152" w:history="1">
        <w:r w:rsidRPr="00A54640">
          <w:rPr>
            <w:rStyle w:val="Hyperlink"/>
            <w:rFonts w:cstheme="minorHAnsi"/>
            <w:sz w:val="18"/>
            <w:szCs w:val="18"/>
          </w:rPr>
          <w:t>Ministry of Health website</w:t>
        </w:r>
      </w:hyperlink>
      <w:r>
        <w:rPr>
          <w:rFonts w:cstheme="minorHAnsi"/>
          <w:sz w:val="18"/>
          <w:szCs w:val="18"/>
        </w:rPr>
        <w:t xml:space="preserve"> (accessed 20 December 2018)</w:t>
      </w:r>
      <w:r w:rsidRPr="008175C1">
        <w:rPr>
          <w:rFonts w:cstheme="minorHAnsi"/>
          <w:sz w:val="18"/>
          <w:szCs w:val="18"/>
        </w:rPr>
        <w:t>.</w:t>
      </w:r>
    </w:p>
  </w:footnote>
  <w:footnote w:id="234">
    <w:p w14:paraId="611D5157" w14:textId="4AAF85B9" w:rsidR="00AA37B6" w:rsidRPr="00246FBF" w:rsidRDefault="00AA37B6" w:rsidP="00282CFC">
      <w:pPr>
        <w:pStyle w:val="FootnoteText"/>
        <w:spacing w:before="0" w:after="0"/>
        <w:rPr>
          <w:rFonts w:cstheme="minorHAnsi"/>
          <w:sz w:val="18"/>
          <w:szCs w:val="18"/>
          <w:highlight w:val="green"/>
        </w:rPr>
      </w:pPr>
      <w:r w:rsidRPr="008175C1">
        <w:rPr>
          <w:rStyle w:val="FootnoteReference"/>
          <w:rFonts w:cstheme="minorHAnsi"/>
          <w:sz w:val="18"/>
          <w:szCs w:val="18"/>
        </w:rPr>
        <w:footnoteRef/>
      </w:r>
      <w:r w:rsidRPr="008175C1">
        <w:rPr>
          <w:rFonts w:cstheme="minorHAnsi"/>
          <w:sz w:val="18"/>
          <w:szCs w:val="18"/>
        </w:rPr>
        <w:t xml:space="preserve"> New Zealand Ministry of Health, 2013. </w:t>
      </w:r>
      <w:r w:rsidRPr="008175C1">
        <w:rPr>
          <w:rFonts w:cstheme="minorHAnsi"/>
          <w:i/>
          <w:sz w:val="18"/>
          <w:szCs w:val="18"/>
        </w:rPr>
        <w:t>‘Socioeconomic indicators, by gender, Maori and non-Maori, 2013’</w:t>
      </w:r>
      <w:r>
        <w:rPr>
          <w:rFonts w:cstheme="minorHAnsi"/>
          <w:sz w:val="18"/>
          <w:szCs w:val="18"/>
        </w:rPr>
        <w:t>.</w:t>
      </w:r>
      <w:r w:rsidRPr="008175C1">
        <w:rPr>
          <w:rFonts w:cstheme="minorHAnsi"/>
          <w:sz w:val="18"/>
          <w:szCs w:val="18"/>
        </w:rPr>
        <w:t xml:space="preserve"> Available at: </w:t>
      </w:r>
      <w:hyperlink r:id="rId153" w:history="1">
        <w:r w:rsidRPr="008175C1">
          <w:rPr>
            <w:rStyle w:val="Hyperlink"/>
            <w:rFonts w:cstheme="minorHAnsi"/>
            <w:sz w:val="18"/>
            <w:szCs w:val="18"/>
          </w:rPr>
          <w:t xml:space="preserve">Ministry of Health </w:t>
        </w:r>
        <w:r>
          <w:rPr>
            <w:rStyle w:val="Hyperlink"/>
            <w:rFonts w:cstheme="minorHAnsi"/>
            <w:sz w:val="18"/>
            <w:szCs w:val="18"/>
          </w:rPr>
          <w:t>w</w:t>
        </w:r>
        <w:r w:rsidRPr="008175C1">
          <w:rPr>
            <w:rStyle w:val="Hyperlink"/>
            <w:rFonts w:cstheme="minorHAnsi"/>
            <w:sz w:val="18"/>
            <w:szCs w:val="18"/>
          </w:rPr>
          <w:t>ebsite</w:t>
        </w:r>
      </w:hyperlink>
      <w:r w:rsidRPr="008175C1">
        <w:rPr>
          <w:rFonts w:cstheme="minorHAnsi"/>
          <w:sz w:val="18"/>
          <w:szCs w:val="18"/>
        </w:rPr>
        <w:t xml:space="preserve"> (accessed 30 December 2018).</w:t>
      </w:r>
    </w:p>
  </w:footnote>
  <w:footnote w:id="235">
    <w:p w14:paraId="3CC65205" w14:textId="148D893A" w:rsidR="00AA37B6" w:rsidRPr="008175C1" w:rsidRDefault="00AA37B6" w:rsidP="00282CFC">
      <w:pPr>
        <w:spacing w:before="0" w:after="0"/>
        <w:rPr>
          <w:rFonts w:cstheme="minorHAnsi"/>
          <w:sz w:val="18"/>
          <w:szCs w:val="18"/>
        </w:rPr>
      </w:pPr>
      <w:r w:rsidRPr="008175C1">
        <w:rPr>
          <w:rFonts w:cstheme="minorHAnsi"/>
          <w:sz w:val="18"/>
          <w:szCs w:val="18"/>
          <w:vertAlign w:val="superscript"/>
        </w:rPr>
        <w:footnoteRef/>
      </w:r>
      <w:r w:rsidRPr="008175C1">
        <w:rPr>
          <w:rFonts w:cstheme="minorHAnsi"/>
          <w:sz w:val="18"/>
          <w:szCs w:val="18"/>
        </w:rPr>
        <w:t xml:space="preserve"> Cowburn, G. &amp; Stockley, L., 2005. ‘Consumer understanding and use of nutrition labelling: a systematic review’. </w:t>
      </w:r>
      <w:r w:rsidRPr="008175C1">
        <w:rPr>
          <w:rFonts w:cstheme="minorHAnsi"/>
          <w:i/>
          <w:sz w:val="18"/>
          <w:szCs w:val="18"/>
        </w:rPr>
        <w:t>Public Health Nutrition</w:t>
      </w:r>
      <w:r>
        <w:rPr>
          <w:rFonts w:cstheme="minorHAnsi"/>
          <w:sz w:val="18"/>
          <w:szCs w:val="18"/>
        </w:rPr>
        <w:t>, 8(1): p</w:t>
      </w:r>
      <w:r w:rsidRPr="008175C1">
        <w:rPr>
          <w:rFonts w:cstheme="minorHAnsi"/>
          <w:sz w:val="18"/>
          <w:szCs w:val="18"/>
        </w:rPr>
        <w:t>21-28.</w:t>
      </w:r>
    </w:p>
  </w:footnote>
  <w:footnote w:id="236">
    <w:p w14:paraId="1F45545F" w14:textId="581EA3B5" w:rsidR="00AA37B6" w:rsidRPr="008175C1" w:rsidRDefault="00AA37B6" w:rsidP="00282CFC">
      <w:pPr>
        <w:pStyle w:val="FootnoteText"/>
        <w:spacing w:before="0" w:after="0"/>
        <w:rPr>
          <w:rFonts w:cstheme="minorHAnsi"/>
          <w:sz w:val="18"/>
          <w:szCs w:val="18"/>
        </w:rPr>
      </w:pPr>
      <w:r w:rsidRPr="008175C1">
        <w:rPr>
          <w:rFonts w:cstheme="minorHAnsi"/>
          <w:sz w:val="18"/>
          <w:szCs w:val="18"/>
          <w:vertAlign w:val="superscript"/>
        </w:rPr>
        <w:footnoteRef/>
      </w:r>
      <w:r w:rsidRPr="008175C1">
        <w:rPr>
          <w:rFonts w:cstheme="minorHAnsi"/>
          <w:sz w:val="18"/>
          <w:szCs w:val="18"/>
          <w:vertAlign w:val="superscript"/>
        </w:rPr>
        <w:t xml:space="preserve"> </w:t>
      </w:r>
      <w:r>
        <w:rPr>
          <w:rFonts w:cstheme="minorHAnsi"/>
          <w:sz w:val="18"/>
          <w:szCs w:val="18"/>
        </w:rPr>
        <w:t>Miller, L.</w:t>
      </w:r>
      <w:r w:rsidRPr="008175C1">
        <w:rPr>
          <w:rFonts w:cstheme="minorHAnsi"/>
          <w:sz w:val="18"/>
          <w:szCs w:val="18"/>
        </w:rPr>
        <w:t xml:space="preserve"> &amp; Cassidy, D. 2015. ‘The effects of nutrition knowledge on food label use. A review of literature’. </w:t>
      </w:r>
      <w:r w:rsidRPr="008175C1">
        <w:rPr>
          <w:rFonts w:cstheme="minorHAnsi"/>
          <w:i/>
          <w:sz w:val="18"/>
          <w:szCs w:val="18"/>
        </w:rPr>
        <w:t>Appetite</w:t>
      </w:r>
      <w:r w:rsidRPr="008175C1">
        <w:rPr>
          <w:rFonts w:cstheme="minorHAnsi"/>
          <w:sz w:val="18"/>
          <w:szCs w:val="18"/>
        </w:rPr>
        <w:t>, 92: p.207-216.</w:t>
      </w:r>
    </w:p>
  </w:footnote>
  <w:footnote w:id="237">
    <w:p w14:paraId="41C29016" w14:textId="3DC69C1A" w:rsidR="00AA37B6" w:rsidRPr="008175C1" w:rsidRDefault="00AA37B6" w:rsidP="00282CFC">
      <w:pPr>
        <w:pStyle w:val="FootnoteText"/>
        <w:spacing w:before="0" w:after="0"/>
        <w:rPr>
          <w:rFonts w:cstheme="minorHAnsi"/>
          <w:sz w:val="18"/>
          <w:szCs w:val="18"/>
        </w:rPr>
      </w:pPr>
      <w:r w:rsidRPr="008175C1">
        <w:rPr>
          <w:rFonts w:cstheme="minorHAnsi"/>
          <w:sz w:val="18"/>
          <w:szCs w:val="18"/>
          <w:vertAlign w:val="superscript"/>
        </w:rPr>
        <w:footnoteRef/>
      </w:r>
      <w:r w:rsidRPr="008175C1">
        <w:rPr>
          <w:rFonts w:cstheme="minorHAnsi"/>
          <w:sz w:val="18"/>
          <w:szCs w:val="18"/>
        </w:rPr>
        <w:t xml:space="preserve"> Mhurchu, C.N</w:t>
      </w:r>
      <w:r>
        <w:rPr>
          <w:rFonts w:cstheme="minorHAnsi"/>
          <w:sz w:val="18"/>
          <w:szCs w:val="18"/>
        </w:rPr>
        <w:t>., et al,</w:t>
      </w:r>
      <w:r w:rsidRPr="008175C1">
        <w:rPr>
          <w:rFonts w:cstheme="minorHAnsi"/>
          <w:sz w:val="18"/>
          <w:szCs w:val="18"/>
        </w:rPr>
        <w:t xml:space="preserve"> 2018. ‘Do nutrition labels influence healthier food choices? Analysis of label viewing behaviour and subsequent food purchases in a labelling intervention trial’. </w:t>
      </w:r>
      <w:r w:rsidRPr="008175C1">
        <w:rPr>
          <w:rFonts w:cstheme="minorHAnsi"/>
          <w:i/>
          <w:sz w:val="18"/>
          <w:szCs w:val="18"/>
        </w:rPr>
        <w:t>Appetite</w:t>
      </w:r>
      <w:r>
        <w:rPr>
          <w:rFonts w:cstheme="minorHAnsi"/>
          <w:sz w:val="18"/>
          <w:szCs w:val="18"/>
        </w:rPr>
        <w:t xml:space="preserve">, </w:t>
      </w:r>
      <w:r w:rsidRPr="008175C1">
        <w:rPr>
          <w:rFonts w:cstheme="minorHAnsi"/>
          <w:sz w:val="18"/>
          <w:szCs w:val="18"/>
        </w:rPr>
        <w:t>121: p360-365.</w:t>
      </w:r>
    </w:p>
  </w:footnote>
  <w:footnote w:id="238">
    <w:p w14:paraId="601E7215" w14:textId="0038D7F0" w:rsidR="00AA37B6" w:rsidRPr="008175C1" w:rsidRDefault="00AA37B6" w:rsidP="00282CFC">
      <w:pPr>
        <w:pStyle w:val="FootnoteText"/>
        <w:spacing w:before="0" w:after="0"/>
        <w:rPr>
          <w:rFonts w:cstheme="minorHAnsi"/>
          <w:sz w:val="18"/>
          <w:szCs w:val="18"/>
        </w:rPr>
      </w:pPr>
      <w:r w:rsidRPr="008175C1">
        <w:rPr>
          <w:rFonts w:cstheme="minorHAnsi"/>
          <w:sz w:val="18"/>
          <w:szCs w:val="18"/>
          <w:vertAlign w:val="superscript"/>
        </w:rPr>
        <w:footnoteRef/>
      </w:r>
      <w:r w:rsidRPr="008175C1">
        <w:rPr>
          <w:rFonts w:cstheme="minorHAnsi"/>
          <w:sz w:val="18"/>
          <w:szCs w:val="18"/>
        </w:rPr>
        <w:t xml:space="preserve"> Van der Merwe, D</w:t>
      </w:r>
      <w:r>
        <w:rPr>
          <w:rFonts w:cstheme="minorHAnsi"/>
          <w:sz w:val="18"/>
          <w:szCs w:val="18"/>
        </w:rPr>
        <w:t>.</w:t>
      </w:r>
      <w:r w:rsidRPr="008175C1">
        <w:rPr>
          <w:rFonts w:cstheme="minorHAnsi"/>
          <w:sz w:val="18"/>
          <w:szCs w:val="18"/>
        </w:rPr>
        <w:t>, et al</w:t>
      </w:r>
      <w:r>
        <w:rPr>
          <w:rFonts w:cstheme="minorHAnsi"/>
          <w:sz w:val="18"/>
          <w:szCs w:val="18"/>
        </w:rPr>
        <w:t>,</w:t>
      </w:r>
      <w:r w:rsidRPr="008175C1">
        <w:rPr>
          <w:rFonts w:cstheme="minorHAnsi"/>
          <w:sz w:val="18"/>
          <w:szCs w:val="18"/>
        </w:rPr>
        <w:t xml:space="preserve"> 2013. ‘Consumers' knowledge of food label information: an exploratory investigation in Potchefstroom, South Africa’. </w:t>
      </w:r>
      <w:r w:rsidRPr="008175C1">
        <w:rPr>
          <w:rFonts w:cstheme="minorHAnsi"/>
          <w:i/>
          <w:sz w:val="18"/>
          <w:szCs w:val="18"/>
        </w:rPr>
        <w:t>Public Health Nutrition</w:t>
      </w:r>
      <w:r>
        <w:rPr>
          <w:rFonts w:cstheme="minorHAnsi"/>
          <w:sz w:val="18"/>
          <w:szCs w:val="18"/>
        </w:rPr>
        <w:t>, 16(3): p</w:t>
      </w:r>
      <w:r w:rsidRPr="008175C1">
        <w:rPr>
          <w:rFonts w:cstheme="minorHAnsi"/>
          <w:sz w:val="18"/>
          <w:szCs w:val="18"/>
        </w:rPr>
        <w:t>403-408.</w:t>
      </w:r>
    </w:p>
  </w:footnote>
  <w:footnote w:id="239">
    <w:p w14:paraId="0B0B8485" w14:textId="4262646F" w:rsidR="00AA37B6" w:rsidRPr="008175C1" w:rsidRDefault="00AA37B6" w:rsidP="00282CFC">
      <w:pPr>
        <w:pStyle w:val="FootnoteText"/>
        <w:spacing w:before="0" w:after="0"/>
        <w:rPr>
          <w:rFonts w:cstheme="minorHAnsi"/>
          <w:sz w:val="18"/>
          <w:szCs w:val="18"/>
        </w:rPr>
      </w:pPr>
      <w:r w:rsidRPr="008175C1">
        <w:rPr>
          <w:rFonts w:cstheme="minorHAnsi"/>
          <w:sz w:val="18"/>
          <w:szCs w:val="18"/>
          <w:vertAlign w:val="superscript"/>
        </w:rPr>
        <w:footnoteRef/>
      </w:r>
      <w:r w:rsidRPr="008175C1">
        <w:rPr>
          <w:rFonts w:cstheme="minorHAnsi"/>
          <w:sz w:val="18"/>
          <w:szCs w:val="18"/>
        </w:rPr>
        <w:t xml:space="preserve"> Mhurchu, C. N., et al</w:t>
      </w:r>
      <w:r>
        <w:rPr>
          <w:rFonts w:cstheme="minorHAnsi"/>
          <w:sz w:val="18"/>
          <w:szCs w:val="18"/>
        </w:rPr>
        <w:t>,</w:t>
      </w:r>
      <w:r w:rsidRPr="008175C1">
        <w:rPr>
          <w:rFonts w:cstheme="minorHAnsi"/>
          <w:sz w:val="18"/>
          <w:szCs w:val="18"/>
        </w:rPr>
        <w:t xml:space="preserve"> 2010. ‘Effects of price discounts and tailored nutrition education on supermarket purchases: a randomized controlled trial’. </w:t>
      </w:r>
      <w:r w:rsidRPr="008175C1">
        <w:rPr>
          <w:rFonts w:cstheme="minorHAnsi"/>
          <w:i/>
          <w:sz w:val="18"/>
          <w:szCs w:val="18"/>
        </w:rPr>
        <w:t>The American Journal of Clinical Nutrition</w:t>
      </w:r>
      <w:r>
        <w:rPr>
          <w:rFonts w:cstheme="minorHAnsi"/>
          <w:sz w:val="18"/>
          <w:szCs w:val="18"/>
        </w:rPr>
        <w:t>, 91(3): p</w:t>
      </w:r>
      <w:r w:rsidRPr="008175C1">
        <w:rPr>
          <w:rFonts w:cstheme="minorHAnsi"/>
          <w:sz w:val="18"/>
          <w:szCs w:val="18"/>
        </w:rPr>
        <w:t>736–747.</w:t>
      </w:r>
      <w:hyperlink r:id="rId154" w:history="1"/>
    </w:p>
  </w:footnote>
  <w:footnote w:id="240">
    <w:p w14:paraId="53E7A394" w14:textId="41E020DA" w:rsidR="00AA37B6" w:rsidRPr="008175C1" w:rsidRDefault="00AA37B6" w:rsidP="00282CFC">
      <w:pPr>
        <w:spacing w:before="0" w:after="0"/>
        <w:rPr>
          <w:rFonts w:cstheme="minorHAnsi"/>
          <w:sz w:val="18"/>
          <w:szCs w:val="18"/>
        </w:rPr>
      </w:pPr>
      <w:r w:rsidRPr="008175C1">
        <w:rPr>
          <w:rFonts w:cstheme="minorHAnsi"/>
          <w:sz w:val="18"/>
          <w:szCs w:val="18"/>
          <w:vertAlign w:val="superscript"/>
        </w:rPr>
        <w:footnoteRef/>
      </w:r>
      <w:r>
        <w:rPr>
          <w:rFonts w:cstheme="minorHAnsi"/>
          <w:sz w:val="18"/>
          <w:szCs w:val="18"/>
        </w:rPr>
        <w:t xml:space="preserve"> Ball, K., et al,</w:t>
      </w:r>
      <w:r w:rsidRPr="008175C1">
        <w:rPr>
          <w:rFonts w:cstheme="minorHAnsi"/>
          <w:sz w:val="18"/>
          <w:szCs w:val="18"/>
        </w:rPr>
        <w:t xml:space="preserve"> 2015. ‘Influence of price discounts and skill-building strategies on purchase and consumption of healthy food and beverages: outcomes of the Supermarket Healthy Eating for Life randomized controlled trial’. </w:t>
      </w:r>
      <w:r w:rsidRPr="008175C1">
        <w:rPr>
          <w:rFonts w:cstheme="minorHAnsi"/>
          <w:i/>
          <w:sz w:val="18"/>
          <w:szCs w:val="18"/>
        </w:rPr>
        <w:t>The American Journal of Clinical Nutrition</w:t>
      </w:r>
      <w:r>
        <w:rPr>
          <w:rFonts w:cstheme="minorHAnsi"/>
          <w:sz w:val="18"/>
          <w:szCs w:val="18"/>
        </w:rPr>
        <w:t>, 101(5): p</w:t>
      </w:r>
      <w:r w:rsidRPr="008175C1">
        <w:rPr>
          <w:rFonts w:cstheme="minorHAnsi"/>
          <w:sz w:val="18"/>
          <w:szCs w:val="18"/>
        </w:rPr>
        <w:t>1055-1064.</w:t>
      </w:r>
    </w:p>
  </w:footnote>
  <w:footnote w:id="241">
    <w:p w14:paraId="787B469E" w14:textId="10503113" w:rsidR="00AA37B6" w:rsidRPr="008175C1" w:rsidRDefault="00AA37B6" w:rsidP="00282CFC">
      <w:pPr>
        <w:spacing w:before="0" w:after="0"/>
        <w:rPr>
          <w:rFonts w:cstheme="minorHAnsi"/>
          <w:sz w:val="18"/>
          <w:szCs w:val="18"/>
        </w:rPr>
      </w:pPr>
      <w:r w:rsidRPr="008175C1">
        <w:rPr>
          <w:rFonts w:cstheme="minorHAnsi"/>
          <w:sz w:val="18"/>
          <w:szCs w:val="18"/>
          <w:vertAlign w:val="superscript"/>
        </w:rPr>
        <w:footnoteRef/>
      </w:r>
      <w:r w:rsidRPr="008175C1">
        <w:rPr>
          <w:rFonts w:cstheme="minorHAnsi"/>
          <w:sz w:val="18"/>
          <w:szCs w:val="18"/>
        </w:rPr>
        <w:t xml:space="preserve"> Patnode, C.D., et al, 2017. ‘Behavioral Counseling to Promote a Healthful Diet and Physical Activity for Cardiovascular Disease Prevention in Adults Without Known Cardiovascular Disease Risk Factors: Updated Systematic Review for the US Preventive Services Task Force’</w:t>
      </w:r>
      <w:r w:rsidRPr="008175C1">
        <w:rPr>
          <w:rFonts w:cstheme="minorHAnsi"/>
          <w:i/>
          <w:sz w:val="18"/>
          <w:szCs w:val="18"/>
        </w:rPr>
        <w:t>. JAMA</w:t>
      </w:r>
      <w:r>
        <w:rPr>
          <w:rFonts w:cstheme="minorHAnsi"/>
          <w:sz w:val="18"/>
          <w:szCs w:val="18"/>
        </w:rPr>
        <w:t>, 318(2): p</w:t>
      </w:r>
      <w:r w:rsidRPr="008175C1">
        <w:rPr>
          <w:rFonts w:cstheme="minorHAnsi"/>
          <w:sz w:val="18"/>
          <w:szCs w:val="18"/>
        </w:rPr>
        <w:t>175-193.</w:t>
      </w:r>
    </w:p>
  </w:footnote>
  <w:footnote w:id="242">
    <w:p w14:paraId="2C512425" w14:textId="7343A1B7" w:rsidR="00AA37B6" w:rsidRPr="00166D40" w:rsidRDefault="00AA37B6" w:rsidP="00282CFC">
      <w:pPr>
        <w:pStyle w:val="FootnoteText"/>
        <w:spacing w:before="0" w:after="0"/>
        <w:rPr>
          <w:rFonts w:cstheme="minorHAnsi"/>
          <w:sz w:val="18"/>
          <w:szCs w:val="18"/>
        </w:rPr>
      </w:pPr>
      <w:r w:rsidRPr="008175C1">
        <w:rPr>
          <w:rFonts w:cstheme="minorHAnsi"/>
          <w:sz w:val="18"/>
          <w:szCs w:val="18"/>
          <w:vertAlign w:val="superscript"/>
        </w:rPr>
        <w:footnoteRef/>
      </w:r>
      <w:r w:rsidRPr="008175C1">
        <w:rPr>
          <w:rFonts w:cstheme="minorHAnsi"/>
          <w:sz w:val="18"/>
          <w:szCs w:val="18"/>
        </w:rPr>
        <w:t xml:space="preserve"> Mitchell, L.J., et al, 2017. ‘Effectiveness of Dietetic Consultations in Primary Health Care: A Systematic Review of Randomized Controlled Trials. </w:t>
      </w:r>
      <w:r w:rsidRPr="008175C1">
        <w:rPr>
          <w:rFonts w:cstheme="minorHAnsi"/>
          <w:i/>
          <w:sz w:val="18"/>
          <w:szCs w:val="18"/>
        </w:rPr>
        <w:t>Journal of the Academy of Nutrition and Dietetic</w:t>
      </w:r>
      <w:r>
        <w:rPr>
          <w:rFonts w:cstheme="minorHAnsi"/>
          <w:sz w:val="18"/>
          <w:szCs w:val="18"/>
        </w:rPr>
        <w:t>, 117(12): p</w:t>
      </w:r>
      <w:r w:rsidRPr="008175C1">
        <w:rPr>
          <w:rFonts w:cstheme="minorHAnsi"/>
          <w:sz w:val="18"/>
          <w:szCs w:val="18"/>
        </w:rPr>
        <w:t>1941-1962.</w:t>
      </w:r>
    </w:p>
  </w:footnote>
  <w:footnote w:id="243">
    <w:p w14:paraId="3FE465F3" w14:textId="4B442DD1" w:rsidR="00AA37B6" w:rsidRPr="008175C1" w:rsidRDefault="00AA37B6" w:rsidP="00282CFC">
      <w:pPr>
        <w:pStyle w:val="FootnoteText"/>
        <w:spacing w:before="0" w:after="0"/>
        <w:rPr>
          <w:rFonts w:cstheme="minorHAnsi"/>
          <w:sz w:val="18"/>
          <w:szCs w:val="18"/>
        </w:rPr>
      </w:pPr>
      <w:r w:rsidRPr="008175C1">
        <w:rPr>
          <w:rFonts w:cstheme="minorHAnsi"/>
          <w:sz w:val="18"/>
          <w:szCs w:val="18"/>
          <w:vertAlign w:val="superscript"/>
        </w:rPr>
        <w:footnoteRef/>
      </w:r>
      <w:r w:rsidRPr="008175C1">
        <w:rPr>
          <w:rFonts w:cstheme="minorHAnsi"/>
          <w:sz w:val="18"/>
          <w:szCs w:val="18"/>
          <w:vertAlign w:val="superscript"/>
        </w:rPr>
        <w:t xml:space="preserve"> </w:t>
      </w:r>
      <w:r w:rsidRPr="008175C1">
        <w:rPr>
          <w:rFonts w:cstheme="minorHAnsi"/>
          <w:sz w:val="18"/>
          <w:szCs w:val="18"/>
        </w:rPr>
        <w:t xml:space="preserve">Moller, G., Andersen, H.K. &amp; Snorgaard, O., 2017. ‘A systematic review and meta-analysis of nutrition therapy compared with dietary advice in patients with type 2 diabetes’. </w:t>
      </w:r>
      <w:r w:rsidRPr="008175C1">
        <w:rPr>
          <w:rFonts w:cstheme="minorHAnsi"/>
          <w:i/>
          <w:sz w:val="18"/>
          <w:szCs w:val="18"/>
        </w:rPr>
        <w:t>The American Journal of Clinical Nutrition</w:t>
      </w:r>
      <w:r>
        <w:rPr>
          <w:rFonts w:cstheme="minorHAnsi"/>
          <w:sz w:val="18"/>
          <w:szCs w:val="18"/>
        </w:rPr>
        <w:t>, 106(6): p</w:t>
      </w:r>
      <w:r w:rsidRPr="008175C1">
        <w:rPr>
          <w:rFonts w:cstheme="minorHAnsi"/>
          <w:sz w:val="18"/>
          <w:szCs w:val="18"/>
        </w:rPr>
        <w:t>1394-1400.</w:t>
      </w:r>
    </w:p>
  </w:footnote>
  <w:footnote w:id="244">
    <w:p w14:paraId="091CEB5B" w14:textId="1174AF17" w:rsidR="00AA37B6" w:rsidRPr="00282CFC" w:rsidRDefault="00AA37B6" w:rsidP="00282CFC">
      <w:pPr>
        <w:pStyle w:val="FootnoteText"/>
        <w:spacing w:before="0" w:after="0"/>
        <w:rPr>
          <w:sz w:val="18"/>
          <w:szCs w:val="18"/>
        </w:rPr>
      </w:pPr>
      <w:r w:rsidRPr="003A3583">
        <w:rPr>
          <w:rStyle w:val="FootnoteReference"/>
          <w:sz w:val="18"/>
          <w:szCs w:val="18"/>
        </w:rPr>
        <w:footnoteRef/>
      </w:r>
      <w:r>
        <w:rPr>
          <w:sz w:val="18"/>
          <w:szCs w:val="18"/>
        </w:rPr>
        <w:t xml:space="preserve"> </w:t>
      </w:r>
      <w:r w:rsidRPr="00282CFC">
        <w:rPr>
          <w:sz w:val="18"/>
          <w:szCs w:val="18"/>
        </w:rPr>
        <w:t xml:space="preserve">CHOICE Australia, 2017. ‘End the sugar-coating – A CHOICE report into added sugar labelling in Australia. Available </w:t>
      </w:r>
      <w:hyperlink r:id="rId155" w:history="1">
        <w:r w:rsidRPr="00282CFC">
          <w:rPr>
            <w:rStyle w:val="Hyperlink"/>
            <w:sz w:val="18"/>
            <w:szCs w:val="18"/>
          </w:rPr>
          <w:t>online</w:t>
        </w:r>
      </w:hyperlink>
      <w:r w:rsidRPr="00282CFC">
        <w:rPr>
          <w:sz w:val="18"/>
          <w:szCs w:val="18"/>
        </w:rPr>
        <w:t xml:space="preserve"> (accessed 21 February 2019).</w:t>
      </w:r>
    </w:p>
  </w:footnote>
  <w:footnote w:id="245">
    <w:p w14:paraId="6D4D2C4B" w14:textId="641F478C" w:rsidR="00AA37B6" w:rsidRPr="00AC4FA7" w:rsidRDefault="00AA37B6" w:rsidP="00282CFC">
      <w:pPr>
        <w:pStyle w:val="FootnoteText"/>
        <w:spacing w:before="0" w:after="0"/>
        <w:rPr>
          <w:sz w:val="18"/>
          <w:szCs w:val="18"/>
        </w:rPr>
      </w:pPr>
      <w:r w:rsidRPr="00282CFC">
        <w:rPr>
          <w:rStyle w:val="FootnoteReference"/>
          <w:sz w:val="18"/>
          <w:szCs w:val="18"/>
        </w:rPr>
        <w:footnoteRef/>
      </w:r>
      <w:r w:rsidRPr="00282CFC">
        <w:rPr>
          <w:sz w:val="18"/>
          <w:szCs w:val="18"/>
        </w:rPr>
        <w:t xml:space="preserve"> </w:t>
      </w:r>
      <w:r w:rsidRPr="00282CFC">
        <w:rPr>
          <w:rFonts w:cstheme="minorHAnsi"/>
          <w:sz w:val="18"/>
          <w:szCs w:val="18"/>
        </w:rPr>
        <w:t xml:space="preserve">CHOICE Australia, 2018. </w:t>
      </w:r>
      <w:r w:rsidRPr="00282CFC">
        <w:rPr>
          <w:rFonts w:cstheme="minorHAnsi"/>
          <w:i/>
          <w:sz w:val="18"/>
          <w:szCs w:val="18"/>
        </w:rPr>
        <w:t>‘People’s choice on sugar labelling’.</w:t>
      </w:r>
      <w:r w:rsidRPr="00282CFC">
        <w:rPr>
          <w:rFonts w:cstheme="minorHAnsi"/>
          <w:sz w:val="18"/>
          <w:szCs w:val="18"/>
        </w:rPr>
        <w:t xml:space="preserve"> Available at: </w:t>
      </w:r>
      <w:hyperlink r:id="rId156" w:history="1">
        <w:r w:rsidRPr="00282CFC">
          <w:rPr>
            <w:rStyle w:val="Hyperlink"/>
            <w:rFonts w:cstheme="minorHAnsi"/>
            <w:sz w:val="18"/>
            <w:szCs w:val="18"/>
          </w:rPr>
          <w:t>CHOICE website</w:t>
        </w:r>
      </w:hyperlink>
      <w:r w:rsidRPr="00282CFC">
        <w:rPr>
          <w:rFonts w:cstheme="minorHAnsi"/>
          <w:sz w:val="18"/>
          <w:szCs w:val="18"/>
        </w:rPr>
        <w:t xml:space="preserve"> (accessed 13 November 2018).</w:t>
      </w:r>
    </w:p>
  </w:footnote>
  <w:footnote w:id="246">
    <w:p w14:paraId="3FB88C35" w14:textId="062550F2" w:rsidR="00AA37B6" w:rsidRPr="008175C1" w:rsidRDefault="00AA37B6" w:rsidP="00282CFC">
      <w:pPr>
        <w:pStyle w:val="FootnoteText"/>
        <w:spacing w:before="0" w:after="0"/>
        <w:rPr>
          <w:rFonts w:cstheme="minorHAnsi"/>
          <w:sz w:val="18"/>
          <w:szCs w:val="18"/>
        </w:rPr>
      </w:pPr>
      <w:r w:rsidRPr="008175C1">
        <w:rPr>
          <w:rStyle w:val="FootnoteReference"/>
          <w:rFonts w:cstheme="minorHAnsi"/>
          <w:sz w:val="18"/>
          <w:szCs w:val="18"/>
        </w:rPr>
        <w:footnoteRef/>
      </w:r>
      <w:r w:rsidRPr="008175C1">
        <w:rPr>
          <w:rFonts w:cstheme="minorHAnsi"/>
          <w:sz w:val="18"/>
          <w:szCs w:val="18"/>
        </w:rPr>
        <w:t xml:space="preserve"> </w:t>
      </w:r>
      <w:r w:rsidRPr="008175C1">
        <w:rPr>
          <w:rFonts w:cstheme="minorHAnsi"/>
          <w:sz w:val="18"/>
          <w:szCs w:val="18"/>
          <w:shd w:val="clear" w:color="auto" w:fill="FFFFFF"/>
        </w:rPr>
        <w:t>Jones, A., Shahid, M. &amp; Neal, B.J</w:t>
      </w:r>
      <w:r>
        <w:rPr>
          <w:rFonts w:cstheme="minorHAnsi"/>
          <w:sz w:val="18"/>
          <w:szCs w:val="18"/>
          <w:shd w:val="clear" w:color="auto" w:fill="FFFFFF"/>
        </w:rPr>
        <w:t>.</w:t>
      </w:r>
      <w:r w:rsidRPr="008175C1">
        <w:rPr>
          <w:rFonts w:cstheme="minorHAnsi"/>
          <w:sz w:val="18"/>
          <w:szCs w:val="18"/>
          <w:shd w:val="clear" w:color="auto" w:fill="FFFFFF"/>
        </w:rPr>
        <w:t xml:space="preserve">, 2018. ‘Uptake of Australia’s Health Star Rating System’. </w:t>
      </w:r>
      <w:r w:rsidRPr="008175C1">
        <w:rPr>
          <w:rFonts w:cstheme="minorHAnsi"/>
          <w:i/>
          <w:sz w:val="18"/>
          <w:szCs w:val="18"/>
          <w:shd w:val="clear" w:color="auto" w:fill="FFFFFF"/>
        </w:rPr>
        <w:t>Nutrients</w:t>
      </w:r>
      <w:r>
        <w:rPr>
          <w:rFonts w:cstheme="minorHAnsi"/>
          <w:sz w:val="18"/>
          <w:szCs w:val="18"/>
          <w:shd w:val="clear" w:color="auto" w:fill="FFFFFF"/>
        </w:rPr>
        <w:t>, 10(8): p</w:t>
      </w:r>
      <w:r w:rsidRPr="008175C1">
        <w:rPr>
          <w:rFonts w:cstheme="minorHAnsi"/>
          <w:sz w:val="18"/>
          <w:szCs w:val="18"/>
          <w:shd w:val="clear" w:color="auto" w:fill="FFFFFF"/>
        </w:rPr>
        <w:t>997.</w:t>
      </w:r>
    </w:p>
  </w:footnote>
  <w:footnote w:id="247">
    <w:p w14:paraId="25E7B28F" w14:textId="23B28EEE" w:rsidR="00AA37B6" w:rsidRPr="008175C1" w:rsidRDefault="00AA37B6" w:rsidP="00282CFC">
      <w:pPr>
        <w:pStyle w:val="FootnoteText"/>
        <w:spacing w:before="0" w:after="0"/>
        <w:rPr>
          <w:rFonts w:cstheme="minorHAnsi"/>
          <w:sz w:val="18"/>
          <w:szCs w:val="18"/>
          <w:lang w:val="en"/>
        </w:rPr>
      </w:pPr>
      <w:r w:rsidRPr="008175C1">
        <w:rPr>
          <w:rStyle w:val="FootnoteReference"/>
          <w:rFonts w:cstheme="minorHAnsi"/>
          <w:sz w:val="18"/>
          <w:szCs w:val="18"/>
        </w:rPr>
        <w:footnoteRef/>
      </w:r>
      <w:r w:rsidRPr="008175C1">
        <w:rPr>
          <w:rFonts w:cstheme="minorHAnsi"/>
          <w:sz w:val="18"/>
          <w:szCs w:val="18"/>
        </w:rPr>
        <w:t xml:space="preserve"> </w:t>
      </w:r>
      <w:r w:rsidRPr="008175C1">
        <w:rPr>
          <w:rFonts w:cstheme="minorHAnsi"/>
          <w:sz w:val="18"/>
          <w:szCs w:val="18"/>
          <w:lang w:val="en"/>
        </w:rPr>
        <w:t>King, L., et al, 2011. ‘Industry self regulation of television food advertising: Responsible or responsive?’</w:t>
      </w:r>
      <w:r>
        <w:rPr>
          <w:rFonts w:cstheme="minorHAnsi"/>
          <w:sz w:val="18"/>
          <w:szCs w:val="18"/>
          <w:lang w:val="en"/>
        </w:rPr>
        <w:t>.</w:t>
      </w:r>
      <w:r w:rsidRPr="008175C1">
        <w:rPr>
          <w:rFonts w:cstheme="minorHAnsi"/>
          <w:sz w:val="18"/>
          <w:szCs w:val="18"/>
          <w:lang w:val="en"/>
        </w:rPr>
        <w:t xml:space="preserve"> </w:t>
      </w:r>
      <w:r w:rsidRPr="008175C1">
        <w:rPr>
          <w:rFonts w:cstheme="minorHAnsi"/>
          <w:i/>
          <w:sz w:val="18"/>
          <w:szCs w:val="18"/>
          <w:lang w:val="en"/>
        </w:rPr>
        <w:t>International Journal of Pediatric Obesity</w:t>
      </w:r>
      <w:r>
        <w:rPr>
          <w:rFonts w:cstheme="minorHAnsi"/>
          <w:sz w:val="18"/>
          <w:szCs w:val="18"/>
          <w:lang w:val="en"/>
        </w:rPr>
        <w:t>, 6(2-2): e</w:t>
      </w:r>
      <w:r w:rsidRPr="008175C1">
        <w:rPr>
          <w:rFonts w:cstheme="minorHAnsi"/>
          <w:sz w:val="18"/>
          <w:szCs w:val="18"/>
          <w:lang w:val="en"/>
        </w:rPr>
        <w:t>390-98.</w:t>
      </w:r>
    </w:p>
  </w:footnote>
  <w:footnote w:id="248">
    <w:p w14:paraId="44B9E19B" w14:textId="533406BC" w:rsidR="00AA37B6" w:rsidRPr="008175C1" w:rsidRDefault="00AA37B6" w:rsidP="00282CFC">
      <w:pPr>
        <w:pStyle w:val="FootnoteText"/>
        <w:spacing w:before="0" w:after="0"/>
        <w:rPr>
          <w:rFonts w:cstheme="minorHAnsi"/>
          <w:sz w:val="18"/>
          <w:szCs w:val="18"/>
        </w:rPr>
      </w:pPr>
      <w:r w:rsidRPr="008175C1">
        <w:rPr>
          <w:rStyle w:val="FootnoteReference"/>
          <w:rFonts w:cstheme="minorHAnsi"/>
          <w:sz w:val="18"/>
          <w:szCs w:val="18"/>
        </w:rPr>
        <w:footnoteRef/>
      </w:r>
      <w:r w:rsidRPr="008175C1">
        <w:rPr>
          <w:rFonts w:cstheme="minorHAnsi"/>
          <w:sz w:val="18"/>
          <w:szCs w:val="18"/>
        </w:rPr>
        <w:t xml:space="preserve"> </w:t>
      </w:r>
      <w:r w:rsidRPr="008175C1">
        <w:rPr>
          <w:rFonts w:cstheme="minorHAnsi"/>
          <w:sz w:val="18"/>
          <w:szCs w:val="18"/>
          <w:lang w:val="en"/>
        </w:rPr>
        <w:t xml:space="preserve">Hebden, L., et al, 2011. ‘Advertising of fast food to children on Australian television: the impact of industry self-regulation’. </w:t>
      </w:r>
      <w:r w:rsidRPr="008175C1">
        <w:rPr>
          <w:rFonts w:cstheme="minorHAnsi"/>
          <w:i/>
          <w:sz w:val="18"/>
          <w:szCs w:val="18"/>
          <w:lang w:val="en"/>
        </w:rPr>
        <w:t>Medical Journal of Australia</w:t>
      </w:r>
      <w:r w:rsidRPr="008175C1">
        <w:rPr>
          <w:rFonts w:cstheme="minorHAnsi"/>
          <w:sz w:val="18"/>
          <w:szCs w:val="18"/>
          <w:lang w:val="en"/>
        </w:rPr>
        <w:t>, 195(1): p20-24.</w:t>
      </w:r>
    </w:p>
  </w:footnote>
  <w:footnote w:id="249">
    <w:p w14:paraId="2A10BFFE" w14:textId="3F86EECF" w:rsidR="00AA37B6" w:rsidRPr="008175C1" w:rsidRDefault="00AA37B6" w:rsidP="00282CFC">
      <w:pPr>
        <w:pStyle w:val="FootnoteText"/>
        <w:spacing w:before="0" w:after="0"/>
        <w:rPr>
          <w:rFonts w:cstheme="minorHAnsi"/>
          <w:sz w:val="18"/>
          <w:szCs w:val="18"/>
        </w:rPr>
      </w:pPr>
      <w:r w:rsidRPr="008175C1">
        <w:rPr>
          <w:rStyle w:val="FootnoteReference"/>
          <w:rFonts w:cstheme="minorHAnsi"/>
          <w:sz w:val="18"/>
          <w:szCs w:val="18"/>
        </w:rPr>
        <w:footnoteRef/>
      </w:r>
      <w:r w:rsidRPr="008175C1">
        <w:rPr>
          <w:rFonts w:cstheme="minorHAnsi"/>
          <w:sz w:val="18"/>
          <w:szCs w:val="18"/>
        </w:rPr>
        <w:t xml:space="preserve"> </w:t>
      </w:r>
      <w:r w:rsidRPr="008175C1">
        <w:rPr>
          <w:rFonts w:cstheme="minorHAnsi"/>
          <w:sz w:val="18"/>
          <w:szCs w:val="18"/>
          <w:lang w:val="en"/>
        </w:rPr>
        <w:t xml:space="preserve">Galbraith-Emami, S. &amp; Lobstein, T., 2013. ‘The impact of initiatives to limit the advertising of food and beverage products to children: a systematic review’. </w:t>
      </w:r>
      <w:r w:rsidRPr="008175C1">
        <w:rPr>
          <w:rFonts w:cstheme="minorHAnsi"/>
          <w:i/>
          <w:sz w:val="18"/>
          <w:szCs w:val="18"/>
          <w:lang w:val="en"/>
        </w:rPr>
        <w:t>Obesity Reviews</w:t>
      </w:r>
      <w:r w:rsidRPr="008175C1">
        <w:rPr>
          <w:rFonts w:cstheme="minorHAnsi"/>
          <w:sz w:val="18"/>
          <w:szCs w:val="18"/>
          <w:lang w:val="en"/>
        </w:rPr>
        <w:t>, 14(12): p960-</w:t>
      </w:r>
      <w:r>
        <w:rPr>
          <w:rFonts w:cstheme="minorHAnsi"/>
          <w:sz w:val="18"/>
          <w:szCs w:val="18"/>
          <w:lang w:val="en"/>
        </w:rPr>
        <w:t>9</w:t>
      </w:r>
      <w:r w:rsidRPr="008175C1">
        <w:rPr>
          <w:rFonts w:cstheme="minorHAnsi"/>
          <w:sz w:val="18"/>
          <w:szCs w:val="18"/>
          <w:lang w:val="en"/>
        </w:rPr>
        <w:t>74.</w:t>
      </w:r>
    </w:p>
  </w:footnote>
  <w:footnote w:id="250">
    <w:p w14:paraId="5FA22E17" w14:textId="77777777" w:rsidR="00AA37B6" w:rsidRPr="008175C1" w:rsidRDefault="00AA37B6" w:rsidP="00282CFC">
      <w:pPr>
        <w:pStyle w:val="FootnoteText"/>
        <w:spacing w:before="0" w:after="0"/>
        <w:rPr>
          <w:rFonts w:cstheme="minorHAnsi"/>
          <w:sz w:val="18"/>
          <w:szCs w:val="18"/>
        </w:rPr>
      </w:pPr>
      <w:r w:rsidRPr="008175C1">
        <w:rPr>
          <w:rStyle w:val="FootnoteReference"/>
          <w:rFonts w:cstheme="minorHAnsi"/>
          <w:sz w:val="18"/>
          <w:szCs w:val="18"/>
        </w:rPr>
        <w:footnoteRef/>
      </w:r>
      <w:r w:rsidRPr="008175C1">
        <w:rPr>
          <w:rFonts w:cstheme="minorHAnsi"/>
          <w:sz w:val="18"/>
          <w:szCs w:val="18"/>
        </w:rPr>
        <w:t xml:space="preserve"> </w:t>
      </w:r>
      <w:r w:rsidRPr="008175C1">
        <w:rPr>
          <w:rFonts w:cstheme="minorHAnsi"/>
          <w:sz w:val="18"/>
          <w:szCs w:val="18"/>
          <w:lang w:val="en"/>
        </w:rPr>
        <w:t xml:space="preserve">Australian Communications and Media Authority, 2011. </w:t>
      </w:r>
      <w:r w:rsidRPr="008175C1">
        <w:rPr>
          <w:rFonts w:cstheme="minorHAnsi"/>
          <w:i/>
          <w:sz w:val="18"/>
          <w:szCs w:val="18"/>
          <w:lang w:val="en"/>
        </w:rPr>
        <w:t>‘Industry self-regulation of food and beverage advertising to children</w:t>
      </w:r>
      <w:r w:rsidRPr="008175C1">
        <w:rPr>
          <w:rFonts w:cstheme="minorHAnsi"/>
          <w:sz w:val="18"/>
          <w:szCs w:val="18"/>
          <w:lang w:val="en"/>
        </w:rPr>
        <w:t xml:space="preserve">. </w:t>
      </w:r>
      <w:r w:rsidRPr="008175C1">
        <w:rPr>
          <w:rFonts w:cstheme="minorHAnsi"/>
          <w:i/>
          <w:sz w:val="18"/>
          <w:szCs w:val="18"/>
          <w:lang w:val="en"/>
        </w:rPr>
        <w:t>ACMA monitoring report’</w:t>
      </w:r>
      <w:r w:rsidRPr="008175C1">
        <w:rPr>
          <w:rFonts w:cstheme="minorHAnsi"/>
          <w:sz w:val="18"/>
          <w:szCs w:val="18"/>
          <w:lang w:val="en"/>
        </w:rPr>
        <w:t xml:space="preserve">. Available at: </w:t>
      </w:r>
      <w:hyperlink r:id="rId157" w:history="1">
        <w:r w:rsidRPr="008175C1">
          <w:rPr>
            <w:rStyle w:val="Hyperlink"/>
            <w:rFonts w:cstheme="minorHAnsi"/>
            <w:sz w:val="18"/>
            <w:szCs w:val="18"/>
            <w:lang w:val="en"/>
          </w:rPr>
          <w:t>ACMA website</w:t>
        </w:r>
      </w:hyperlink>
      <w:r w:rsidRPr="008175C1">
        <w:rPr>
          <w:rFonts w:cstheme="minorHAnsi"/>
          <w:sz w:val="18"/>
          <w:szCs w:val="18"/>
          <w:lang w:val="en"/>
        </w:rPr>
        <w:t xml:space="preserve"> (accessed on 14 January 2019).</w:t>
      </w:r>
    </w:p>
  </w:footnote>
  <w:footnote w:id="251">
    <w:p w14:paraId="6BCF18BF" w14:textId="00793482" w:rsidR="00AA37B6" w:rsidRPr="008175C1" w:rsidRDefault="00AA37B6" w:rsidP="00282CFC">
      <w:pPr>
        <w:pStyle w:val="FootnoteText"/>
        <w:spacing w:before="0" w:after="0"/>
        <w:rPr>
          <w:rFonts w:cstheme="minorHAnsi"/>
          <w:sz w:val="18"/>
          <w:szCs w:val="18"/>
        </w:rPr>
      </w:pPr>
      <w:r w:rsidRPr="008175C1">
        <w:rPr>
          <w:rStyle w:val="FootnoteReference"/>
          <w:rFonts w:cstheme="minorHAnsi"/>
          <w:sz w:val="18"/>
          <w:szCs w:val="18"/>
        </w:rPr>
        <w:footnoteRef/>
      </w:r>
      <w:r w:rsidRPr="008175C1">
        <w:rPr>
          <w:rFonts w:cstheme="minorHAnsi"/>
          <w:sz w:val="18"/>
          <w:szCs w:val="18"/>
        </w:rPr>
        <w:t xml:space="preserve"> </w:t>
      </w:r>
      <w:r w:rsidRPr="008175C1">
        <w:rPr>
          <w:rFonts w:cstheme="minorHAnsi"/>
          <w:sz w:val="18"/>
          <w:szCs w:val="18"/>
          <w:lang w:val="en"/>
        </w:rPr>
        <w:t xml:space="preserve">Watson, W.L., et al, 2017. ‘Advertising to children initiatives have not reduced unhealthy food advertising on Australian television’. </w:t>
      </w:r>
      <w:r w:rsidRPr="008175C1">
        <w:rPr>
          <w:rFonts w:cstheme="minorHAnsi"/>
          <w:i/>
          <w:sz w:val="18"/>
          <w:szCs w:val="18"/>
          <w:lang w:val="en"/>
        </w:rPr>
        <w:t>Journal of Public Health</w:t>
      </w:r>
      <w:r>
        <w:rPr>
          <w:rFonts w:cstheme="minorHAnsi"/>
          <w:sz w:val="18"/>
          <w:szCs w:val="18"/>
          <w:lang w:val="en"/>
        </w:rPr>
        <w:t>, 39(4): p</w:t>
      </w:r>
      <w:r w:rsidRPr="008175C1">
        <w:rPr>
          <w:rFonts w:cstheme="minorHAnsi"/>
          <w:sz w:val="18"/>
          <w:szCs w:val="18"/>
          <w:lang w:val="en"/>
        </w:rPr>
        <w:t>787-92.</w:t>
      </w:r>
    </w:p>
  </w:footnote>
  <w:footnote w:id="252">
    <w:p w14:paraId="02F542EA" w14:textId="17392C6F" w:rsidR="00AA37B6" w:rsidRPr="008175C1" w:rsidRDefault="00AA37B6" w:rsidP="00282CFC">
      <w:pPr>
        <w:pStyle w:val="FootnoteText"/>
        <w:spacing w:before="0" w:after="0"/>
        <w:rPr>
          <w:rFonts w:cstheme="minorHAnsi"/>
          <w:sz w:val="18"/>
          <w:szCs w:val="18"/>
          <w:lang w:val="en"/>
        </w:rPr>
      </w:pPr>
      <w:r w:rsidRPr="008175C1">
        <w:rPr>
          <w:rStyle w:val="FootnoteReference"/>
          <w:rFonts w:cstheme="minorHAnsi"/>
          <w:sz w:val="18"/>
          <w:szCs w:val="18"/>
        </w:rPr>
        <w:footnoteRef/>
      </w:r>
      <w:r w:rsidRPr="008175C1">
        <w:rPr>
          <w:rFonts w:cstheme="minorHAnsi"/>
          <w:sz w:val="18"/>
          <w:szCs w:val="18"/>
        </w:rPr>
        <w:t xml:space="preserve"> </w:t>
      </w:r>
      <w:r w:rsidRPr="008175C1">
        <w:rPr>
          <w:rFonts w:cstheme="minorHAnsi"/>
          <w:sz w:val="18"/>
          <w:szCs w:val="18"/>
          <w:lang w:val="en"/>
        </w:rPr>
        <w:t xml:space="preserve">Smithers, L.G., Lynch, J.W. &amp; Merlin, T., 2014. ‘Industry self-regulation and TV advertising of foods to Australian children’. </w:t>
      </w:r>
      <w:r w:rsidRPr="008175C1">
        <w:rPr>
          <w:rFonts w:cstheme="minorHAnsi"/>
          <w:i/>
          <w:sz w:val="18"/>
          <w:szCs w:val="18"/>
          <w:lang w:val="en"/>
        </w:rPr>
        <w:t>Journal of Paediatrics and Child Health</w:t>
      </w:r>
      <w:r>
        <w:rPr>
          <w:rFonts w:cstheme="minorHAnsi"/>
          <w:sz w:val="18"/>
          <w:szCs w:val="18"/>
          <w:lang w:val="en"/>
        </w:rPr>
        <w:t>, 50(5): p</w:t>
      </w:r>
      <w:r w:rsidRPr="008175C1">
        <w:rPr>
          <w:rFonts w:cstheme="minorHAnsi"/>
          <w:sz w:val="18"/>
          <w:szCs w:val="18"/>
          <w:lang w:val="en"/>
        </w:rPr>
        <w:t>386-92.</w:t>
      </w:r>
    </w:p>
  </w:footnote>
  <w:footnote w:id="253">
    <w:p w14:paraId="1614B14D" w14:textId="79F3AA23" w:rsidR="00AA37B6" w:rsidRPr="008175C1" w:rsidRDefault="00AA37B6" w:rsidP="00282CFC">
      <w:pPr>
        <w:pStyle w:val="FootnoteText"/>
        <w:spacing w:before="0" w:after="0"/>
        <w:rPr>
          <w:rFonts w:cstheme="minorHAnsi"/>
          <w:sz w:val="18"/>
          <w:szCs w:val="18"/>
          <w:lang w:val="en"/>
        </w:rPr>
      </w:pPr>
      <w:r w:rsidRPr="008175C1">
        <w:rPr>
          <w:rStyle w:val="FootnoteReference"/>
          <w:rFonts w:cstheme="minorHAnsi"/>
          <w:sz w:val="18"/>
          <w:szCs w:val="18"/>
        </w:rPr>
        <w:footnoteRef/>
      </w:r>
      <w:r w:rsidRPr="008175C1">
        <w:rPr>
          <w:rFonts w:cstheme="minorHAnsi"/>
          <w:sz w:val="18"/>
          <w:szCs w:val="18"/>
        </w:rPr>
        <w:t xml:space="preserve"> </w:t>
      </w:r>
      <w:r w:rsidRPr="008175C1">
        <w:rPr>
          <w:rFonts w:cstheme="minorHAnsi"/>
          <w:sz w:val="18"/>
          <w:szCs w:val="18"/>
          <w:lang w:val="en"/>
        </w:rPr>
        <w:t xml:space="preserve">Ronit, K. &amp; Jensen, J.D, 2014. ‘Obesity and industry self-regulation of food and beverage marketing: a literature review’. </w:t>
      </w:r>
      <w:r w:rsidRPr="008175C1">
        <w:rPr>
          <w:rFonts w:cstheme="minorHAnsi"/>
          <w:i/>
          <w:sz w:val="18"/>
          <w:szCs w:val="18"/>
          <w:lang w:val="en"/>
        </w:rPr>
        <w:t>European Journal of Clinical Nutrition</w:t>
      </w:r>
      <w:r>
        <w:rPr>
          <w:rFonts w:cstheme="minorHAnsi"/>
          <w:sz w:val="18"/>
          <w:szCs w:val="18"/>
          <w:lang w:val="en"/>
        </w:rPr>
        <w:t>, 68(7): p</w:t>
      </w:r>
      <w:r w:rsidRPr="008175C1">
        <w:rPr>
          <w:rFonts w:cstheme="minorHAnsi"/>
          <w:sz w:val="18"/>
          <w:szCs w:val="18"/>
          <w:lang w:val="en"/>
        </w:rPr>
        <w:t>753-</w:t>
      </w:r>
      <w:r>
        <w:rPr>
          <w:rFonts w:cstheme="minorHAnsi"/>
          <w:sz w:val="18"/>
          <w:szCs w:val="18"/>
          <w:lang w:val="en"/>
        </w:rPr>
        <w:t>75</w:t>
      </w:r>
      <w:r w:rsidRPr="008175C1">
        <w:rPr>
          <w:rFonts w:cstheme="minorHAnsi"/>
          <w:sz w:val="18"/>
          <w:szCs w:val="18"/>
          <w:lang w:val="en"/>
        </w:rPr>
        <w:t>9.</w:t>
      </w:r>
    </w:p>
  </w:footnote>
  <w:footnote w:id="254">
    <w:p w14:paraId="32E2837C" w14:textId="1893C9BD" w:rsidR="00AA37B6" w:rsidRPr="00AC4FA7" w:rsidRDefault="00AA37B6" w:rsidP="00282CFC">
      <w:pPr>
        <w:pStyle w:val="FootnoteText"/>
        <w:spacing w:before="0" w:after="0"/>
        <w:rPr>
          <w:rFonts w:cstheme="minorHAnsi"/>
          <w:sz w:val="18"/>
        </w:rPr>
      </w:pPr>
      <w:r w:rsidRPr="008175C1">
        <w:rPr>
          <w:rStyle w:val="FootnoteReference"/>
          <w:rFonts w:cstheme="minorHAnsi"/>
          <w:sz w:val="18"/>
          <w:szCs w:val="18"/>
        </w:rPr>
        <w:footnoteRef/>
      </w:r>
      <w:r w:rsidRPr="008175C1">
        <w:rPr>
          <w:rFonts w:cstheme="minorHAnsi"/>
          <w:sz w:val="18"/>
          <w:szCs w:val="18"/>
        </w:rPr>
        <w:t xml:space="preserve"> </w:t>
      </w:r>
      <w:r w:rsidRPr="008175C1">
        <w:rPr>
          <w:rFonts w:cstheme="minorHAnsi"/>
          <w:sz w:val="18"/>
          <w:szCs w:val="18"/>
          <w:lang w:val="en"/>
        </w:rPr>
        <w:t xml:space="preserve">Reeve, B., 2016. ‘Self-Regulation of Food Advertising to Children: An Effective Tool for Improving the Food Marketing Environment?’ </w:t>
      </w:r>
      <w:r w:rsidRPr="008175C1">
        <w:rPr>
          <w:rFonts w:cstheme="minorHAnsi"/>
          <w:i/>
          <w:sz w:val="18"/>
          <w:szCs w:val="18"/>
          <w:lang w:val="en"/>
        </w:rPr>
        <w:t>Monash University Law Review</w:t>
      </w:r>
      <w:r>
        <w:rPr>
          <w:rFonts w:cstheme="minorHAnsi"/>
          <w:sz w:val="18"/>
          <w:szCs w:val="18"/>
          <w:lang w:val="en"/>
        </w:rPr>
        <w:t>, 42(2): p</w:t>
      </w:r>
      <w:r w:rsidRPr="008175C1">
        <w:rPr>
          <w:rFonts w:cstheme="minorHAnsi"/>
          <w:sz w:val="18"/>
          <w:szCs w:val="18"/>
          <w:lang w:val="en"/>
        </w:rPr>
        <w:t>419-457.</w:t>
      </w:r>
    </w:p>
  </w:footnote>
  <w:footnote w:id="255">
    <w:p w14:paraId="36DAF27B" w14:textId="292EA8EC" w:rsidR="00AA37B6" w:rsidRPr="008175C1" w:rsidRDefault="00AA37B6" w:rsidP="00282CFC">
      <w:pPr>
        <w:pStyle w:val="FootnoteText"/>
        <w:spacing w:before="0" w:after="0"/>
        <w:rPr>
          <w:rFonts w:cstheme="minorHAnsi"/>
          <w:sz w:val="18"/>
          <w:szCs w:val="18"/>
        </w:rPr>
      </w:pPr>
      <w:r w:rsidRPr="008175C1">
        <w:rPr>
          <w:rStyle w:val="FootnoteReference"/>
          <w:rFonts w:cstheme="minorHAnsi"/>
          <w:sz w:val="18"/>
          <w:szCs w:val="18"/>
        </w:rPr>
        <w:footnoteRef/>
      </w:r>
      <w:r w:rsidRPr="008175C1">
        <w:rPr>
          <w:rFonts w:cstheme="minorHAnsi"/>
          <w:sz w:val="18"/>
          <w:szCs w:val="18"/>
        </w:rPr>
        <w:t xml:space="preserve"> Some submissions provided a food industry and alcohol industry perspective and have been counted within both of these sectors. Some submissions did not answer all of the questions, which is why the number of responses may not be consistent with the </w:t>
      </w:r>
      <w:r>
        <w:rPr>
          <w:rFonts w:cstheme="minorHAnsi"/>
          <w:sz w:val="18"/>
          <w:szCs w:val="18"/>
        </w:rPr>
        <w:t>number of submissions received.</w:t>
      </w:r>
    </w:p>
  </w:footnote>
  <w:footnote w:id="256">
    <w:p w14:paraId="089528A3" w14:textId="77777777" w:rsidR="00AA37B6" w:rsidRPr="008175C1" w:rsidRDefault="00AA37B6" w:rsidP="00282CFC">
      <w:pPr>
        <w:pStyle w:val="FootnoteText"/>
        <w:spacing w:before="0" w:after="0"/>
        <w:rPr>
          <w:rFonts w:cstheme="minorHAnsi"/>
          <w:sz w:val="18"/>
          <w:szCs w:val="18"/>
        </w:rPr>
      </w:pPr>
      <w:r w:rsidRPr="008175C1">
        <w:rPr>
          <w:rStyle w:val="FootnoteReference"/>
          <w:rFonts w:cstheme="minorHAnsi"/>
          <w:sz w:val="18"/>
          <w:szCs w:val="18"/>
        </w:rPr>
        <w:footnoteRef/>
      </w:r>
      <w:r w:rsidRPr="008175C1">
        <w:rPr>
          <w:rFonts w:cstheme="minorHAnsi"/>
          <w:sz w:val="18"/>
          <w:szCs w:val="18"/>
        </w:rPr>
        <w:t xml:space="preserve"> Food Standards Australia New Zealand, 2015. </w:t>
      </w:r>
      <w:r w:rsidRPr="008175C1">
        <w:rPr>
          <w:rFonts w:cstheme="minorHAnsi"/>
          <w:i/>
          <w:sz w:val="18"/>
          <w:szCs w:val="18"/>
        </w:rPr>
        <w:t xml:space="preserve">‘Consumer label survey 2015. Food labelling use and understanding in Australia and New Zealand’. </w:t>
      </w:r>
      <w:r w:rsidRPr="008175C1">
        <w:rPr>
          <w:rFonts w:cstheme="minorHAnsi"/>
          <w:sz w:val="18"/>
          <w:szCs w:val="18"/>
        </w:rPr>
        <w:t xml:space="preserve">Available at: </w:t>
      </w:r>
      <w:hyperlink r:id="rId158" w:history="1">
        <w:r w:rsidRPr="008175C1">
          <w:rPr>
            <w:rStyle w:val="Hyperlink"/>
            <w:rFonts w:cstheme="minorHAnsi"/>
            <w:sz w:val="18"/>
            <w:szCs w:val="18"/>
          </w:rPr>
          <w:t>FSANZ website</w:t>
        </w:r>
      </w:hyperlink>
      <w:r w:rsidRPr="008175C1">
        <w:rPr>
          <w:rFonts w:cstheme="minorHAnsi"/>
          <w:sz w:val="18"/>
          <w:szCs w:val="18"/>
        </w:rPr>
        <w:t xml:space="preserve"> (accessed 13 November 2018).</w:t>
      </w:r>
    </w:p>
  </w:footnote>
  <w:footnote w:id="257">
    <w:p w14:paraId="5D44A16C" w14:textId="123E4812" w:rsidR="00AA37B6" w:rsidRPr="00282CFC" w:rsidRDefault="00AA37B6" w:rsidP="00282CFC">
      <w:pPr>
        <w:pStyle w:val="FootnoteText"/>
        <w:spacing w:before="0" w:after="0"/>
        <w:rPr>
          <w:rFonts w:cstheme="minorHAnsi"/>
          <w:sz w:val="18"/>
          <w:szCs w:val="18"/>
        </w:rPr>
      </w:pPr>
      <w:r w:rsidRPr="008175C1">
        <w:rPr>
          <w:rStyle w:val="FootnoteReference"/>
          <w:rFonts w:cstheme="minorHAnsi"/>
          <w:sz w:val="18"/>
          <w:szCs w:val="18"/>
        </w:rPr>
        <w:footnoteRef/>
      </w:r>
      <w:r w:rsidRPr="008175C1">
        <w:rPr>
          <w:rFonts w:cstheme="minorHAnsi"/>
          <w:sz w:val="18"/>
          <w:szCs w:val="18"/>
        </w:rPr>
        <w:t xml:space="preserve"> Englyst, K.N., Liu, S. &amp; Englyst, H.N., 2007. ‘Nutritional characterization and measurement of dietary carbohydrates’. </w:t>
      </w:r>
      <w:r w:rsidRPr="008175C1">
        <w:rPr>
          <w:rFonts w:cstheme="minorHAnsi"/>
          <w:i/>
          <w:sz w:val="18"/>
          <w:szCs w:val="18"/>
        </w:rPr>
        <w:t>European Journal of Clinical Nutrition</w:t>
      </w:r>
      <w:r w:rsidRPr="008175C1">
        <w:rPr>
          <w:rFonts w:cstheme="minorHAnsi"/>
          <w:sz w:val="18"/>
          <w:szCs w:val="18"/>
        </w:rPr>
        <w:t xml:space="preserve">, 61: </w:t>
      </w:r>
      <w:r>
        <w:rPr>
          <w:rFonts w:cstheme="minorHAnsi"/>
          <w:sz w:val="18"/>
          <w:szCs w:val="18"/>
        </w:rPr>
        <w:t>p</w:t>
      </w:r>
      <w:r w:rsidRPr="008175C1">
        <w:rPr>
          <w:rFonts w:cstheme="minorHAnsi"/>
          <w:sz w:val="18"/>
          <w:szCs w:val="18"/>
        </w:rPr>
        <w:t>S19-S39</w:t>
      </w:r>
      <w:r w:rsidRPr="008175C1">
        <w:rPr>
          <w:rFonts w:cstheme="minorHAnsi"/>
          <w:i/>
          <w:sz w:val="18"/>
          <w:szCs w:val="18"/>
        </w:rPr>
        <w:t>.</w:t>
      </w:r>
    </w:p>
  </w:footnote>
  <w:footnote w:id="258">
    <w:p w14:paraId="2CF18C85" w14:textId="77777777" w:rsidR="00AA37B6" w:rsidRPr="008175C1" w:rsidRDefault="00AA37B6" w:rsidP="00282CFC">
      <w:pPr>
        <w:pStyle w:val="FootnoteText"/>
        <w:spacing w:before="0" w:after="0"/>
        <w:rPr>
          <w:rFonts w:cstheme="minorHAnsi"/>
          <w:sz w:val="18"/>
          <w:szCs w:val="18"/>
        </w:rPr>
      </w:pPr>
      <w:r w:rsidRPr="008175C1">
        <w:rPr>
          <w:rStyle w:val="FootnoteReference"/>
          <w:rFonts w:cstheme="minorHAnsi"/>
          <w:sz w:val="18"/>
          <w:szCs w:val="18"/>
        </w:rPr>
        <w:footnoteRef/>
      </w:r>
      <w:r w:rsidRPr="008175C1">
        <w:rPr>
          <w:rFonts w:cstheme="minorHAnsi"/>
          <w:sz w:val="18"/>
          <w:szCs w:val="18"/>
        </w:rPr>
        <w:t xml:space="preserve"> Food Standards Australia New Zealand, 2015. </w:t>
      </w:r>
      <w:r w:rsidRPr="008175C1">
        <w:rPr>
          <w:rFonts w:cstheme="minorHAnsi"/>
          <w:i/>
          <w:sz w:val="18"/>
          <w:szCs w:val="18"/>
        </w:rPr>
        <w:t xml:space="preserve">‘Consumer label survey 2015. Food labelling use and understanding in Australia and New Zealand’. </w:t>
      </w:r>
      <w:r w:rsidRPr="008175C1">
        <w:rPr>
          <w:rFonts w:cstheme="minorHAnsi"/>
          <w:sz w:val="18"/>
          <w:szCs w:val="18"/>
        </w:rPr>
        <w:t xml:space="preserve">Available at: </w:t>
      </w:r>
      <w:hyperlink r:id="rId159" w:history="1">
        <w:r w:rsidRPr="008175C1">
          <w:rPr>
            <w:rStyle w:val="Hyperlink"/>
            <w:rFonts w:cstheme="minorHAnsi"/>
            <w:sz w:val="18"/>
            <w:szCs w:val="18"/>
          </w:rPr>
          <w:t>FSANZ website</w:t>
        </w:r>
      </w:hyperlink>
      <w:r w:rsidRPr="008175C1">
        <w:rPr>
          <w:rFonts w:cstheme="minorHAnsi"/>
          <w:sz w:val="18"/>
          <w:szCs w:val="18"/>
        </w:rPr>
        <w:t xml:space="preserve"> (accessed 13 November 2018).</w:t>
      </w:r>
    </w:p>
  </w:footnote>
  <w:footnote w:id="259">
    <w:p w14:paraId="49A88D74" w14:textId="1091C3A0" w:rsidR="00AA37B6" w:rsidRPr="008175C1" w:rsidRDefault="00AA37B6" w:rsidP="00282CFC">
      <w:pPr>
        <w:pStyle w:val="FootnoteText"/>
        <w:spacing w:before="0" w:after="0"/>
        <w:rPr>
          <w:rFonts w:cstheme="minorHAnsi"/>
          <w:sz w:val="18"/>
          <w:szCs w:val="18"/>
        </w:rPr>
      </w:pPr>
      <w:r w:rsidRPr="008175C1">
        <w:rPr>
          <w:rStyle w:val="FootnoteReference"/>
          <w:rFonts w:cstheme="minorHAnsi"/>
          <w:sz w:val="18"/>
          <w:szCs w:val="18"/>
        </w:rPr>
        <w:footnoteRef/>
      </w:r>
      <w:r>
        <w:rPr>
          <w:rFonts w:cstheme="minorHAnsi"/>
          <w:sz w:val="18"/>
          <w:szCs w:val="18"/>
        </w:rPr>
        <w:t xml:space="preserve"> </w:t>
      </w:r>
      <w:r w:rsidRPr="008175C1">
        <w:rPr>
          <w:rFonts w:cstheme="minorHAnsi"/>
          <w:sz w:val="18"/>
          <w:szCs w:val="18"/>
        </w:rPr>
        <w:t>Mela,</w:t>
      </w:r>
      <w:r>
        <w:rPr>
          <w:rFonts w:cstheme="minorHAnsi"/>
          <w:sz w:val="18"/>
          <w:szCs w:val="18"/>
        </w:rPr>
        <w:t xml:space="preserve"> D.J.,</w:t>
      </w:r>
      <w:r w:rsidRPr="008175C1">
        <w:rPr>
          <w:rFonts w:cstheme="minorHAnsi"/>
          <w:sz w:val="18"/>
          <w:szCs w:val="18"/>
        </w:rPr>
        <w:t xml:space="preserve"> Woolner</w:t>
      </w:r>
      <w:r>
        <w:rPr>
          <w:rFonts w:cstheme="minorHAnsi"/>
          <w:sz w:val="18"/>
          <w:szCs w:val="18"/>
        </w:rPr>
        <w:t>, E.M.,</w:t>
      </w:r>
      <w:r w:rsidRPr="008175C1">
        <w:rPr>
          <w:rFonts w:cstheme="minorHAnsi"/>
          <w:sz w:val="18"/>
          <w:szCs w:val="18"/>
        </w:rPr>
        <w:t xml:space="preserve"> 2018. ‘Perspective: Total, Added, or Free? What Kind of Sugars Should We Be Talking About?’ </w:t>
      </w:r>
      <w:r w:rsidRPr="008175C1">
        <w:rPr>
          <w:rFonts w:cstheme="minorHAnsi"/>
          <w:i/>
          <w:sz w:val="18"/>
          <w:szCs w:val="18"/>
        </w:rPr>
        <w:t>Advances in Nutrition</w:t>
      </w:r>
      <w:r w:rsidRPr="008175C1">
        <w:rPr>
          <w:rFonts w:cstheme="minorHAnsi"/>
          <w:sz w:val="18"/>
          <w:szCs w:val="18"/>
        </w:rPr>
        <w:t>, 9(2): p63–69.</w:t>
      </w:r>
    </w:p>
  </w:footnote>
  <w:footnote w:id="260">
    <w:p w14:paraId="62476B63" w14:textId="0373B2EC" w:rsidR="00AA37B6" w:rsidRPr="008175C1" w:rsidRDefault="00AA37B6" w:rsidP="00282CFC">
      <w:pPr>
        <w:pStyle w:val="FootnoteText"/>
        <w:spacing w:before="0" w:after="0"/>
        <w:rPr>
          <w:rFonts w:cstheme="minorHAnsi"/>
          <w:sz w:val="16"/>
          <w:szCs w:val="16"/>
        </w:rPr>
      </w:pPr>
      <w:r w:rsidRPr="008175C1">
        <w:rPr>
          <w:rStyle w:val="FootnoteReference"/>
          <w:rFonts w:cstheme="minorHAnsi"/>
          <w:sz w:val="18"/>
          <w:szCs w:val="18"/>
        </w:rPr>
        <w:footnoteRef/>
      </w:r>
      <w:r w:rsidRPr="008175C1">
        <w:rPr>
          <w:rFonts w:cstheme="minorHAnsi"/>
          <w:sz w:val="18"/>
          <w:szCs w:val="18"/>
        </w:rPr>
        <w:t xml:space="preserve"> Soederberg Miller</w:t>
      </w:r>
      <w:r>
        <w:rPr>
          <w:rFonts w:cstheme="minorHAnsi"/>
          <w:sz w:val="18"/>
          <w:szCs w:val="18"/>
        </w:rPr>
        <w:t>,</w:t>
      </w:r>
      <w:r w:rsidRPr="008175C1">
        <w:rPr>
          <w:rFonts w:cstheme="minorHAnsi"/>
          <w:sz w:val="18"/>
          <w:szCs w:val="18"/>
        </w:rPr>
        <w:t xml:space="preserve"> L.</w:t>
      </w:r>
      <w:r>
        <w:rPr>
          <w:rFonts w:cstheme="minorHAnsi"/>
          <w:sz w:val="18"/>
          <w:szCs w:val="18"/>
        </w:rPr>
        <w:t xml:space="preserve"> &amp;</w:t>
      </w:r>
      <w:r w:rsidRPr="008175C1">
        <w:rPr>
          <w:rFonts w:cstheme="minorHAnsi"/>
          <w:sz w:val="18"/>
          <w:szCs w:val="18"/>
        </w:rPr>
        <w:t xml:space="preserve"> Cassady. D., 2015. ‘The effects of nutrition knowledge on food label use. A review of the literature’. </w:t>
      </w:r>
      <w:r w:rsidRPr="008175C1">
        <w:rPr>
          <w:rFonts w:cstheme="minorHAnsi"/>
          <w:i/>
          <w:sz w:val="18"/>
          <w:szCs w:val="18"/>
        </w:rPr>
        <w:t>Appetite</w:t>
      </w:r>
      <w:r>
        <w:rPr>
          <w:rFonts w:cstheme="minorHAnsi"/>
          <w:sz w:val="18"/>
          <w:szCs w:val="18"/>
        </w:rPr>
        <w:t>, 92: p</w:t>
      </w:r>
      <w:r w:rsidRPr="008175C1">
        <w:rPr>
          <w:rFonts w:cstheme="minorHAnsi"/>
          <w:sz w:val="18"/>
          <w:szCs w:val="18"/>
        </w:rPr>
        <w:t>207-216.</w:t>
      </w:r>
    </w:p>
  </w:footnote>
  <w:footnote w:id="261">
    <w:p w14:paraId="68EFA368" w14:textId="6EA8B35A" w:rsidR="00AA37B6" w:rsidRPr="008175C1" w:rsidRDefault="00AA37B6" w:rsidP="00282CFC">
      <w:pPr>
        <w:pStyle w:val="FootnoteText"/>
        <w:spacing w:before="0" w:after="0"/>
        <w:rPr>
          <w:rFonts w:cstheme="minorHAnsi"/>
          <w:sz w:val="18"/>
          <w:szCs w:val="18"/>
        </w:rPr>
      </w:pPr>
      <w:r w:rsidRPr="008175C1">
        <w:rPr>
          <w:rStyle w:val="FootnoteReference"/>
          <w:rFonts w:cstheme="minorHAnsi"/>
          <w:sz w:val="18"/>
          <w:szCs w:val="18"/>
        </w:rPr>
        <w:footnoteRef/>
      </w:r>
      <w:r>
        <w:rPr>
          <w:rFonts w:cstheme="minorHAnsi"/>
          <w:sz w:val="18"/>
          <w:szCs w:val="18"/>
        </w:rPr>
        <w:t xml:space="preserve"> Gorton, D., et al,</w:t>
      </w:r>
      <w:r w:rsidRPr="008175C1">
        <w:rPr>
          <w:rFonts w:cstheme="minorHAnsi"/>
          <w:sz w:val="18"/>
          <w:szCs w:val="18"/>
        </w:rPr>
        <w:t xml:space="preserve"> 2009. ‘Nutrition labels: a survey of use, understanding and preferences among ethnically diverse shoppers in New Zealand’. </w:t>
      </w:r>
      <w:r w:rsidRPr="008175C1">
        <w:rPr>
          <w:rFonts w:cstheme="minorHAnsi"/>
          <w:i/>
          <w:sz w:val="18"/>
          <w:szCs w:val="18"/>
        </w:rPr>
        <w:t>Public Health Nutrition,</w:t>
      </w:r>
      <w:r w:rsidRPr="008175C1">
        <w:rPr>
          <w:rFonts w:cstheme="minorHAnsi"/>
          <w:sz w:val="18"/>
          <w:szCs w:val="18"/>
        </w:rPr>
        <w:t xml:space="preserve"> 12(9): p1359-65.</w:t>
      </w:r>
    </w:p>
  </w:footnote>
  <w:footnote w:id="262">
    <w:p w14:paraId="4C5CC2F1" w14:textId="21BAD9C5" w:rsidR="00AA37B6" w:rsidRPr="008175C1" w:rsidRDefault="00AA37B6" w:rsidP="00282CFC">
      <w:pPr>
        <w:pStyle w:val="FootnoteText"/>
        <w:spacing w:before="0" w:after="0"/>
        <w:rPr>
          <w:rFonts w:cstheme="minorHAnsi"/>
          <w:sz w:val="18"/>
          <w:szCs w:val="18"/>
        </w:rPr>
      </w:pPr>
      <w:r w:rsidRPr="008175C1">
        <w:rPr>
          <w:rStyle w:val="FootnoteReference"/>
          <w:rFonts w:cstheme="minorHAnsi"/>
          <w:sz w:val="18"/>
          <w:szCs w:val="18"/>
        </w:rPr>
        <w:footnoteRef/>
      </w:r>
      <w:r w:rsidRPr="008175C1">
        <w:rPr>
          <w:rFonts w:cstheme="minorHAnsi"/>
          <w:sz w:val="18"/>
          <w:szCs w:val="18"/>
        </w:rPr>
        <w:t xml:space="preserve"> </w:t>
      </w:r>
      <w:r w:rsidRPr="008175C1">
        <w:rPr>
          <w:rFonts w:cstheme="minorHAnsi"/>
          <w:sz w:val="18"/>
          <w:szCs w:val="18"/>
          <w:shd w:val="clear" w:color="auto" w:fill="FFFFFF"/>
        </w:rPr>
        <w:t>Vanderlee, L.</w:t>
      </w:r>
      <w:r>
        <w:rPr>
          <w:rFonts w:cstheme="minorHAnsi"/>
          <w:sz w:val="18"/>
          <w:szCs w:val="18"/>
          <w:shd w:val="clear" w:color="auto" w:fill="FFFFFF"/>
        </w:rPr>
        <w:t>,</w:t>
      </w:r>
      <w:r w:rsidRPr="008175C1">
        <w:rPr>
          <w:rFonts w:cstheme="minorHAnsi"/>
          <w:sz w:val="18"/>
          <w:szCs w:val="18"/>
          <w:shd w:val="clear" w:color="auto" w:fill="FFFFFF"/>
        </w:rPr>
        <w:t xml:space="preserve"> et al, 2015, ‘The efficacy of sugar labelling formats: Implications for labeling policy’. </w:t>
      </w:r>
      <w:r w:rsidRPr="008175C1">
        <w:rPr>
          <w:rFonts w:cstheme="minorHAnsi"/>
          <w:i/>
          <w:sz w:val="18"/>
          <w:szCs w:val="18"/>
          <w:shd w:val="clear" w:color="auto" w:fill="FFFFFF"/>
        </w:rPr>
        <w:t>Obesity</w:t>
      </w:r>
      <w:r w:rsidRPr="008175C1">
        <w:rPr>
          <w:rFonts w:cstheme="minorHAnsi"/>
          <w:sz w:val="18"/>
          <w:szCs w:val="18"/>
          <w:shd w:val="clear" w:color="auto" w:fill="FFFFFF"/>
        </w:rPr>
        <w:t>, 23: p2406-</w:t>
      </w:r>
      <w:r>
        <w:rPr>
          <w:rFonts w:cstheme="minorHAnsi"/>
          <w:sz w:val="18"/>
          <w:szCs w:val="18"/>
          <w:shd w:val="clear" w:color="auto" w:fill="FFFFFF"/>
        </w:rPr>
        <w:t>26</w:t>
      </w:r>
      <w:r w:rsidRPr="008175C1">
        <w:rPr>
          <w:rFonts w:cstheme="minorHAnsi"/>
          <w:sz w:val="18"/>
          <w:szCs w:val="18"/>
          <w:shd w:val="clear" w:color="auto" w:fill="FFFFFF"/>
        </w:rPr>
        <w:t>13.</w:t>
      </w:r>
    </w:p>
  </w:footnote>
  <w:footnote w:id="263">
    <w:p w14:paraId="1DAF828D" w14:textId="4EF9FB36" w:rsidR="00AA37B6" w:rsidRPr="008175C1" w:rsidRDefault="00AA37B6" w:rsidP="00282CFC">
      <w:pPr>
        <w:pStyle w:val="FootnoteText"/>
        <w:spacing w:before="0" w:after="0"/>
        <w:rPr>
          <w:rFonts w:cstheme="minorHAnsi"/>
          <w:sz w:val="18"/>
          <w:szCs w:val="18"/>
        </w:rPr>
      </w:pPr>
      <w:r w:rsidRPr="008175C1">
        <w:rPr>
          <w:rStyle w:val="FootnoteReference"/>
          <w:rFonts w:cstheme="minorHAnsi"/>
          <w:sz w:val="18"/>
          <w:szCs w:val="18"/>
        </w:rPr>
        <w:footnoteRef/>
      </w:r>
      <w:r w:rsidRPr="008175C1">
        <w:rPr>
          <w:rFonts w:cstheme="minorHAnsi"/>
          <w:sz w:val="18"/>
          <w:szCs w:val="18"/>
        </w:rPr>
        <w:t xml:space="preserve"> </w:t>
      </w:r>
      <w:r>
        <w:rPr>
          <w:rFonts w:cstheme="minorHAnsi"/>
          <w:sz w:val="18"/>
          <w:szCs w:val="18"/>
          <w:shd w:val="clear" w:color="auto" w:fill="FFFFFF"/>
        </w:rPr>
        <w:t>Khandpur, N., Graham, D.</w:t>
      </w:r>
      <w:r w:rsidRPr="008175C1">
        <w:rPr>
          <w:rFonts w:cstheme="minorHAnsi"/>
          <w:sz w:val="18"/>
          <w:szCs w:val="18"/>
          <w:shd w:val="clear" w:color="auto" w:fill="FFFFFF"/>
        </w:rPr>
        <w:t xml:space="preserve"> &amp; Roberto, C., 2017. ‘Simplifying mental math: Changing how added sugars are displayed on the nutrition facts label can improve consumer understanding’, </w:t>
      </w:r>
      <w:r w:rsidRPr="008175C1">
        <w:rPr>
          <w:rFonts w:cstheme="minorHAnsi"/>
          <w:i/>
          <w:sz w:val="18"/>
          <w:szCs w:val="18"/>
          <w:shd w:val="clear" w:color="auto" w:fill="FFFFFF"/>
        </w:rPr>
        <w:t xml:space="preserve">Appetite: </w:t>
      </w:r>
      <w:r w:rsidRPr="008175C1">
        <w:rPr>
          <w:rFonts w:cstheme="minorHAnsi"/>
          <w:sz w:val="18"/>
          <w:szCs w:val="18"/>
          <w:shd w:val="clear" w:color="auto" w:fill="FFFFFF"/>
        </w:rPr>
        <w:t>114: p38-46.</w:t>
      </w:r>
    </w:p>
  </w:footnote>
  <w:footnote w:id="264">
    <w:p w14:paraId="71301D62" w14:textId="77777777" w:rsidR="00AA37B6" w:rsidRPr="00282CFC" w:rsidRDefault="00AA37B6" w:rsidP="00282CFC">
      <w:pPr>
        <w:pStyle w:val="FootnoteText"/>
        <w:spacing w:before="0" w:after="0"/>
        <w:rPr>
          <w:rFonts w:ascii="Calibri Light" w:hAnsi="Calibri Light" w:cs="Calibri Light"/>
          <w:sz w:val="18"/>
          <w:szCs w:val="18"/>
        </w:rPr>
      </w:pPr>
      <w:r w:rsidRPr="008175C1">
        <w:rPr>
          <w:rStyle w:val="FootnoteReference"/>
          <w:rFonts w:cstheme="minorHAnsi"/>
          <w:sz w:val="18"/>
          <w:szCs w:val="18"/>
        </w:rPr>
        <w:footnoteRef/>
      </w:r>
      <w:r w:rsidRPr="008175C1">
        <w:rPr>
          <w:rFonts w:cstheme="minorHAnsi"/>
          <w:sz w:val="18"/>
          <w:szCs w:val="18"/>
        </w:rPr>
        <w:t xml:space="preserve"> Government includes state and territory Governments in Australia, New Zealand Government Ministries and New Zealand local Government agencies.</w:t>
      </w:r>
    </w:p>
  </w:footnote>
  <w:footnote w:id="265">
    <w:p w14:paraId="13E05124" w14:textId="7BAA375D" w:rsidR="00AA37B6" w:rsidRPr="00282CFC" w:rsidRDefault="00AA37B6" w:rsidP="00282CFC">
      <w:pPr>
        <w:pStyle w:val="FootnoteText"/>
        <w:spacing w:before="0" w:after="0"/>
        <w:rPr>
          <w:rFonts w:cstheme="minorHAnsi"/>
          <w:sz w:val="18"/>
          <w:szCs w:val="18"/>
        </w:rPr>
      </w:pPr>
      <w:r w:rsidRPr="0082427C">
        <w:rPr>
          <w:rStyle w:val="FootnoteReference"/>
          <w:rFonts w:cstheme="minorHAnsi"/>
          <w:sz w:val="18"/>
          <w:szCs w:val="18"/>
        </w:rPr>
        <w:footnoteRef/>
      </w:r>
      <w:r w:rsidRPr="0082427C">
        <w:rPr>
          <w:rFonts w:cstheme="minorHAnsi"/>
          <w:sz w:val="18"/>
          <w:szCs w:val="18"/>
        </w:rPr>
        <w:t xml:space="preserve"> </w:t>
      </w:r>
      <w:r w:rsidRPr="00282CFC">
        <w:rPr>
          <w:rFonts w:cstheme="minorHAnsi"/>
          <w:sz w:val="18"/>
          <w:szCs w:val="18"/>
        </w:rPr>
        <w:t>Khandpur. N., et al. ‘Are Front-of-Package Warning Labels More Effective at Communicating Nutrition Information than Traffic-Light Labels? A Randomized Controlled Experiment in a Brazilian Sample’</w:t>
      </w:r>
      <w:r w:rsidRPr="00282CFC">
        <w:rPr>
          <w:rFonts w:cstheme="minorHAnsi"/>
          <w:i/>
          <w:sz w:val="18"/>
          <w:szCs w:val="18"/>
        </w:rPr>
        <w:t>. Nutrients</w:t>
      </w:r>
      <w:r w:rsidRPr="00282CFC">
        <w:rPr>
          <w:rFonts w:cstheme="minorHAnsi"/>
          <w:sz w:val="18"/>
          <w:szCs w:val="18"/>
        </w:rPr>
        <w:t>, 10(6): p68.</w:t>
      </w:r>
    </w:p>
  </w:footnote>
  <w:footnote w:id="266">
    <w:p w14:paraId="3966874C" w14:textId="3810BB15" w:rsidR="00AA37B6" w:rsidRPr="00282CFC" w:rsidRDefault="00AA37B6" w:rsidP="00282CFC">
      <w:pPr>
        <w:pStyle w:val="FootnoteText"/>
        <w:spacing w:before="0" w:after="0"/>
        <w:rPr>
          <w:sz w:val="18"/>
          <w:szCs w:val="18"/>
        </w:rPr>
      </w:pPr>
      <w:r w:rsidRPr="00282CFC">
        <w:rPr>
          <w:rStyle w:val="FootnoteReference"/>
          <w:sz w:val="18"/>
          <w:szCs w:val="18"/>
        </w:rPr>
        <w:footnoteRef/>
      </w:r>
      <w:r w:rsidRPr="00282CFC">
        <w:rPr>
          <w:sz w:val="18"/>
          <w:szCs w:val="18"/>
        </w:rPr>
        <w:t xml:space="preserve"> </w:t>
      </w:r>
      <w:r w:rsidRPr="00282CFC">
        <w:rPr>
          <w:rFonts w:cstheme="minorHAnsi"/>
          <w:sz w:val="18"/>
          <w:szCs w:val="18"/>
        </w:rPr>
        <w:t xml:space="preserve">CHOICE Australia, 2018. </w:t>
      </w:r>
      <w:r w:rsidRPr="00282CFC">
        <w:rPr>
          <w:rFonts w:cstheme="minorHAnsi"/>
          <w:i/>
          <w:sz w:val="18"/>
          <w:szCs w:val="18"/>
        </w:rPr>
        <w:t>‘People’s choice on sugar labelling’.</w:t>
      </w:r>
      <w:r w:rsidRPr="00282CFC">
        <w:rPr>
          <w:rFonts w:cstheme="minorHAnsi"/>
          <w:sz w:val="18"/>
          <w:szCs w:val="18"/>
        </w:rPr>
        <w:t xml:space="preserve"> Available at: </w:t>
      </w:r>
      <w:hyperlink r:id="rId160" w:history="1">
        <w:r w:rsidRPr="00282CFC">
          <w:rPr>
            <w:rStyle w:val="Hyperlink"/>
            <w:rFonts w:cstheme="minorHAnsi"/>
            <w:sz w:val="18"/>
            <w:szCs w:val="18"/>
          </w:rPr>
          <w:t>CHOICE website</w:t>
        </w:r>
      </w:hyperlink>
      <w:r w:rsidRPr="00282CFC">
        <w:rPr>
          <w:rFonts w:cstheme="minorHAnsi"/>
          <w:sz w:val="18"/>
          <w:szCs w:val="18"/>
        </w:rPr>
        <w:t xml:space="preserve"> (accessed 13 November 2018).</w:t>
      </w:r>
    </w:p>
  </w:footnote>
  <w:footnote w:id="267">
    <w:p w14:paraId="1F958495" w14:textId="000F58B5" w:rsidR="00AA37B6" w:rsidRPr="00282CFC" w:rsidRDefault="00AA37B6" w:rsidP="00282CFC">
      <w:pPr>
        <w:pStyle w:val="FootnoteText"/>
        <w:spacing w:before="0" w:after="0"/>
        <w:rPr>
          <w:rFonts w:cstheme="minorHAnsi"/>
          <w:sz w:val="18"/>
          <w:szCs w:val="18"/>
        </w:rPr>
      </w:pPr>
      <w:r w:rsidRPr="00282CFC">
        <w:rPr>
          <w:rStyle w:val="FootnoteReference"/>
          <w:rFonts w:cstheme="minorHAnsi"/>
          <w:sz w:val="18"/>
          <w:szCs w:val="18"/>
        </w:rPr>
        <w:footnoteRef/>
      </w:r>
      <w:r w:rsidRPr="00282CFC">
        <w:rPr>
          <w:rFonts w:cstheme="minorHAnsi"/>
          <w:sz w:val="18"/>
          <w:szCs w:val="18"/>
        </w:rPr>
        <w:t xml:space="preserve"> </w:t>
      </w:r>
      <w:r w:rsidRPr="00282CFC">
        <w:rPr>
          <w:rFonts w:cstheme="minorHAnsi"/>
          <w:sz w:val="18"/>
          <w:szCs w:val="18"/>
          <w:shd w:val="clear" w:color="auto" w:fill="FFFFFF"/>
        </w:rPr>
        <w:t xml:space="preserve">Jones, A., Shahid, M, &amp; Neal, B.J., 2018. ‘Uptake of Australia’s Health Star Rating System’. </w:t>
      </w:r>
      <w:r w:rsidRPr="00282CFC">
        <w:rPr>
          <w:rFonts w:cstheme="minorHAnsi"/>
          <w:i/>
          <w:sz w:val="18"/>
          <w:szCs w:val="18"/>
          <w:shd w:val="clear" w:color="auto" w:fill="FFFFFF"/>
        </w:rPr>
        <w:t>Nutrients</w:t>
      </w:r>
      <w:r w:rsidRPr="00282CFC">
        <w:rPr>
          <w:rFonts w:cstheme="minorHAnsi"/>
          <w:sz w:val="18"/>
          <w:szCs w:val="18"/>
          <w:shd w:val="clear" w:color="auto" w:fill="FFFFFF"/>
        </w:rPr>
        <w:t>, 10(8): p997</w:t>
      </w:r>
    </w:p>
  </w:footnote>
  <w:footnote w:id="268">
    <w:p w14:paraId="460C0BF0" w14:textId="79EA9897" w:rsidR="00AA37B6" w:rsidRPr="0082427C" w:rsidRDefault="00AA37B6" w:rsidP="00282CFC">
      <w:pPr>
        <w:spacing w:before="0" w:after="0"/>
        <w:rPr>
          <w:rFonts w:cstheme="minorHAnsi"/>
          <w:sz w:val="18"/>
          <w:szCs w:val="18"/>
        </w:rPr>
      </w:pPr>
      <w:r w:rsidRPr="00282CFC">
        <w:rPr>
          <w:rStyle w:val="FootnoteReference"/>
          <w:rFonts w:cstheme="minorHAnsi"/>
          <w:sz w:val="18"/>
          <w:szCs w:val="18"/>
        </w:rPr>
        <w:footnoteRef/>
      </w:r>
      <w:r w:rsidRPr="00282CFC">
        <w:rPr>
          <w:rFonts w:cstheme="minorHAnsi"/>
          <w:sz w:val="18"/>
          <w:szCs w:val="18"/>
        </w:rPr>
        <w:t xml:space="preserve"> </w:t>
      </w:r>
      <w:r w:rsidRPr="00282CFC">
        <w:rPr>
          <w:rFonts w:cstheme="minorHAnsi"/>
          <w:sz w:val="18"/>
          <w:szCs w:val="18"/>
          <w:shd w:val="clear" w:color="auto" w:fill="FFFFFF"/>
        </w:rPr>
        <w:t>Roberto, C.A. &amp; Khandpur, N., 2014. ‘Improving the design of nutrition labels to promote healthier food choices and reasonable portion sizes’. </w:t>
      </w:r>
      <w:r w:rsidRPr="00282CFC">
        <w:rPr>
          <w:rFonts w:cstheme="minorHAnsi"/>
          <w:i/>
          <w:iCs/>
          <w:sz w:val="18"/>
          <w:szCs w:val="18"/>
          <w:shd w:val="clear" w:color="auto" w:fill="FFFFFF"/>
        </w:rPr>
        <w:t>International Journal of Obesity</w:t>
      </w:r>
      <w:r w:rsidRPr="00282CFC">
        <w:rPr>
          <w:rFonts w:cstheme="minorHAnsi"/>
          <w:sz w:val="18"/>
          <w:szCs w:val="18"/>
          <w:shd w:val="clear" w:color="auto" w:fill="FFFFFF"/>
        </w:rPr>
        <w:t>, </w:t>
      </w:r>
      <w:r w:rsidRPr="00282CFC">
        <w:rPr>
          <w:rFonts w:cstheme="minorHAnsi"/>
          <w:iCs/>
          <w:sz w:val="18"/>
          <w:szCs w:val="18"/>
          <w:shd w:val="clear" w:color="auto" w:fill="FFFFFF"/>
        </w:rPr>
        <w:t>38</w:t>
      </w:r>
      <w:r w:rsidRPr="00282CFC">
        <w:rPr>
          <w:rFonts w:cstheme="minorHAnsi"/>
          <w:sz w:val="18"/>
          <w:szCs w:val="18"/>
          <w:shd w:val="clear" w:color="auto" w:fill="FFFFFF"/>
        </w:rPr>
        <w:t>(S1): pS25.</w:t>
      </w:r>
    </w:p>
  </w:footnote>
  <w:footnote w:id="269">
    <w:p w14:paraId="5732DEC9" w14:textId="67A66A1D" w:rsidR="00AA37B6" w:rsidRPr="0082427C" w:rsidRDefault="00AA37B6" w:rsidP="00282CFC">
      <w:pPr>
        <w:pStyle w:val="FootnoteText"/>
        <w:spacing w:before="0" w:after="0"/>
        <w:rPr>
          <w:rFonts w:cstheme="minorHAnsi"/>
          <w:sz w:val="18"/>
          <w:szCs w:val="18"/>
        </w:rPr>
      </w:pPr>
      <w:r w:rsidRPr="0082427C">
        <w:rPr>
          <w:rFonts w:cstheme="minorHAnsi"/>
          <w:sz w:val="18"/>
          <w:szCs w:val="18"/>
          <w:vertAlign w:val="superscript"/>
        </w:rPr>
        <w:footnoteRef/>
      </w:r>
      <w:r w:rsidRPr="0082427C">
        <w:rPr>
          <w:rFonts w:cstheme="minorHAnsi"/>
          <w:sz w:val="18"/>
          <w:szCs w:val="18"/>
        </w:rPr>
        <w:t xml:space="preserve"> Rosenblatt, D., et al, 2018.</w:t>
      </w:r>
      <w:r w:rsidRPr="0082427C">
        <w:rPr>
          <w:rFonts w:cstheme="minorHAnsi"/>
          <w:i/>
          <w:sz w:val="18"/>
          <w:szCs w:val="18"/>
        </w:rPr>
        <w:t xml:space="preserve"> ‘</w:t>
      </w:r>
      <w:r w:rsidRPr="0082427C">
        <w:rPr>
          <w:rFonts w:cstheme="minorHAnsi"/>
          <w:sz w:val="18"/>
          <w:szCs w:val="18"/>
        </w:rPr>
        <w:t xml:space="preserve">Food product health warnings promote dietary self-control through reductions in neural signals indexing food cue reactivity’. </w:t>
      </w:r>
      <w:r w:rsidRPr="0082427C">
        <w:rPr>
          <w:rFonts w:cstheme="minorHAnsi"/>
          <w:i/>
          <w:sz w:val="18"/>
          <w:szCs w:val="18"/>
        </w:rPr>
        <w:t>Neuroimage Clinical,</w:t>
      </w:r>
      <w:r w:rsidRPr="0082427C">
        <w:rPr>
          <w:rFonts w:cstheme="minorHAnsi"/>
          <w:sz w:val="18"/>
          <w:szCs w:val="18"/>
        </w:rPr>
        <w:t xml:space="preserve"> 18:p.702-</w:t>
      </w:r>
      <w:r>
        <w:rPr>
          <w:rFonts w:cstheme="minorHAnsi"/>
          <w:sz w:val="18"/>
          <w:szCs w:val="18"/>
        </w:rPr>
        <w:t>7</w:t>
      </w:r>
      <w:r w:rsidRPr="0082427C">
        <w:rPr>
          <w:rFonts w:cstheme="minorHAnsi"/>
          <w:sz w:val="18"/>
          <w:szCs w:val="18"/>
        </w:rPr>
        <w:t>12.</w:t>
      </w:r>
    </w:p>
  </w:footnote>
  <w:footnote w:id="270">
    <w:p w14:paraId="5599B4BD" w14:textId="24F461AD" w:rsidR="00AA37B6" w:rsidRPr="0082427C" w:rsidRDefault="00AA37B6" w:rsidP="00282CFC">
      <w:pPr>
        <w:pStyle w:val="FootnoteText"/>
        <w:spacing w:before="0" w:after="0"/>
        <w:rPr>
          <w:rFonts w:cstheme="minorHAnsi"/>
          <w:sz w:val="18"/>
          <w:szCs w:val="18"/>
        </w:rPr>
      </w:pPr>
      <w:r w:rsidRPr="0082427C">
        <w:rPr>
          <w:rFonts w:cstheme="minorHAnsi"/>
          <w:sz w:val="18"/>
          <w:szCs w:val="18"/>
          <w:vertAlign w:val="superscript"/>
        </w:rPr>
        <w:footnoteRef/>
      </w:r>
      <w:r w:rsidRPr="0082427C">
        <w:rPr>
          <w:rFonts w:cstheme="minorHAnsi"/>
          <w:sz w:val="18"/>
          <w:szCs w:val="18"/>
          <w:vertAlign w:val="superscript"/>
        </w:rPr>
        <w:t xml:space="preserve"> </w:t>
      </w:r>
      <w:r w:rsidRPr="0082427C">
        <w:rPr>
          <w:rFonts w:cstheme="minorHAnsi"/>
          <w:sz w:val="18"/>
          <w:szCs w:val="18"/>
        </w:rPr>
        <w:t xml:space="preserve">Rosenblatt. D., et al, 2018. ‘Health warnings promote healthier dietary decision making: Effects of positive versus negative message framing and graphic versus text-based warnings’. </w:t>
      </w:r>
      <w:r w:rsidRPr="0082427C">
        <w:rPr>
          <w:rFonts w:cstheme="minorHAnsi"/>
          <w:i/>
          <w:sz w:val="18"/>
          <w:szCs w:val="18"/>
        </w:rPr>
        <w:t>Appetite</w:t>
      </w:r>
      <w:r w:rsidRPr="0082427C">
        <w:rPr>
          <w:rFonts w:cstheme="minorHAnsi"/>
          <w:sz w:val="18"/>
          <w:szCs w:val="18"/>
        </w:rPr>
        <w:t>. 127: p.280-</w:t>
      </w:r>
      <w:r>
        <w:rPr>
          <w:rFonts w:cstheme="minorHAnsi"/>
          <w:sz w:val="18"/>
          <w:szCs w:val="18"/>
        </w:rPr>
        <w:t>2</w:t>
      </w:r>
      <w:r w:rsidRPr="0082427C">
        <w:rPr>
          <w:rFonts w:cstheme="minorHAnsi"/>
          <w:sz w:val="18"/>
          <w:szCs w:val="18"/>
        </w:rPr>
        <w:t>88.</w:t>
      </w:r>
    </w:p>
  </w:footnote>
  <w:footnote w:id="271">
    <w:p w14:paraId="04B789D6" w14:textId="77777777" w:rsidR="00AA37B6" w:rsidRPr="0082427C" w:rsidRDefault="00AA37B6" w:rsidP="00282CFC">
      <w:pPr>
        <w:pStyle w:val="FootnoteText"/>
        <w:spacing w:before="0" w:after="0"/>
        <w:rPr>
          <w:rFonts w:cstheme="minorHAnsi"/>
          <w:sz w:val="18"/>
          <w:szCs w:val="18"/>
        </w:rPr>
      </w:pPr>
      <w:r w:rsidRPr="0082427C">
        <w:rPr>
          <w:rFonts w:cstheme="minorHAnsi"/>
          <w:sz w:val="18"/>
          <w:szCs w:val="18"/>
          <w:vertAlign w:val="superscript"/>
        </w:rPr>
        <w:footnoteRef/>
      </w:r>
      <w:r w:rsidRPr="0082427C">
        <w:rPr>
          <w:rFonts w:cstheme="minorHAnsi"/>
          <w:sz w:val="18"/>
          <w:szCs w:val="18"/>
          <w:vertAlign w:val="superscript"/>
        </w:rPr>
        <w:t xml:space="preserve"> </w:t>
      </w:r>
      <w:r w:rsidRPr="0082427C">
        <w:rPr>
          <w:rFonts w:cstheme="minorHAnsi"/>
          <w:sz w:val="18"/>
          <w:szCs w:val="18"/>
        </w:rPr>
        <w:t xml:space="preserve">Billich. N., et al, 2018. ‘The effect of sugar-sweetened beverage front-of-pack labels on drink selection, health knowledge and awareness: An online randomised controlled trial’. </w:t>
      </w:r>
      <w:r w:rsidRPr="0082427C">
        <w:rPr>
          <w:rFonts w:cstheme="minorHAnsi"/>
          <w:i/>
          <w:sz w:val="18"/>
          <w:szCs w:val="18"/>
        </w:rPr>
        <w:t xml:space="preserve">Appetite. </w:t>
      </w:r>
      <w:r w:rsidRPr="0082427C">
        <w:rPr>
          <w:rFonts w:cstheme="minorHAnsi"/>
          <w:sz w:val="18"/>
          <w:szCs w:val="18"/>
        </w:rPr>
        <w:t>128: p.233-241.</w:t>
      </w:r>
    </w:p>
  </w:footnote>
  <w:footnote w:id="272">
    <w:p w14:paraId="102F7BAF" w14:textId="52689BAD" w:rsidR="00AA37B6" w:rsidRPr="0082427C" w:rsidRDefault="00AA37B6" w:rsidP="00282CFC">
      <w:pPr>
        <w:pStyle w:val="FootnoteText"/>
        <w:spacing w:before="0" w:after="0"/>
        <w:rPr>
          <w:rFonts w:cstheme="minorHAnsi"/>
          <w:sz w:val="18"/>
          <w:szCs w:val="18"/>
        </w:rPr>
      </w:pPr>
      <w:r w:rsidRPr="0082427C">
        <w:rPr>
          <w:rFonts w:cstheme="minorHAnsi"/>
          <w:sz w:val="18"/>
          <w:szCs w:val="18"/>
          <w:vertAlign w:val="superscript"/>
        </w:rPr>
        <w:footnoteRef/>
      </w:r>
      <w:r w:rsidRPr="0082427C">
        <w:rPr>
          <w:rFonts w:cstheme="minorHAnsi"/>
          <w:sz w:val="18"/>
          <w:szCs w:val="18"/>
        </w:rPr>
        <w:t xml:space="preserve"> Donnelley. G., et al, 2018. ‘The effect of graphic warnings on sugary drink purchasing’. </w:t>
      </w:r>
      <w:r w:rsidRPr="0082427C">
        <w:rPr>
          <w:rFonts w:cstheme="minorHAnsi"/>
          <w:i/>
          <w:sz w:val="18"/>
          <w:szCs w:val="18"/>
        </w:rPr>
        <w:t>Psychological Science</w:t>
      </w:r>
      <w:r w:rsidRPr="0082427C">
        <w:rPr>
          <w:rFonts w:cstheme="minorHAnsi"/>
          <w:sz w:val="18"/>
          <w:szCs w:val="18"/>
        </w:rPr>
        <w:t xml:space="preserve">, </w:t>
      </w:r>
      <w:r w:rsidRPr="0082427C">
        <w:rPr>
          <w:rFonts w:cstheme="minorHAnsi"/>
          <w:sz w:val="18"/>
          <w:szCs w:val="18"/>
          <w:lang w:val="en"/>
        </w:rPr>
        <w:t>29(8): p.1321-</w:t>
      </w:r>
      <w:r>
        <w:rPr>
          <w:rFonts w:cstheme="minorHAnsi"/>
          <w:sz w:val="18"/>
          <w:szCs w:val="18"/>
          <w:lang w:val="en"/>
        </w:rPr>
        <w:t>13</w:t>
      </w:r>
      <w:r w:rsidRPr="0082427C">
        <w:rPr>
          <w:rFonts w:cstheme="minorHAnsi"/>
          <w:sz w:val="18"/>
          <w:szCs w:val="18"/>
          <w:lang w:val="en"/>
        </w:rPr>
        <w:t>33.</w:t>
      </w:r>
    </w:p>
  </w:footnote>
  <w:footnote w:id="273">
    <w:p w14:paraId="08A8B11C" w14:textId="783CE67E" w:rsidR="00AA37B6" w:rsidRPr="00AC4FA7" w:rsidRDefault="00AA37B6" w:rsidP="00282CFC">
      <w:pPr>
        <w:pStyle w:val="FootnoteText"/>
        <w:spacing w:before="0" w:after="0"/>
        <w:rPr>
          <w:rFonts w:cstheme="minorHAnsi"/>
          <w:sz w:val="18"/>
          <w:szCs w:val="18"/>
        </w:rPr>
      </w:pPr>
      <w:r w:rsidRPr="0082427C">
        <w:rPr>
          <w:rFonts w:cstheme="minorHAnsi"/>
          <w:sz w:val="18"/>
          <w:szCs w:val="18"/>
          <w:vertAlign w:val="superscript"/>
        </w:rPr>
        <w:footnoteRef/>
      </w:r>
      <w:r w:rsidRPr="0082427C">
        <w:rPr>
          <w:rFonts w:cstheme="minorHAnsi"/>
          <w:sz w:val="18"/>
          <w:szCs w:val="18"/>
        </w:rPr>
        <w:t xml:space="preserve"> Roberto, C.A., et al, 2016. ‘The influence of sugar-sweetened beverage health warning labels on parents’ choices’. </w:t>
      </w:r>
      <w:r w:rsidRPr="0082427C">
        <w:rPr>
          <w:rFonts w:cstheme="minorHAnsi"/>
          <w:i/>
          <w:sz w:val="18"/>
          <w:szCs w:val="18"/>
        </w:rPr>
        <w:t>Paediatrics</w:t>
      </w:r>
      <w:r w:rsidRPr="0082427C">
        <w:rPr>
          <w:rFonts w:cstheme="minorHAnsi"/>
          <w:sz w:val="18"/>
          <w:szCs w:val="18"/>
        </w:rPr>
        <w:t>, 137(2)</w:t>
      </w:r>
      <w:r>
        <w:rPr>
          <w:rFonts w:cstheme="minorHAnsi"/>
          <w:sz w:val="18"/>
          <w:szCs w:val="18"/>
        </w:rPr>
        <w:t xml:space="preserve">; </w:t>
      </w:r>
      <w:r w:rsidRPr="00F97D5F">
        <w:rPr>
          <w:rFonts w:cstheme="minorHAnsi"/>
          <w:sz w:val="18"/>
          <w:szCs w:val="18"/>
        </w:rPr>
        <w:t>e20153185</w:t>
      </w:r>
      <w:r>
        <w:rPr>
          <w:rFonts w:cstheme="minorHAnsi"/>
          <w:sz w:val="18"/>
          <w:szCs w:val="18"/>
        </w:rPr>
        <w:t>.</w:t>
      </w:r>
    </w:p>
  </w:footnote>
  <w:footnote w:id="274">
    <w:p w14:paraId="4A9F2C0E" w14:textId="77777777" w:rsidR="00AA37B6" w:rsidRPr="0082427C" w:rsidRDefault="00AA37B6" w:rsidP="00282CFC">
      <w:pPr>
        <w:pStyle w:val="FootnoteText"/>
        <w:spacing w:before="0" w:after="0"/>
        <w:rPr>
          <w:rFonts w:cstheme="minorHAnsi"/>
          <w:sz w:val="18"/>
          <w:szCs w:val="18"/>
        </w:rPr>
      </w:pPr>
      <w:r w:rsidRPr="0082427C">
        <w:rPr>
          <w:rFonts w:cstheme="minorHAnsi"/>
          <w:sz w:val="18"/>
          <w:szCs w:val="18"/>
          <w:vertAlign w:val="superscript"/>
        </w:rPr>
        <w:footnoteRef/>
      </w:r>
      <w:r w:rsidRPr="0082427C">
        <w:rPr>
          <w:rFonts w:cstheme="minorHAnsi"/>
          <w:sz w:val="18"/>
          <w:szCs w:val="18"/>
          <w:vertAlign w:val="superscript"/>
        </w:rPr>
        <w:t xml:space="preserve"> </w:t>
      </w:r>
      <w:r w:rsidRPr="0082427C">
        <w:rPr>
          <w:rFonts w:cstheme="minorHAnsi"/>
          <w:sz w:val="18"/>
          <w:szCs w:val="18"/>
        </w:rPr>
        <w:t xml:space="preserve">Van Epps, E.M. &amp; Roberto, C.A, 2016. ‘The influence of sugar-sweetened beverage warnings: a randomized trial of adolescents’ choices and beliefs’. </w:t>
      </w:r>
      <w:r w:rsidRPr="0082427C">
        <w:rPr>
          <w:rFonts w:cstheme="minorHAnsi"/>
          <w:i/>
          <w:sz w:val="18"/>
          <w:szCs w:val="18"/>
        </w:rPr>
        <w:t>American Journal of Preventive Medicine</w:t>
      </w:r>
      <w:r w:rsidRPr="0082427C">
        <w:rPr>
          <w:rFonts w:cstheme="minorHAnsi"/>
          <w:sz w:val="18"/>
          <w:szCs w:val="18"/>
        </w:rPr>
        <w:t>, 51: p.664-72.</w:t>
      </w:r>
    </w:p>
  </w:footnote>
  <w:footnote w:id="275">
    <w:p w14:paraId="5769E75B" w14:textId="77777777" w:rsidR="00AA37B6" w:rsidRPr="0082427C" w:rsidRDefault="00AA37B6" w:rsidP="00282CFC">
      <w:pPr>
        <w:pStyle w:val="FootnoteText"/>
        <w:spacing w:before="0" w:after="0"/>
        <w:rPr>
          <w:rFonts w:cstheme="minorHAnsi"/>
          <w:sz w:val="18"/>
          <w:szCs w:val="18"/>
        </w:rPr>
      </w:pPr>
      <w:r w:rsidRPr="0082427C">
        <w:rPr>
          <w:rFonts w:cstheme="minorHAnsi"/>
          <w:sz w:val="18"/>
          <w:szCs w:val="18"/>
          <w:vertAlign w:val="superscript"/>
        </w:rPr>
        <w:footnoteRef/>
      </w:r>
      <w:r w:rsidRPr="0082427C">
        <w:rPr>
          <w:rFonts w:cstheme="minorHAnsi"/>
          <w:sz w:val="18"/>
          <w:szCs w:val="18"/>
          <w:vertAlign w:val="superscript"/>
        </w:rPr>
        <w:t xml:space="preserve"> </w:t>
      </w:r>
      <w:r w:rsidRPr="0082427C">
        <w:rPr>
          <w:rFonts w:cstheme="minorHAnsi"/>
          <w:sz w:val="18"/>
          <w:szCs w:val="18"/>
        </w:rPr>
        <w:t xml:space="preserve">Donnelly, G.E, et al, 2018. ‘The effect of graphic warnings on sugary drink purchasing’. </w:t>
      </w:r>
      <w:r w:rsidRPr="0082427C">
        <w:rPr>
          <w:rFonts w:cstheme="minorHAnsi"/>
          <w:i/>
          <w:sz w:val="18"/>
          <w:szCs w:val="18"/>
        </w:rPr>
        <w:t>Psychological Science</w:t>
      </w:r>
      <w:r w:rsidRPr="0082427C">
        <w:rPr>
          <w:rFonts w:cstheme="minorHAnsi"/>
          <w:sz w:val="18"/>
          <w:szCs w:val="18"/>
        </w:rPr>
        <w:t>, 29(8); p.1321-33.</w:t>
      </w:r>
    </w:p>
  </w:footnote>
  <w:footnote w:id="276">
    <w:p w14:paraId="0F715701" w14:textId="77777777" w:rsidR="00AA37B6" w:rsidRPr="0082427C" w:rsidRDefault="00AA37B6" w:rsidP="00282CFC">
      <w:pPr>
        <w:pStyle w:val="FootnoteText"/>
        <w:spacing w:before="0" w:after="0"/>
        <w:rPr>
          <w:rFonts w:cstheme="minorHAnsi"/>
          <w:sz w:val="18"/>
          <w:szCs w:val="18"/>
        </w:rPr>
      </w:pPr>
      <w:r w:rsidRPr="0082427C">
        <w:rPr>
          <w:rFonts w:cstheme="minorHAnsi"/>
          <w:sz w:val="18"/>
          <w:szCs w:val="18"/>
          <w:vertAlign w:val="superscript"/>
        </w:rPr>
        <w:footnoteRef/>
      </w:r>
      <w:r w:rsidRPr="0082427C">
        <w:rPr>
          <w:rFonts w:cstheme="minorHAnsi"/>
          <w:sz w:val="18"/>
          <w:szCs w:val="18"/>
          <w:vertAlign w:val="superscript"/>
        </w:rPr>
        <w:t xml:space="preserve"> </w:t>
      </w:r>
      <w:r w:rsidRPr="0082427C">
        <w:rPr>
          <w:rFonts w:cstheme="minorHAnsi"/>
          <w:sz w:val="18"/>
          <w:szCs w:val="18"/>
        </w:rPr>
        <w:t xml:space="preserve">CHOICE Australia, 2018. </w:t>
      </w:r>
      <w:r w:rsidRPr="0082427C">
        <w:rPr>
          <w:rFonts w:cstheme="minorHAnsi"/>
          <w:i/>
          <w:sz w:val="18"/>
          <w:szCs w:val="18"/>
        </w:rPr>
        <w:t>‘People’s choice on sugar labelling’.</w:t>
      </w:r>
      <w:r w:rsidRPr="0082427C">
        <w:rPr>
          <w:rFonts w:cstheme="minorHAnsi"/>
          <w:sz w:val="18"/>
          <w:szCs w:val="18"/>
        </w:rPr>
        <w:t xml:space="preserve"> Available at: </w:t>
      </w:r>
      <w:hyperlink r:id="rId161" w:history="1">
        <w:r w:rsidRPr="0082427C">
          <w:rPr>
            <w:rStyle w:val="Hyperlink"/>
            <w:rFonts w:cstheme="minorHAnsi"/>
            <w:sz w:val="18"/>
            <w:szCs w:val="18"/>
          </w:rPr>
          <w:t>CHOICE website</w:t>
        </w:r>
      </w:hyperlink>
      <w:r w:rsidRPr="0082427C">
        <w:rPr>
          <w:rFonts w:cstheme="minorHAnsi"/>
          <w:sz w:val="18"/>
          <w:szCs w:val="18"/>
        </w:rPr>
        <w:t xml:space="preserve"> (accessed 13 November 2018).</w:t>
      </w:r>
    </w:p>
  </w:footnote>
  <w:footnote w:id="277">
    <w:p w14:paraId="24F448F9" w14:textId="02984081" w:rsidR="00AA37B6" w:rsidRDefault="00AA37B6" w:rsidP="00282CFC">
      <w:pPr>
        <w:pStyle w:val="FootnoteText"/>
        <w:spacing w:before="0" w:after="0"/>
      </w:pPr>
      <w:r>
        <w:rPr>
          <w:rStyle w:val="FootnoteReference"/>
        </w:rPr>
        <w:footnoteRef/>
      </w:r>
      <w:r>
        <w:t xml:space="preserve"> </w:t>
      </w:r>
      <w:r w:rsidRPr="00E372B9">
        <w:rPr>
          <w:sz w:val="18"/>
          <w:szCs w:val="18"/>
        </w:rPr>
        <w:t>Australian Government, 2016. ‘</w:t>
      </w:r>
      <w:r w:rsidRPr="00E372B9">
        <w:rPr>
          <w:i/>
          <w:sz w:val="18"/>
          <w:szCs w:val="18"/>
        </w:rPr>
        <w:t xml:space="preserve">Federal Register of Legislation: Competition and Consumer Amendment (Country of Origin) Bill 2016’. </w:t>
      </w:r>
      <w:r w:rsidRPr="00E372B9">
        <w:rPr>
          <w:sz w:val="18"/>
          <w:szCs w:val="18"/>
        </w:rPr>
        <w:t xml:space="preserve">Available at </w:t>
      </w:r>
      <w:hyperlink r:id="rId162" w:history="1">
        <w:r w:rsidRPr="00E372B9">
          <w:rPr>
            <w:rStyle w:val="Hyperlink"/>
            <w:sz w:val="18"/>
            <w:szCs w:val="18"/>
          </w:rPr>
          <w:t>Australian Government website</w:t>
        </w:r>
      </w:hyperlink>
      <w:r w:rsidRPr="00E372B9">
        <w:rPr>
          <w:sz w:val="18"/>
          <w:szCs w:val="18"/>
        </w:rPr>
        <w:t xml:space="preserve"> (Accessed 14 December 2018).</w:t>
      </w:r>
    </w:p>
  </w:footnote>
  <w:footnote w:id="278">
    <w:p w14:paraId="353D1DCA" w14:textId="73E37DB0" w:rsidR="00AA37B6" w:rsidRPr="0082427C" w:rsidRDefault="00AA37B6" w:rsidP="00282CFC">
      <w:pPr>
        <w:pStyle w:val="FootnoteText"/>
        <w:spacing w:before="0" w:after="0"/>
        <w:rPr>
          <w:rFonts w:cstheme="minorHAnsi"/>
        </w:rPr>
      </w:pPr>
      <w:r w:rsidRPr="0082427C">
        <w:rPr>
          <w:rStyle w:val="FootnoteReference"/>
          <w:rFonts w:cstheme="minorHAnsi"/>
          <w:sz w:val="18"/>
          <w:szCs w:val="18"/>
        </w:rPr>
        <w:footnoteRef/>
      </w:r>
      <w:r w:rsidRPr="0082427C">
        <w:rPr>
          <w:rFonts w:cstheme="minorHAnsi"/>
          <w:sz w:val="18"/>
          <w:szCs w:val="18"/>
        </w:rPr>
        <w:t xml:space="preserve"> Geer. D., 2013. ‘</w:t>
      </w:r>
      <w:r w:rsidRPr="0082427C">
        <w:rPr>
          <w:rFonts w:cstheme="minorHAnsi"/>
          <w:i/>
          <w:sz w:val="18"/>
          <w:szCs w:val="18"/>
        </w:rPr>
        <w:t>The dangers of QR codes for security’</w:t>
      </w:r>
      <w:r w:rsidRPr="0082427C">
        <w:rPr>
          <w:rFonts w:cstheme="minorHAnsi"/>
          <w:sz w:val="18"/>
          <w:szCs w:val="18"/>
        </w:rPr>
        <w:t xml:space="preserve">. Available at: </w:t>
      </w:r>
      <w:hyperlink r:id="rId163" w:history="1">
        <w:r w:rsidRPr="0082427C">
          <w:rPr>
            <w:rStyle w:val="Hyperlink"/>
            <w:rFonts w:cstheme="minorHAnsi"/>
            <w:sz w:val="18"/>
            <w:szCs w:val="18"/>
          </w:rPr>
          <w:t>CSO online website</w:t>
        </w:r>
      </w:hyperlink>
      <w:r>
        <w:rPr>
          <w:rFonts w:cstheme="minorHAnsi"/>
          <w:sz w:val="18"/>
          <w:szCs w:val="18"/>
        </w:rPr>
        <w:t xml:space="preserve"> </w:t>
      </w:r>
      <w:r w:rsidRPr="0082427C">
        <w:rPr>
          <w:rFonts w:cstheme="minorHAnsi"/>
          <w:sz w:val="18"/>
          <w:szCs w:val="18"/>
        </w:rPr>
        <w:t>(accessed 23 August 2018).</w:t>
      </w:r>
    </w:p>
  </w:footnote>
  <w:footnote w:id="279">
    <w:p w14:paraId="1E57EE53" w14:textId="676ED6F1" w:rsidR="00AA37B6" w:rsidRPr="0082427C" w:rsidRDefault="00AA37B6" w:rsidP="00282CFC">
      <w:pPr>
        <w:autoSpaceDE w:val="0"/>
        <w:autoSpaceDN w:val="0"/>
        <w:adjustRightInd w:val="0"/>
        <w:spacing w:before="0" w:after="0"/>
        <w:rPr>
          <w:rFonts w:cstheme="minorHAnsi"/>
          <w:sz w:val="18"/>
          <w:szCs w:val="18"/>
        </w:rPr>
      </w:pPr>
      <w:r w:rsidRPr="0082427C">
        <w:rPr>
          <w:rFonts w:cstheme="minorHAnsi"/>
          <w:sz w:val="18"/>
          <w:szCs w:val="18"/>
          <w:vertAlign w:val="superscript"/>
        </w:rPr>
        <w:footnoteRef/>
      </w:r>
      <w:r w:rsidRPr="0082427C">
        <w:rPr>
          <w:rFonts w:cstheme="minorHAnsi"/>
          <w:sz w:val="18"/>
          <w:szCs w:val="18"/>
        </w:rPr>
        <w:t xml:space="preserve"> Barraket, J</w:t>
      </w:r>
      <w:r>
        <w:rPr>
          <w:rFonts w:cstheme="minorHAnsi"/>
          <w:sz w:val="18"/>
          <w:szCs w:val="18"/>
        </w:rPr>
        <w:t>., et al, 2018</w:t>
      </w:r>
      <w:r w:rsidRPr="0082427C">
        <w:rPr>
          <w:rFonts w:cstheme="minorHAnsi"/>
          <w:sz w:val="18"/>
          <w:szCs w:val="18"/>
        </w:rPr>
        <w:t xml:space="preserve">. </w:t>
      </w:r>
      <w:r w:rsidRPr="0082427C">
        <w:rPr>
          <w:rFonts w:cstheme="minorHAnsi"/>
          <w:i/>
          <w:sz w:val="18"/>
          <w:szCs w:val="18"/>
        </w:rPr>
        <w:t>‘Measuring Australia’s Digital Divide: The Austral</w:t>
      </w:r>
      <w:r>
        <w:rPr>
          <w:rFonts w:cstheme="minorHAnsi"/>
          <w:i/>
          <w:sz w:val="18"/>
          <w:szCs w:val="18"/>
        </w:rPr>
        <w:t>ian Digital Inclusion Index 2018</w:t>
      </w:r>
      <w:r w:rsidRPr="0082427C">
        <w:rPr>
          <w:rFonts w:cstheme="minorHAnsi"/>
          <w:i/>
          <w:sz w:val="18"/>
          <w:szCs w:val="18"/>
        </w:rPr>
        <w:t>’</w:t>
      </w:r>
      <w:r w:rsidRPr="0082427C">
        <w:rPr>
          <w:rFonts w:cstheme="minorHAnsi"/>
          <w:sz w:val="18"/>
          <w:szCs w:val="18"/>
        </w:rPr>
        <w:t>, RMIT University, Melbourne, for Telstra.</w:t>
      </w:r>
      <w:r>
        <w:rPr>
          <w:rFonts w:cstheme="minorHAnsi"/>
          <w:sz w:val="18"/>
          <w:szCs w:val="18"/>
        </w:rPr>
        <w:t xml:space="preserve"> Available at </w:t>
      </w:r>
      <w:hyperlink r:id="rId164" w:history="1">
        <w:r w:rsidRPr="006A1E43">
          <w:rPr>
            <w:rStyle w:val="Hyperlink"/>
            <w:rFonts w:cstheme="minorHAnsi"/>
            <w:sz w:val="18"/>
            <w:szCs w:val="18"/>
          </w:rPr>
          <w:t>Digital Inclusion Index</w:t>
        </w:r>
      </w:hyperlink>
      <w:r>
        <w:rPr>
          <w:rFonts w:cstheme="minorHAnsi"/>
          <w:sz w:val="18"/>
          <w:szCs w:val="18"/>
        </w:rPr>
        <w:t xml:space="preserve"> (accessed 25 February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CDD2" w14:textId="77777777" w:rsidR="00AA37B6" w:rsidRPr="00AF690D" w:rsidRDefault="00AA37B6" w:rsidP="008B49B6">
    <w:pPr>
      <w:pStyle w:val="Header"/>
      <w:rPr>
        <w:rFonts w:ascii="Calibri" w:hAnsi="Calibri" w:cs="Calibri"/>
        <w:color w:val="F00000"/>
      </w:rPr>
    </w:pPr>
    <w:r>
      <w:fldChar w:fldCharType="begin" w:fldLock="1"/>
    </w:r>
    <w:r>
      <w:instrText xml:space="preserve"> DOCPROPERTY bjHeaderEvenPageDocProperty \* MERGEFORMAT </w:instrText>
    </w:r>
    <w:r>
      <w:fldChar w:fldCharType="separate"/>
    </w:r>
    <w:r w:rsidRPr="00AF690D">
      <w:rPr>
        <w:rFonts w:ascii="Calibri" w:hAnsi="Calibri" w:cs="Calibri"/>
        <w:color w:val="F00000"/>
      </w:rPr>
      <w:t>UNCLASSIFIED</w:t>
    </w:r>
  </w:p>
  <w:p w14:paraId="0A7CE1AF" w14:textId="77777777" w:rsidR="00AA37B6" w:rsidRPr="00AF690D" w:rsidRDefault="00AA37B6" w:rsidP="008B49B6">
    <w:pPr>
      <w:pStyle w:val="Header"/>
    </w:pPr>
    <w:r w:rsidRPr="00AF690D">
      <w:rPr>
        <w:rFonts w:ascii="Calibri" w:hAnsi="Calibri" w:cs="Calibri"/>
        <w:color w:val="F00000"/>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3A37" w14:textId="77777777" w:rsidR="00AA37B6" w:rsidRPr="00AF690D" w:rsidRDefault="00AA37B6" w:rsidP="008B49B6">
    <w:pPr>
      <w:pStyle w:val="Header"/>
      <w:rPr>
        <w:rFonts w:ascii="Calibri" w:hAnsi="Calibri" w:cs="Calibri"/>
        <w:color w:val="F00000"/>
      </w:rPr>
    </w:pPr>
    <w:r>
      <w:fldChar w:fldCharType="begin" w:fldLock="1"/>
    </w:r>
    <w:r>
      <w:instrText xml:space="preserve"> DOCPROPERTY bjHeaderFirstPageDocProperty \* MERGEFORMAT </w:instrText>
    </w:r>
    <w:r>
      <w:fldChar w:fldCharType="separate"/>
    </w:r>
    <w:r w:rsidRPr="00AF690D">
      <w:rPr>
        <w:rFonts w:ascii="Calibri" w:hAnsi="Calibri" w:cs="Calibri"/>
        <w:color w:val="F00000"/>
      </w:rPr>
      <w:t>UNCLASSIFIED</w:t>
    </w:r>
  </w:p>
  <w:p w14:paraId="4F671E21" w14:textId="77777777" w:rsidR="00AA37B6" w:rsidRPr="00AF690D" w:rsidRDefault="00AA37B6" w:rsidP="008B49B6">
    <w:pPr>
      <w:pStyle w:val="Header"/>
    </w:pPr>
    <w:r w:rsidRPr="00AF690D">
      <w:rPr>
        <w:rFonts w:ascii="Calibri" w:hAnsi="Calibri" w:cs="Calibri"/>
        <w:color w:val="F00000"/>
      </w:rPr>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412A"/>
    <w:multiLevelType w:val="hybridMultilevel"/>
    <w:tmpl w:val="E572C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E3762C"/>
    <w:multiLevelType w:val="hybridMultilevel"/>
    <w:tmpl w:val="70E6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8F1D88"/>
    <w:multiLevelType w:val="hybridMultilevel"/>
    <w:tmpl w:val="4F7CE0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BD74C6"/>
    <w:multiLevelType w:val="hybridMultilevel"/>
    <w:tmpl w:val="4A46C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CA73F5"/>
    <w:multiLevelType w:val="hybridMultilevel"/>
    <w:tmpl w:val="E974CB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4D3BAD"/>
    <w:multiLevelType w:val="multilevel"/>
    <w:tmpl w:val="81F4E4C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D27B03"/>
    <w:multiLevelType w:val="hybridMultilevel"/>
    <w:tmpl w:val="D08C048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8393334"/>
    <w:multiLevelType w:val="hybridMultilevel"/>
    <w:tmpl w:val="1892096C"/>
    <w:lvl w:ilvl="0" w:tplc="BB3EAF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7B1ED1"/>
    <w:multiLevelType w:val="hybridMultilevel"/>
    <w:tmpl w:val="FC3ADC92"/>
    <w:lvl w:ilvl="0" w:tplc="0C09000F">
      <w:start w:val="1"/>
      <w:numFmt w:val="decimal"/>
      <w:lvlText w:val="%1."/>
      <w:lvlJc w:val="left"/>
      <w:pPr>
        <w:ind w:left="720" w:hanging="360"/>
      </w:pPr>
    </w:lvl>
    <w:lvl w:ilvl="1" w:tplc="4E824B92">
      <w:start w:val="1"/>
      <w:numFmt w:val="lowerLetter"/>
      <w:pStyle w:val="Bulletsalphabetic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6A0281"/>
    <w:multiLevelType w:val="hybridMultilevel"/>
    <w:tmpl w:val="921A6B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59C6777"/>
    <w:multiLevelType w:val="hybridMultilevel"/>
    <w:tmpl w:val="099E2BC4"/>
    <w:lvl w:ilvl="0" w:tplc="47BE9D60">
      <w:start w:val="1"/>
      <w:numFmt w:val="bullet"/>
      <w:pStyle w:val="Bulletlines"/>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1" w15:restartNumberingAfterBreak="0">
    <w:nsid w:val="6DFB7888"/>
    <w:multiLevelType w:val="hybridMultilevel"/>
    <w:tmpl w:val="7758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124C8A"/>
    <w:multiLevelType w:val="hybridMultilevel"/>
    <w:tmpl w:val="FC060BD2"/>
    <w:lvl w:ilvl="0" w:tplc="E8E8A52A">
      <w:start w:val="1"/>
      <w:numFmt w:val="bullet"/>
      <w:pStyle w:val="FSBulletlist"/>
      <w:lvlText w:val=""/>
      <w:lvlJc w:val="left"/>
      <w:pPr>
        <w:ind w:left="363" w:hanging="360"/>
      </w:pPr>
      <w:rPr>
        <w:rFonts w:ascii="Symbol" w:hAnsi="Symbol" w:hint="default"/>
        <w:sz w:val="16"/>
        <w:szCs w:val="16"/>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7B164E46"/>
    <w:multiLevelType w:val="hybridMultilevel"/>
    <w:tmpl w:val="26F015D4"/>
    <w:lvl w:ilvl="0" w:tplc="BB3EAF6A">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47182C"/>
    <w:multiLevelType w:val="hybridMultilevel"/>
    <w:tmpl w:val="2DBE4BB4"/>
    <w:lvl w:ilvl="0" w:tplc="BB3EAF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8C5D4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58444200">
    <w:abstractNumId w:val="5"/>
  </w:num>
  <w:num w:numId="2" w16cid:durableId="1126582607">
    <w:abstractNumId w:val="11"/>
  </w:num>
  <w:num w:numId="3" w16cid:durableId="424158082">
    <w:abstractNumId w:val="10"/>
  </w:num>
  <w:num w:numId="4" w16cid:durableId="415441322">
    <w:abstractNumId w:val="12"/>
  </w:num>
  <w:num w:numId="5" w16cid:durableId="483007292">
    <w:abstractNumId w:val="8"/>
  </w:num>
  <w:num w:numId="6" w16cid:durableId="159079228">
    <w:abstractNumId w:val="9"/>
  </w:num>
  <w:num w:numId="7" w16cid:durableId="1698500920">
    <w:abstractNumId w:val="0"/>
  </w:num>
  <w:num w:numId="8" w16cid:durableId="1568303409">
    <w:abstractNumId w:val="2"/>
  </w:num>
  <w:num w:numId="9" w16cid:durableId="387144224">
    <w:abstractNumId w:val="3"/>
  </w:num>
  <w:num w:numId="10" w16cid:durableId="1753701802">
    <w:abstractNumId w:val="13"/>
  </w:num>
  <w:num w:numId="11" w16cid:durableId="1267814660">
    <w:abstractNumId w:val="6"/>
  </w:num>
  <w:num w:numId="12" w16cid:durableId="357127662">
    <w:abstractNumId w:val="7"/>
  </w:num>
  <w:num w:numId="13" w16cid:durableId="2010860513">
    <w:abstractNumId w:val="14"/>
  </w:num>
  <w:num w:numId="14" w16cid:durableId="75827190">
    <w:abstractNumId w:val="4"/>
  </w:num>
  <w:num w:numId="15" w16cid:durableId="623122396">
    <w:abstractNumId w:val="1"/>
  </w:num>
  <w:num w:numId="16" w16cid:durableId="747387915">
    <w:abstractNumId w:val="15"/>
  </w:num>
  <w:num w:numId="17" w16cid:durableId="16378349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05"/>
    <w:rsid w:val="000000B0"/>
    <w:rsid w:val="00000366"/>
    <w:rsid w:val="00001792"/>
    <w:rsid w:val="00003743"/>
    <w:rsid w:val="00004ADA"/>
    <w:rsid w:val="0000581C"/>
    <w:rsid w:val="00006031"/>
    <w:rsid w:val="0000707B"/>
    <w:rsid w:val="00007C6D"/>
    <w:rsid w:val="00011799"/>
    <w:rsid w:val="00011A01"/>
    <w:rsid w:val="00013028"/>
    <w:rsid w:val="00013D8E"/>
    <w:rsid w:val="0001484C"/>
    <w:rsid w:val="00020788"/>
    <w:rsid w:val="00021564"/>
    <w:rsid w:val="00030500"/>
    <w:rsid w:val="00032D3A"/>
    <w:rsid w:val="000338E4"/>
    <w:rsid w:val="00035F3D"/>
    <w:rsid w:val="000403B2"/>
    <w:rsid w:val="0004070A"/>
    <w:rsid w:val="00040A0A"/>
    <w:rsid w:val="00043C3E"/>
    <w:rsid w:val="00047920"/>
    <w:rsid w:val="00047D53"/>
    <w:rsid w:val="00051BF0"/>
    <w:rsid w:val="000520D6"/>
    <w:rsid w:val="00052D47"/>
    <w:rsid w:val="00053233"/>
    <w:rsid w:val="00054B09"/>
    <w:rsid w:val="00056997"/>
    <w:rsid w:val="000614F3"/>
    <w:rsid w:val="00062190"/>
    <w:rsid w:val="00063937"/>
    <w:rsid w:val="00067456"/>
    <w:rsid w:val="000701BC"/>
    <w:rsid w:val="00071483"/>
    <w:rsid w:val="0007429F"/>
    <w:rsid w:val="000755B4"/>
    <w:rsid w:val="000758D7"/>
    <w:rsid w:val="00076721"/>
    <w:rsid w:val="0008107E"/>
    <w:rsid w:val="00081711"/>
    <w:rsid w:val="00083B13"/>
    <w:rsid w:val="0008645B"/>
    <w:rsid w:val="00086E9B"/>
    <w:rsid w:val="00087BD7"/>
    <w:rsid w:val="00091CBA"/>
    <w:rsid w:val="00092D13"/>
    <w:rsid w:val="000940FD"/>
    <w:rsid w:val="00094692"/>
    <w:rsid w:val="0009520D"/>
    <w:rsid w:val="000961D6"/>
    <w:rsid w:val="00096405"/>
    <w:rsid w:val="00096531"/>
    <w:rsid w:val="000A071D"/>
    <w:rsid w:val="000A29A7"/>
    <w:rsid w:val="000A5D42"/>
    <w:rsid w:val="000A796F"/>
    <w:rsid w:val="000B3384"/>
    <w:rsid w:val="000B7B2F"/>
    <w:rsid w:val="000C1ABA"/>
    <w:rsid w:val="000C1BF0"/>
    <w:rsid w:val="000C295E"/>
    <w:rsid w:val="000C6D54"/>
    <w:rsid w:val="000C7AA2"/>
    <w:rsid w:val="000D28D4"/>
    <w:rsid w:val="000D2A5E"/>
    <w:rsid w:val="000D39A9"/>
    <w:rsid w:val="000D49BF"/>
    <w:rsid w:val="000D4B1E"/>
    <w:rsid w:val="000D5784"/>
    <w:rsid w:val="000D6AF4"/>
    <w:rsid w:val="000D6B72"/>
    <w:rsid w:val="000E6370"/>
    <w:rsid w:val="000E73E8"/>
    <w:rsid w:val="000F022D"/>
    <w:rsid w:val="000F106D"/>
    <w:rsid w:val="000F3122"/>
    <w:rsid w:val="000F3E87"/>
    <w:rsid w:val="000F745A"/>
    <w:rsid w:val="00103530"/>
    <w:rsid w:val="001048CA"/>
    <w:rsid w:val="00111526"/>
    <w:rsid w:val="001138D8"/>
    <w:rsid w:val="001158F8"/>
    <w:rsid w:val="0011775A"/>
    <w:rsid w:val="0012002E"/>
    <w:rsid w:val="001213D5"/>
    <w:rsid w:val="00121DAC"/>
    <w:rsid w:val="001228E5"/>
    <w:rsid w:val="001242AA"/>
    <w:rsid w:val="00125C95"/>
    <w:rsid w:val="00125D76"/>
    <w:rsid w:val="00125FC5"/>
    <w:rsid w:val="00126862"/>
    <w:rsid w:val="0013191F"/>
    <w:rsid w:val="001319A7"/>
    <w:rsid w:val="001351CE"/>
    <w:rsid w:val="00137A8E"/>
    <w:rsid w:val="001406BB"/>
    <w:rsid w:val="00142ABB"/>
    <w:rsid w:val="001443F3"/>
    <w:rsid w:val="0014461A"/>
    <w:rsid w:val="00146C89"/>
    <w:rsid w:val="0014779F"/>
    <w:rsid w:val="0014798F"/>
    <w:rsid w:val="00150C8F"/>
    <w:rsid w:val="0015711F"/>
    <w:rsid w:val="00160CA7"/>
    <w:rsid w:val="00161919"/>
    <w:rsid w:val="00161A89"/>
    <w:rsid w:val="0016232C"/>
    <w:rsid w:val="00162775"/>
    <w:rsid w:val="0016297B"/>
    <w:rsid w:val="00165145"/>
    <w:rsid w:val="001655B7"/>
    <w:rsid w:val="00166189"/>
    <w:rsid w:val="00166D40"/>
    <w:rsid w:val="00170A08"/>
    <w:rsid w:val="001722C8"/>
    <w:rsid w:val="00175E28"/>
    <w:rsid w:val="00180395"/>
    <w:rsid w:val="00180D9D"/>
    <w:rsid w:val="001814F2"/>
    <w:rsid w:val="00181998"/>
    <w:rsid w:val="0018305A"/>
    <w:rsid w:val="00183D44"/>
    <w:rsid w:val="00184007"/>
    <w:rsid w:val="001847D7"/>
    <w:rsid w:val="00184E08"/>
    <w:rsid w:val="00185C24"/>
    <w:rsid w:val="00187742"/>
    <w:rsid w:val="00187B53"/>
    <w:rsid w:val="00190095"/>
    <w:rsid w:val="00190502"/>
    <w:rsid w:val="00192754"/>
    <w:rsid w:val="0019372F"/>
    <w:rsid w:val="00194D55"/>
    <w:rsid w:val="00196825"/>
    <w:rsid w:val="00197092"/>
    <w:rsid w:val="001A0883"/>
    <w:rsid w:val="001A0D3D"/>
    <w:rsid w:val="001A36B1"/>
    <w:rsid w:val="001A4ADB"/>
    <w:rsid w:val="001A57B3"/>
    <w:rsid w:val="001A6251"/>
    <w:rsid w:val="001A694A"/>
    <w:rsid w:val="001B3443"/>
    <w:rsid w:val="001B4265"/>
    <w:rsid w:val="001C188E"/>
    <w:rsid w:val="001C1B3D"/>
    <w:rsid w:val="001C2ECE"/>
    <w:rsid w:val="001C5307"/>
    <w:rsid w:val="001D20E4"/>
    <w:rsid w:val="001D2BFF"/>
    <w:rsid w:val="001D436E"/>
    <w:rsid w:val="001D4AF5"/>
    <w:rsid w:val="001D66DB"/>
    <w:rsid w:val="001E1790"/>
    <w:rsid w:val="001E3DA4"/>
    <w:rsid w:val="001E3EB9"/>
    <w:rsid w:val="001E56A2"/>
    <w:rsid w:val="001E603C"/>
    <w:rsid w:val="001E6B9C"/>
    <w:rsid w:val="001E74D4"/>
    <w:rsid w:val="001F0231"/>
    <w:rsid w:val="001F0942"/>
    <w:rsid w:val="001F10FE"/>
    <w:rsid w:val="001F2201"/>
    <w:rsid w:val="001F2A9E"/>
    <w:rsid w:val="001F2C22"/>
    <w:rsid w:val="001F3D13"/>
    <w:rsid w:val="001F5694"/>
    <w:rsid w:val="001F6093"/>
    <w:rsid w:val="001F725B"/>
    <w:rsid w:val="001F75DE"/>
    <w:rsid w:val="002005A1"/>
    <w:rsid w:val="00200EE7"/>
    <w:rsid w:val="00201334"/>
    <w:rsid w:val="002019B0"/>
    <w:rsid w:val="00202104"/>
    <w:rsid w:val="00203302"/>
    <w:rsid w:val="0020350C"/>
    <w:rsid w:val="0020389D"/>
    <w:rsid w:val="00204DF9"/>
    <w:rsid w:val="002055FC"/>
    <w:rsid w:val="002057BF"/>
    <w:rsid w:val="00205C79"/>
    <w:rsid w:val="00206522"/>
    <w:rsid w:val="002107B1"/>
    <w:rsid w:val="00210CD7"/>
    <w:rsid w:val="00210ED6"/>
    <w:rsid w:val="00213BE1"/>
    <w:rsid w:val="002221D9"/>
    <w:rsid w:val="002222CC"/>
    <w:rsid w:val="00224E44"/>
    <w:rsid w:val="002254C8"/>
    <w:rsid w:val="00232F8D"/>
    <w:rsid w:val="00235411"/>
    <w:rsid w:val="00236617"/>
    <w:rsid w:val="00236B60"/>
    <w:rsid w:val="00240C5D"/>
    <w:rsid w:val="00241C0B"/>
    <w:rsid w:val="0024203A"/>
    <w:rsid w:val="00244D89"/>
    <w:rsid w:val="0024501A"/>
    <w:rsid w:val="00246C15"/>
    <w:rsid w:val="00246E4C"/>
    <w:rsid w:val="00246FBF"/>
    <w:rsid w:val="00254B05"/>
    <w:rsid w:val="00255CAF"/>
    <w:rsid w:val="00256446"/>
    <w:rsid w:val="00263D00"/>
    <w:rsid w:val="002648EE"/>
    <w:rsid w:val="00266A32"/>
    <w:rsid w:val="002677F6"/>
    <w:rsid w:val="002703F7"/>
    <w:rsid w:val="002718AE"/>
    <w:rsid w:val="00272DDD"/>
    <w:rsid w:val="002732F8"/>
    <w:rsid w:val="0027408D"/>
    <w:rsid w:val="00275298"/>
    <w:rsid w:val="00275E1F"/>
    <w:rsid w:val="002761BF"/>
    <w:rsid w:val="00276502"/>
    <w:rsid w:val="00276A09"/>
    <w:rsid w:val="00277106"/>
    <w:rsid w:val="00277C55"/>
    <w:rsid w:val="00282CFC"/>
    <w:rsid w:val="00283E52"/>
    <w:rsid w:val="00285366"/>
    <w:rsid w:val="00285D85"/>
    <w:rsid w:val="002863E7"/>
    <w:rsid w:val="00287153"/>
    <w:rsid w:val="0028768A"/>
    <w:rsid w:val="002907F6"/>
    <w:rsid w:val="0029124A"/>
    <w:rsid w:val="002941D9"/>
    <w:rsid w:val="00296143"/>
    <w:rsid w:val="0029786D"/>
    <w:rsid w:val="002A1D77"/>
    <w:rsid w:val="002A2FB4"/>
    <w:rsid w:val="002A306F"/>
    <w:rsid w:val="002A3A74"/>
    <w:rsid w:val="002A4E59"/>
    <w:rsid w:val="002A60D7"/>
    <w:rsid w:val="002A61EE"/>
    <w:rsid w:val="002A7BC0"/>
    <w:rsid w:val="002B3D81"/>
    <w:rsid w:val="002B4751"/>
    <w:rsid w:val="002B7189"/>
    <w:rsid w:val="002B7C98"/>
    <w:rsid w:val="002C206E"/>
    <w:rsid w:val="002C4C8E"/>
    <w:rsid w:val="002C4FE5"/>
    <w:rsid w:val="002C57F6"/>
    <w:rsid w:val="002D02F0"/>
    <w:rsid w:val="002D0678"/>
    <w:rsid w:val="002D2235"/>
    <w:rsid w:val="002D2F1F"/>
    <w:rsid w:val="002E0DE4"/>
    <w:rsid w:val="002E1AFF"/>
    <w:rsid w:val="002E2E59"/>
    <w:rsid w:val="002E404D"/>
    <w:rsid w:val="002E41C7"/>
    <w:rsid w:val="002E483A"/>
    <w:rsid w:val="002E550D"/>
    <w:rsid w:val="002E75FE"/>
    <w:rsid w:val="002F0790"/>
    <w:rsid w:val="002F0AB7"/>
    <w:rsid w:val="002F192E"/>
    <w:rsid w:val="002F25A2"/>
    <w:rsid w:val="002F3AE3"/>
    <w:rsid w:val="002F418B"/>
    <w:rsid w:val="0030223D"/>
    <w:rsid w:val="00302B04"/>
    <w:rsid w:val="003043C5"/>
    <w:rsid w:val="0030677C"/>
    <w:rsid w:val="0030786C"/>
    <w:rsid w:val="003112A1"/>
    <w:rsid w:val="003126F2"/>
    <w:rsid w:val="00313870"/>
    <w:rsid w:val="00313C40"/>
    <w:rsid w:val="00314A5D"/>
    <w:rsid w:val="00316D3C"/>
    <w:rsid w:val="00320C55"/>
    <w:rsid w:val="00320ED8"/>
    <w:rsid w:val="003234BA"/>
    <w:rsid w:val="00323761"/>
    <w:rsid w:val="00325842"/>
    <w:rsid w:val="00331D93"/>
    <w:rsid w:val="0033326E"/>
    <w:rsid w:val="00333F52"/>
    <w:rsid w:val="003350C6"/>
    <w:rsid w:val="003373CF"/>
    <w:rsid w:val="00340205"/>
    <w:rsid w:val="00340389"/>
    <w:rsid w:val="0034160A"/>
    <w:rsid w:val="0034296A"/>
    <w:rsid w:val="00343285"/>
    <w:rsid w:val="003456D0"/>
    <w:rsid w:val="0034717B"/>
    <w:rsid w:val="00347B5C"/>
    <w:rsid w:val="003508BA"/>
    <w:rsid w:val="0035203E"/>
    <w:rsid w:val="003558B8"/>
    <w:rsid w:val="00356AEA"/>
    <w:rsid w:val="00357D67"/>
    <w:rsid w:val="0036011A"/>
    <w:rsid w:val="003604FF"/>
    <w:rsid w:val="00360D51"/>
    <w:rsid w:val="00364E29"/>
    <w:rsid w:val="003663E3"/>
    <w:rsid w:val="00366406"/>
    <w:rsid w:val="00370E87"/>
    <w:rsid w:val="003719E2"/>
    <w:rsid w:val="00371ACB"/>
    <w:rsid w:val="00376252"/>
    <w:rsid w:val="00376563"/>
    <w:rsid w:val="00380E73"/>
    <w:rsid w:val="00381011"/>
    <w:rsid w:val="0038261F"/>
    <w:rsid w:val="003831AA"/>
    <w:rsid w:val="003835B5"/>
    <w:rsid w:val="003837DF"/>
    <w:rsid w:val="003842D3"/>
    <w:rsid w:val="00384E03"/>
    <w:rsid w:val="00384EF4"/>
    <w:rsid w:val="003866DC"/>
    <w:rsid w:val="00391448"/>
    <w:rsid w:val="0039195F"/>
    <w:rsid w:val="003931DF"/>
    <w:rsid w:val="003942E4"/>
    <w:rsid w:val="003943FD"/>
    <w:rsid w:val="00396B69"/>
    <w:rsid w:val="003A10DC"/>
    <w:rsid w:val="003A1A3A"/>
    <w:rsid w:val="003A2942"/>
    <w:rsid w:val="003A3583"/>
    <w:rsid w:val="003A3A68"/>
    <w:rsid w:val="003A43CC"/>
    <w:rsid w:val="003A46F2"/>
    <w:rsid w:val="003A4B5C"/>
    <w:rsid w:val="003A7517"/>
    <w:rsid w:val="003B0049"/>
    <w:rsid w:val="003B1F66"/>
    <w:rsid w:val="003B25F1"/>
    <w:rsid w:val="003B2692"/>
    <w:rsid w:val="003B37AD"/>
    <w:rsid w:val="003B572F"/>
    <w:rsid w:val="003B7382"/>
    <w:rsid w:val="003B78ED"/>
    <w:rsid w:val="003C0674"/>
    <w:rsid w:val="003C362E"/>
    <w:rsid w:val="003C3C72"/>
    <w:rsid w:val="003C5E1C"/>
    <w:rsid w:val="003C7449"/>
    <w:rsid w:val="003D17F9"/>
    <w:rsid w:val="003D3034"/>
    <w:rsid w:val="003D4828"/>
    <w:rsid w:val="003D543B"/>
    <w:rsid w:val="003D6030"/>
    <w:rsid w:val="003E0E00"/>
    <w:rsid w:val="003E3E51"/>
    <w:rsid w:val="003E42EE"/>
    <w:rsid w:val="003E66E6"/>
    <w:rsid w:val="003F3925"/>
    <w:rsid w:val="003F6492"/>
    <w:rsid w:val="00402B2F"/>
    <w:rsid w:val="00405B5C"/>
    <w:rsid w:val="00406989"/>
    <w:rsid w:val="00407430"/>
    <w:rsid w:val="00407F97"/>
    <w:rsid w:val="00411E09"/>
    <w:rsid w:val="0041327E"/>
    <w:rsid w:val="004173F7"/>
    <w:rsid w:val="00417A3A"/>
    <w:rsid w:val="00417F12"/>
    <w:rsid w:val="0042501F"/>
    <w:rsid w:val="00426FC2"/>
    <w:rsid w:val="0043174F"/>
    <w:rsid w:val="00432739"/>
    <w:rsid w:val="0043360E"/>
    <w:rsid w:val="0043475E"/>
    <w:rsid w:val="0043676F"/>
    <w:rsid w:val="004405B8"/>
    <w:rsid w:val="00442CA8"/>
    <w:rsid w:val="004454A4"/>
    <w:rsid w:val="00446BFB"/>
    <w:rsid w:val="00447665"/>
    <w:rsid w:val="00447782"/>
    <w:rsid w:val="0045025C"/>
    <w:rsid w:val="0045235D"/>
    <w:rsid w:val="00453BD7"/>
    <w:rsid w:val="00455EC0"/>
    <w:rsid w:val="00455FF7"/>
    <w:rsid w:val="00457DBB"/>
    <w:rsid w:val="004607C0"/>
    <w:rsid w:val="00462EAA"/>
    <w:rsid w:val="0046323F"/>
    <w:rsid w:val="0046561C"/>
    <w:rsid w:val="00465B90"/>
    <w:rsid w:val="0046605D"/>
    <w:rsid w:val="00466614"/>
    <w:rsid w:val="0046776C"/>
    <w:rsid w:val="00470659"/>
    <w:rsid w:val="00471794"/>
    <w:rsid w:val="004720BF"/>
    <w:rsid w:val="00473CAA"/>
    <w:rsid w:val="0047451A"/>
    <w:rsid w:val="00475469"/>
    <w:rsid w:val="004765E2"/>
    <w:rsid w:val="004802F2"/>
    <w:rsid w:val="00480CE1"/>
    <w:rsid w:val="00481CC3"/>
    <w:rsid w:val="00483309"/>
    <w:rsid w:val="0048647B"/>
    <w:rsid w:val="004867E2"/>
    <w:rsid w:val="00486AE7"/>
    <w:rsid w:val="00487300"/>
    <w:rsid w:val="004906EE"/>
    <w:rsid w:val="00490B08"/>
    <w:rsid w:val="0049183D"/>
    <w:rsid w:val="0049186F"/>
    <w:rsid w:val="00492C68"/>
    <w:rsid w:val="00495F21"/>
    <w:rsid w:val="00496B1E"/>
    <w:rsid w:val="00496B7C"/>
    <w:rsid w:val="00497E5C"/>
    <w:rsid w:val="004A2244"/>
    <w:rsid w:val="004A2EC9"/>
    <w:rsid w:val="004A4E68"/>
    <w:rsid w:val="004A55F4"/>
    <w:rsid w:val="004A6D84"/>
    <w:rsid w:val="004B12D3"/>
    <w:rsid w:val="004B296E"/>
    <w:rsid w:val="004B3D5E"/>
    <w:rsid w:val="004B40C7"/>
    <w:rsid w:val="004B4AAA"/>
    <w:rsid w:val="004B6C4C"/>
    <w:rsid w:val="004B7596"/>
    <w:rsid w:val="004C0C0B"/>
    <w:rsid w:val="004C10F1"/>
    <w:rsid w:val="004C1B1C"/>
    <w:rsid w:val="004C37C0"/>
    <w:rsid w:val="004C4DEE"/>
    <w:rsid w:val="004C69A3"/>
    <w:rsid w:val="004D3C05"/>
    <w:rsid w:val="004D41D4"/>
    <w:rsid w:val="004D5539"/>
    <w:rsid w:val="004D5FCE"/>
    <w:rsid w:val="004D6274"/>
    <w:rsid w:val="004E1202"/>
    <w:rsid w:val="004E50C4"/>
    <w:rsid w:val="004E557A"/>
    <w:rsid w:val="004E5B3B"/>
    <w:rsid w:val="004E5B97"/>
    <w:rsid w:val="004E6DA0"/>
    <w:rsid w:val="004E782E"/>
    <w:rsid w:val="004F13AA"/>
    <w:rsid w:val="004F289A"/>
    <w:rsid w:val="004F3B1B"/>
    <w:rsid w:val="004F4629"/>
    <w:rsid w:val="004F6280"/>
    <w:rsid w:val="004F65F4"/>
    <w:rsid w:val="004F72DE"/>
    <w:rsid w:val="004F7478"/>
    <w:rsid w:val="00500060"/>
    <w:rsid w:val="005015B8"/>
    <w:rsid w:val="005015D2"/>
    <w:rsid w:val="00503726"/>
    <w:rsid w:val="0050630A"/>
    <w:rsid w:val="005110C1"/>
    <w:rsid w:val="0051162C"/>
    <w:rsid w:val="005138BB"/>
    <w:rsid w:val="00514BB3"/>
    <w:rsid w:val="005167D5"/>
    <w:rsid w:val="00517453"/>
    <w:rsid w:val="00521670"/>
    <w:rsid w:val="005222F8"/>
    <w:rsid w:val="005235E3"/>
    <w:rsid w:val="0052540C"/>
    <w:rsid w:val="00527CAE"/>
    <w:rsid w:val="00530C82"/>
    <w:rsid w:val="0053166A"/>
    <w:rsid w:val="005345F5"/>
    <w:rsid w:val="00534773"/>
    <w:rsid w:val="005356A1"/>
    <w:rsid w:val="00535F25"/>
    <w:rsid w:val="0053647A"/>
    <w:rsid w:val="00537901"/>
    <w:rsid w:val="00540C35"/>
    <w:rsid w:val="005416A4"/>
    <w:rsid w:val="0054504F"/>
    <w:rsid w:val="00546430"/>
    <w:rsid w:val="00552794"/>
    <w:rsid w:val="005565A1"/>
    <w:rsid w:val="00557E22"/>
    <w:rsid w:val="00561F11"/>
    <w:rsid w:val="0056275F"/>
    <w:rsid w:val="005647D1"/>
    <w:rsid w:val="005655FA"/>
    <w:rsid w:val="0056587D"/>
    <w:rsid w:val="00565BFD"/>
    <w:rsid w:val="00571658"/>
    <w:rsid w:val="00571982"/>
    <w:rsid w:val="00572053"/>
    <w:rsid w:val="00574A82"/>
    <w:rsid w:val="00577063"/>
    <w:rsid w:val="005837C6"/>
    <w:rsid w:val="00585CBA"/>
    <w:rsid w:val="005879DC"/>
    <w:rsid w:val="00592529"/>
    <w:rsid w:val="005927BD"/>
    <w:rsid w:val="00593A73"/>
    <w:rsid w:val="00597D82"/>
    <w:rsid w:val="00597FB2"/>
    <w:rsid w:val="005A1473"/>
    <w:rsid w:val="005A1D22"/>
    <w:rsid w:val="005A2127"/>
    <w:rsid w:val="005A22C2"/>
    <w:rsid w:val="005A2ACD"/>
    <w:rsid w:val="005A4877"/>
    <w:rsid w:val="005A7CD4"/>
    <w:rsid w:val="005A7D36"/>
    <w:rsid w:val="005B0030"/>
    <w:rsid w:val="005B01EA"/>
    <w:rsid w:val="005B1A6F"/>
    <w:rsid w:val="005B2056"/>
    <w:rsid w:val="005B374E"/>
    <w:rsid w:val="005B50E4"/>
    <w:rsid w:val="005B5249"/>
    <w:rsid w:val="005B73C5"/>
    <w:rsid w:val="005B7659"/>
    <w:rsid w:val="005C0248"/>
    <w:rsid w:val="005C2393"/>
    <w:rsid w:val="005C33CC"/>
    <w:rsid w:val="005C3C94"/>
    <w:rsid w:val="005C56F3"/>
    <w:rsid w:val="005C56F6"/>
    <w:rsid w:val="005C574F"/>
    <w:rsid w:val="005D52E5"/>
    <w:rsid w:val="005D6614"/>
    <w:rsid w:val="005E2084"/>
    <w:rsid w:val="005E2CA2"/>
    <w:rsid w:val="005E3177"/>
    <w:rsid w:val="005E4255"/>
    <w:rsid w:val="005E4C4D"/>
    <w:rsid w:val="005E59ED"/>
    <w:rsid w:val="005E6C7F"/>
    <w:rsid w:val="005F1558"/>
    <w:rsid w:val="005F1C2C"/>
    <w:rsid w:val="005F43AA"/>
    <w:rsid w:val="005F43DA"/>
    <w:rsid w:val="005F748C"/>
    <w:rsid w:val="006013B9"/>
    <w:rsid w:val="00601FF8"/>
    <w:rsid w:val="00605B37"/>
    <w:rsid w:val="006060CB"/>
    <w:rsid w:val="00606227"/>
    <w:rsid w:val="00606F64"/>
    <w:rsid w:val="00607A42"/>
    <w:rsid w:val="006103BD"/>
    <w:rsid w:val="00610D8D"/>
    <w:rsid w:val="00615A1F"/>
    <w:rsid w:val="00616E49"/>
    <w:rsid w:val="00621730"/>
    <w:rsid w:val="0062230E"/>
    <w:rsid w:val="00624133"/>
    <w:rsid w:val="006304F6"/>
    <w:rsid w:val="006341DE"/>
    <w:rsid w:val="00635546"/>
    <w:rsid w:val="006357F4"/>
    <w:rsid w:val="00637112"/>
    <w:rsid w:val="00637409"/>
    <w:rsid w:val="00637FC3"/>
    <w:rsid w:val="00640342"/>
    <w:rsid w:val="0064082B"/>
    <w:rsid w:val="006456F5"/>
    <w:rsid w:val="00645BC6"/>
    <w:rsid w:val="00647684"/>
    <w:rsid w:val="006520A4"/>
    <w:rsid w:val="006534DE"/>
    <w:rsid w:val="00653AA7"/>
    <w:rsid w:val="00654E82"/>
    <w:rsid w:val="00654EA5"/>
    <w:rsid w:val="006554CD"/>
    <w:rsid w:val="006554DD"/>
    <w:rsid w:val="006608ED"/>
    <w:rsid w:val="00660C4B"/>
    <w:rsid w:val="006625BA"/>
    <w:rsid w:val="0066291E"/>
    <w:rsid w:val="00664277"/>
    <w:rsid w:val="006657FE"/>
    <w:rsid w:val="00672973"/>
    <w:rsid w:val="0067354B"/>
    <w:rsid w:val="00673C6C"/>
    <w:rsid w:val="006749A3"/>
    <w:rsid w:val="00674F70"/>
    <w:rsid w:val="00676B55"/>
    <w:rsid w:val="00676FA7"/>
    <w:rsid w:val="00677BF1"/>
    <w:rsid w:val="0068033E"/>
    <w:rsid w:val="00680908"/>
    <w:rsid w:val="00682475"/>
    <w:rsid w:val="0068383F"/>
    <w:rsid w:val="006850E0"/>
    <w:rsid w:val="0068737D"/>
    <w:rsid w:val="0068778B"/>
    <w:rsid w:val="00687C91"/>
    <w:rsid w:val="006900B0"/>
    <w:rsid w:val="00690736"/>
    <w:rsid w:val="006911A4"/>
    <w:rsid w:val="00694C72"/>
    <w:rsid w:val="00696D94"/>
    <w:rsid w:val="006A1E43"/>
    <w:rsid w:val="006A4DE1"/>
    <w:rsid w:val="006B14DC"/>
    <w:rsid w:val="006B28F4"/>
    <w:rsid w:val="006B33B9"/>
    <w:rsid w:val="006B6CB1"/>
    <w:rsid w:val="006C1D19"/>
    <w:rsid w:val="006C390B"/>
    <w:rsid w:val="006C4405"/>
    <w:rsid w:val="006C47AF"/>
    <w:rsid w:val="006C797B"/>
    <w:rsid w:val="006D12E7"/>
    <w:rsid w:val="006D381E"/>
    <w:rsid w:val="006D43E4"/>
    <w:rsid w:val="006D5138"/>
    <w:rsid w:val="006D608D"/>
    <w:rsid w:val="006E2751"/>
    <w:rsid w:val="006E2B4F"/>
    <w:rsid w:val="006E3146"/>
    <w:rsid w:val="006E31D9"/>
    <w:rsid w:val="006E6C52"/>
    <w:rsid w:val="006E72DB"/>
    <w:rsid w:val="006F058A"/>
    <w:rsid w:val="006F2932"/>
    <w:rsid w:val="006F323F"/>
    <w:rsid w:val="006F5948"/>
    <w:rsid w:val="006F6BC6"/>
    <w:rsid w:val="007005FC"/>
    <w:rsid w:val="00700781"/>
    <w:rsid w:val="007035AF"/>
    <w:rsid w:val="00704324"/>
    <w:rsid w:val="007049A1"/>
    <w:rsid w:val="00704EB8"/>
    <w:rsid w:val="0070624D"/>
    <w:rsid w:val="00706998"/>
    <w:rsid w:val="00710145"/>
    <w:rsid w:val="00712B48"/>
    <w:rsid w:val="007130C8"/>
    <w:rsid w:val="007139A6"/>
    <w:rsid w:val="0071573D"/>
    <w:rsid w:val="00716E73"/>
    <w:rsid w:val="00717038"/>
    <w:rsid w:val="00721C51"/>
    <w:rsid w:val="0072318B"/>
    <w:rsid w:val="00725E0C"/>
    <w:rsid w:val="007275C6"/>
    <w:rsid w:val="00727948"/>
    <w:rsid w:val="007305A4"/>
    <w:rsid w:val="00731932"/>
    <w:rsid w:val="00732810"/>
    <w:rsid w:val="007338F0"/>
    <w:rsid w:val="0073490D"/>
    <w:rsid w:val="00735AA4"/>
    <w:rsid w:val="00736471"/>
    <w:rsid w:val="00736D76"/>
    <w:rsid w:val="007377AC"/>
    <w:rsid w:val="00741DCC"/>
    <w:rsid w:val="00746382"/>
    <w:rsid w:val="00756153"/>
    <w:rsid w:val="0075676E"/>
    <w:rsid w:val="00756A47"/>
    <w:rsid w:val="007574D4"/>
    <w:rsid w:val="007575C9"/>
    <w:rsid w:val="00760421"/>
    <w:rsid w:val="00761C3D"/>
    <w:rsid w:val="00762A13"/>
    <w:rsid w:val="00763338"/>
    <w:rsid w:val="00765CF9"/>
    <w:rsid w:val="00767CA2"/>
    <w:rsid w:val="007727E3"/>
    <w:rsid w:val="007747B6"/>
    <w:rsid w:val="00774A05"/>
    <w:rsid w:val="007807B2"/>
    <w:rsid w:val="007808A1"/>
    <w:rsid w:val="007836B4"/>
    <w:rsid w:val="00784D6E"/>
    <w:rsid w:val="007872E8"/>
    <w:rsid w:val="007874A7"/>
    <w:rsid w:val="00791AD0"/>
    <w:rsid w:val="007933BF"/>
    <w:rsid w:val="007953F4"/>
    <w:rsid w:val="007978BF"/>
    <w:rsid w:val="007A093A"/>
    <w:rsid w:val="007A0A88"/>
    <w:rsid w:val="007A205C"/>
    <w:rsid w:val="007A66F9"/>
    <w:rsid w:val="007B1A28"/>
    <w:rsid w:val="007B25D2"/>
    <w:rsid w:val="007B395C"/>
    <w:rsid w:val="007B7ADD"/>
    <w:rsid w:val="007C0F42"/>
    <w:rsid w:val="007C2840"/>
    <w:rsid w:val="007C369F"/>
    <w:rsid w:val="007D15FD"/>
    <w:rsid w:val="007D3348"/>
    <w:rsid w:val="007D4A16"/>
    <w:rsid w:val="007D5E2A"/>
    <w:rsid w:val="007E1063"/>
    <w:rsid w:val="007E312F"/>
    <w:rsid w:val="007E49F8"/>
    <w:rsid w:val="007E4E27"/>
    <w:rsid w:val="007E54BE"/>
    <w:rsid w:val="007F2D91"/>
    <w:rsid w:val="007F3209"/>
    <w:rsid w:val="007F6EEC"/>
    <w:rsid w:val="00800AE4"/>
    <w:rsid w:val="00801A90"/>
    <w:rsid w:val="00802A76"/>
    <w:rsid w:val="00802E62"/>
    <w:rsid w:val="0081410F"/>
    <w:rsid w:val="00814DD2"/>
    <w:rsid w:val="00816DFE"/>
    <w:rsid w:val="008175C1"/>
    <w:rsid w:val="00820468"/>
    <w:rsid w:val="008212B0"/>
    <w:rsid w:val="00821E74"/>
    <w:rsid w:val="0082427C"/>
    <w:rsid w:val="00824504"/>
    <w:rsid w:val="00825B37"/>
    <w:rsid w:val="008264EB"/>
    <w:rsid w:val="00830A73"/>
    <w:rsid w:val="00832373"/>
    <w:rsid w:val="00834B4E"/>
    <w:rsid w:val="00836487"/>
    <w:rsid w:val="0083691A"/>
    <w:rsid w:val="00836AA7"/>
    <w:rsid w:val="00837195"/>
    <w:rsid w:val="00837DCB"/>
    <w:rsid w:val="008443C7"/>
    <w:rsid w:val="00846761"/>
    <w:rsid w:val="00846D81"/>
    <w:rsid w:val="008475C9"/>
    <w:rsid w:val="00850981"/>
    <w:rsid w:val="00850A7C"/>
    <w:rsid w:val="00850C9E"/>
    <w:rsid w:val="00850DFD"/>
    <w:rsid w:val="00853CB1"/>
    <w:rsid w:val="00857821"/>
    <w:rsid w:val="008605D6"/>
    <w:rsid w:val="008611EC"/>
    <w:rsid w:val="00865F9D"/>
    <w:rsid w:val="0086699D"/>
    <w:rsid w:val="008669E8"/>
    <w:rsid w:val="00870342"/>
    <w:rsid w:val="00870FE8"/>
    <w:rsid w:val="00871E1F"/>
    <w:rsid w:val="00875AAA"/>
    <w:rsid w:val="0087622A"/>
    <w:rsid w:val="00876F3B"/>
    <w:rsid w:val="008770B5"/>
    <w:rsid w:val="00877815"/>
    <w:rsid w:val="00880A0C"/>
    <w:rsid w:val="008817C5"/>
    <w:rsid w:val="00884A56"/>
    <w:rsid w:val="00885F62"/>
    <w:rsid w:val="0088602C"/>
    <w:rsid w:val="00886678"/>
    <w:rsid w:val="008867C8"/>
    <w:rsid w:val="00891843"/>
    <w:rsid w:val="008950DD"/>
    <w:rsid w:val="00897B8B"/>
    <w:rsid w:val="008A24D7"/>
    <w:rsid w:val="008A3083"/>
    <w:rsid w:val="008A3D23"/>
    <w:rsid w:val="008B2819"/>
    <w:rsid w:val="008B2E92"/>
    <w:rsid w:val="008B3D71"/>
    <w:rsid w:val="008B49B6"/>
    <w:rsid w:val="008C39BC"/>
    <w:rsid w:val="008C39CA"/>
    <w:rsid w:val="008C718B"/>
    <w:rsid w:val="008D0389"/>
    <w:rsid w:val="008D0CD5"/>
    <w:rsid w:val="008D167B"/>
    <w:rsid w:val="008D1E4E"/>
    <w:rsid w:val="008D5805"/>
    <w:rsid w:val="008D663A"/>
    <w:rsid w:val="008D7BBC"/>
    <w:rsid w:val="008E0357"/>
    <w:rsid w:val="008E1457"/>
    <w:rsid w:val="008E170F"/>
    <w:rsid w:val="008E5AD2"/>
    <w:rsid w:val="008F400A"/>
    <w:rsid w:val="00901067"/>
    <w:rsid w:val="00904B65"/>
    <w:rsid w:val="00905C38"/>
    <w:rsid w:val="00905DFF"/>
    <w:rsid w:val="00910339"/>
    <w:rsid w:val="00911538"/>
    <w:rsid w:val="00911926"/>
    <w:rsid w:val="009122CD"/>
    <w:rsid w:val="00914DC9"/>
    <w:rsid w:val="00915057"/>
    <w:rsid w:val="00920450"/>
    <w:rsid w:val="0092109D"/>
    <w:rsid w:val="009210FF"/>
    <w:rsid w:val="009216F4"/>
    <w:rsid w:val="009217B8"/>
    <w:rsid w:val="00921A03"/>
    <w:rsid w:val="00921BCC"/>
    <w:rsid w:val="0092312C"/>
    <w:rsid w:val="0092393D"/>
    <w:rsid w:val="00924AAB"/>
    <w:rsid w:val="0092685F"/>
    <w:rsid w:val="0092693D"/>
    <w:rsid w:val="009277E3"/>
    <w:rsid w:val="0093154F"/>
    <w:rsid w:val="00931772"/>
    <w:rsid w:val="009320D8"/>
    <w:rsid w:val="00935489"/>
    <w:rsid w:val="0093681D"/>
    <w:rsid w:val="00936FBD"/>
    <w:rsid w:val="0093757F"/>
    <w:rsid w:val="00937B58"/>
    <w:rsid w:val="00937BCB"/>
    <w:rsid w:val="009403BF"/>
    <w:rsid w:val="00943A7B"/>
    <w:rsid w:val="00943CF8"/>
    <w:rsid w:val="0094433F"/>
    <w:rsid w:val="00946FB4"/>
    <w:rsid w:val="00947495"/>
    <w:rsid w:val="00947C2A"/>
    <w:rsid w:val="00952600"/>
    <w:rsid w:val="00953B25"/>
    <w:rsid w:val="009543A4"/>
    <w:rsid w:val="009555CF"/>
    <w:rsid w:val="00956CBC"/>
    <w:rsid w:val="00957A12"/>
    <w:rsid w:val="009623F6"/>
    <w:rsid w:val="00963422"/>
    <w:rsid w:val="00964CE6"/>
    <w:rsid w:val="0096559A"/>
    <w:rsid w:val="00966501"/>
    <w:rsid w:val="00967587"/>
    <w:rsid w:val="00967CDB"/>
    <w:rsid w:val="00970C9F"/>
    <w:rsid w:val="00971263"/>
    <w:rsid w:val="009717CF"/>
    <w:rsid w:val="00971914"/>
    <w:rsid w:val="00974A66"/>
    <w:rsid w:val="00976893"/>
    <w:rsid w:val="00980D23"/>
    <w:rsid w:val="00981289"/>
    <w:rsid w:val="00982ADB"/>
    <w:rsid w:val="00985AC6"/>
    <w:rsid w:val="00986F99"/>
    <w:rsid w:val="009912BB"/>
    <w:rsid w:val="00993032"/>
    <w:rsid w:val="00993D69"/>
    <w:rsid w:val="0099521C"/>
    <w:rsid w:val="00995E41"/>
    <w:rsid w:val="00996398"/>
    <w:rsid w:val="00996ED9"/>
    <w:rsid w:val="009A08B9"/>
    <w:rsid w:val="009A0EAC"/>
    <w:rsid w:val="009A213F"/>
    <w:rsid w:val="009A2F84"/>
    <w:rsid w:val="009A44EE"/>
    <w:rsid w:val="009A4FBB"/>
    <w:rsid w:val="009A6422"/>
    <w:rsid w:val="009A79FA"/>
    <w:rsid w:val="009A7FE4"/>
    <w:rsid w:val="009B01EB"/>
    <w:rsid w:val="009B1820"/>
    <w:rsid w:val="009B1B02"/>
    <w:rsid w:val="009B287A"/>
    <w:rsid w:val="009B4724"/>
    <w:rsid w:val="009B5081"/>
    <w:rsid w:val="009B56C3"/>
    <w:rsid w:val="009B574B"/>
    <w:rsid w:val="009B666F"/>
    <w:rsid w:val="009C0445"/>
    <w:rsid w:val="009C1A3F"/>
    <w:rsid w:val="009C1A94"/>
    <w:rsid w:val="009C3403"/>
    <w:rsid w:val="009C406F"/>
    <w:rsid w:val="009C4897"/>
    <w:rsid w:val="009C4A0A"/>
    <w:rsid w:val="009C594C"/>
    <w:rsid w:val="009C66C8"/>
    <w:rsid w:val="009C7D13"/>
    <w:rsid w:val="009D17EC"/>
    <w:rsid w:val="009D1D89"/>
    <w:rsid w:val="009D4313"/>
    <w:rsid w:val="009D4A72"/>
    <w:rsid w:val="009D7CAD"/>
    <w:rsid w:val="009E0DE8"/>
    <w:rsid w:val="009E16E4"/>
    <w:rsid w:val="009E2B69"/>
    <w:rsid w:val="009E34BA"/>
    <w:rsid w:val="009E38A3"/>
    <w:rsid w:val="009E4E32"/>
    <w:rsid w:val="009E658E"/>
    <w:rsid w:val="009E690F"/>
    <w:rsid w:val="009F0ACD"/>
    <w:rsid w:val="009F1BFD"/>
    <w:rsid w:val="009F2E3E"/>
    <w:rsid w:val="009F30BE"/>
    <w:rsid w:val="009F33CA"/>
    <w:rsid w:val="009F355F"/>
    <w:rsid w:val="009F5D70"/>
    <w:rsid w:val="009F63E5"/>
    <w:rsid w:val="00A047DC"/>
    <w:rsid w:val="00A064C7"/>
    <w:rsid w:val="00A06C0C"/>
    <w:rsid w:val="00A06FE2"/>
    <w:rsid w:val="00A073BE"/>
    <w:rsid w:val="00A1037D"/>
    <w:rsid w:val="00A1099E"/>
    <w:rsid w:val="00A1248E"/>
    <w:rsid w:val="00A12C35"/>
    <w:rsid w:val="00A131A8"/>
    <w:rsid w:val="00A141AE"/>
    <w:rsid w:val="00A14533"/>
    <w:rsid w:val="00A15975"/>
    <w:rsid w:val="00A16691"/>
    <w:rsid w:val="00A22CEF"/>
    <w:rsid w:val="00A238BA"/>
    <w:rsid w:val="00A23998"/>
    <w:rsid w:val="00A24715"/>
    <w:rsid w:val="00A24B6F"/>
    <w:rsid w:val="00A31EA2"/>
    <w:rsid w:val="00A32013"/>
    <w:rsid w:val="00A32B14"/>
    <w:rsid w:val="00A3685E"/>
    <w:rsid w:val="00A41D31"/>
    <w:rsid w:val="00A44B68"/>
    <w:rsid w:val="00A44EA7"/>
    <w:rsid w:val="00A4512D"/>
    <w:rsid w:val="00A5307F"/>
    <w:rsid w:val="00A54640"/>
    <w:rsid w:val="00A54F70"/>
    <w:rsid w:val="00A56BF8"/>
    <w:rsid w:val="00A56F43"/>
    <w:rsid w:val="00A5759D"/>
    <w:rsid w:val="00A60C56"/>
    <w:rsid w:val="00A60CAA"/>
    <w:rsid w:val="00A6315F"/>
    <w:rsid w:val="00A63255"/>
    <w:rsid w:val="00A65E44"/>
    <w:rsid w:val="00A705AF"/>
    <w:rsid w:val="00A716C9"/>
    <w:rsid w:val="00A72A6C"/>
    <w:rsid w:val="00A7362B"/>
    <w:rsid w:val="00A74E58"/>
    <w:rsid w:val="00A77814"/>
    <w:rsid w:val="00A81114"/>
    <w:rsid w:val="00A81F92"/>
    <w:rsid w:val="00A8387E"/>
    <w:rsid w:val="00A83B36"/>
    <w:rsid w:val="00A83EE1"/>
    <w:rsid w:val="00A8493A"/>
    <w:rsid w:val="00A84C47"/>
    <w:rsid w:val="00A8569A"/>
    <w:rsid w:val="00A86C15"/>
    <w:rsid w:val="00A879AA"/>
    <w:rsid w:val="00A90EF7"/>
    <w:rsid w:val="00A91DBB"/>
    <w:rsid w:val="00A9307D"/>
    <w:rsid w:val="00A94315"/>
    <w:rsid w:val="00A95130"/>
    <w:rsid w:val="00AA37B6"/>
    <w:rsid w:val="00AA40C7"/>
    <w:rsid w:val="00AA4BD9"/>
    <w:rsid w:val="00AB1F1A"/>
    <w:rsid w:val="00AB590F"/>
    <w:rsid w:val="00AB7520"/>
    <w:rsid w:val="00AB7D96"/>
    <w:rsid w:val="00AC1E9B"/>
    <w:rsid w:val="00AC3C0E"/>
    <w:rsid w:val="00AC4FA7"/>
    <w:rsid w:val="00AC7E38"/>
    <w:rsid w:val="00AD3DCB"/>
    <w:rsid w:val="00AD446A"/>
    <w:rsid w:val="00AD6840"/>
    <w:rsid w:val="00AD7E50"/>
    <w:rsid w:val="00AD7F14"/>
    <w:rsid w:val="00AE092E"/>
    <w:rsid w:val="00AE1358"/>
    <w:rsid w:val="00AE293C"/>
    <w:rsid w:val="00AE2EDC"/>
    <w:rsid w:val="00AE33D6"/>
    <w:rsid w:val="00AE4B4C"/>
    <w:rsid w:val="00AE5415"/>
    <w:rsid w:val="00AE542F"/>
    <w:rsid w:val="00AE607A"/>
    <w:rsid w:val="00AF13CB"/>
    <w:rsid w:val="00AF18ED"/>
    <w:rsid w:val="00AF382C"/>
    <w:rsid w:val="00AF6317"/>
    <w:rsid w:val="00AF7DD5"/>
    <w:rsid w:val="00B00E4F"/>
    <w:rsid w:val="00B01424"/>
    <w:rsid w:val="00B035DC"/>
    <w:rsid w:val="00B03D7F"/>
    <w:rsid w:val="00B058D4"/>
    <w:rsid w:val="00B05F80"/>
    <w:rsid w:val="00B07C00"/>
    <w:rsid w:val="00B14B6B"/>
    <w:rsid w:val="00B14C80"/>
    <w:rsid w:val="00B154B4"/>
    <w:rsid w:val="00B161D1"/>
    <w:rsid w:val="00B2012E"/>
    <w:rsid w:val="00B21DD4"/>
    <w:rsid w:val="00B220F6"/>
    <w:rsid w:val="00B22FBA"/>
    <w:rsid w:val="00B26157"/>
    <w:rsid w:val="00B27072"/>
    <w:rsid w:val="00B34FCA"/>
    <w:rsid w:val="00B353FB"/>
    <w:rsid w:val="00B35F23"/>
    <w:rsid w:val="00B3701B"/>
    <w:rsid w:val="00B37753"/>
    <w:rsid w:val="00B42851"/>
    <w:rsid w:val="00B44104"/>
    <w:rsid w:val="00B449AB"/>
    <w:rsid w:val="00B4771F"/>
    <w:rsid w:val="00B4778F"/>
    <w:rsid w:val="00B51DAD"/>
    <w:rsid w:val="00B52A32"/>
    <w:rsid w:val="00B56E4D"/>
    <w:rsid w:val="00B577AF"/>
    <w:rsid w:val="00B57C34"/>
    <w:rsid w:val="00B60099"/>
    <w:rsid w:val="00B609B5"/>
    <w:rsid w:val="00B621AD"/>
    <w:rsid w:val="00B62DA7"/>
    <w:rsid w:val="00B649A2"/>
    <w:rsid w:val="00B64AA7"/>
    <w:rsid w:val="00B67707"/>
    <w:rsid w:val="00B71B65"/>
    <w:rsid w:val="00B7316A"/>
    <w:rsid w:val="00B732A9"/>
    <w:rsid w:val="00B75104"/>
    <w:rsid w:val="00B8103C"/>
    <w:rsid w:val="00B81EDD"/>
    <w:rsid w:val="00B8529F"/>
    <w:rsid w:val="00B86260"/>
    <w:rsid w:val="00B930A7"/>
    <w:rsid w:val="00B953CE"/>
    <w:rsid w:val="00B95450"/>
    <w:rsid w:val="00B95A3A"/>
    <w:rsid w:val="00B95FB7"/>
    <w:rsid w:val="00B9632D"/>
    <w:rsid w:val="00BA0C30"/>
    <w:rsid w:val="00BA3882"/>
    <w:rsid w:val="00BA6063"/>
    <w:rsid w:val="00BA61C8"/>
    <w:rsid w:val="00BB0993"/>
    <w:rsid w:val="00BB0A6A"/>
    <w:rsid w:val="00BB1318"/>
    <w:rsid w:val="00BB14B0"/>
    <w:rsid w:val="00BB17C2"/>
    <w:rsid w:val="00BB26EA"/>
    <w:rsid w:val="00BB2928"/>
    <w:rsid w:val="00BB548A"/>
    <w:rsid w:val="00BB5BB5"/>
    <w:rsid w:val="00BB71AE"/>
    <w:rsid w:val="00BC1E0E"/>
    <w:rsid w:val="00BC2C72"/>
    <w:rsid w:val="00BC587F"/>
    <w:rsid w:val="00BC6164"/>
    <w:rsid w:val="00BD1258"/>
    <w:rsid w:val="00BD21CF"/>
    <w:rsid w:val="00BD28C6"/>
    <w:rsid w:val="00BD526C"/>
    <w:rsid w:val="00BD75A1"/>
    <w:rsid w:val="00BD7A79"/>
    <w:rsid w:val="00BD7EEB"/>
    <w:rsid w:val="00BE1817"/>
    <w:rsid w:val="00BE1BDC"/>
    <w:rsid w:val="00BE303A"/>
    <w:rsid w:val="00BE6A72"/>
    <w:rsid w:val="00BF45DE"/>
    <w:rsid w:val="00BF5CF9"/>
    <w:rsid w:val="00BF7F40"/>
    <w:rsid w:val="00C026F1"/>
    <w:rsid w:val="00C046C7"/>
    <w:rsid w:val="00C06D51"/>
    <w:rsid w:val="00C1141E"/>
    <w:rsid w:val="00C127B0"/>
    <w:rsid w:val="00C1471B"/>
    <w:rsid w:val="00C14915"/>
    <w:rsid w:val="00C20105"/>
    <w:rsid w:val="00C239CA"/>
    <w:rsid w:val="00C4062C"/>
    <w:rsid w:val="00C40E4B"/>
    <w:rsid w:val="00C465F0"/>
    <w:rsid w:val="00C471A2"/>
    <w:rsid w:val="00C52ECC"/>
    <w:rsid w:val="00C541D2"/>
    <w:rsid w:val="00C54CA5"/>
    <w:rsid w:val="00C64C34"/>
    <w:rsid w:val="00C64CDB"/>
    <w:rsid w:val="00C65DAE"/>
    <w:rsid w:val="00C6607D"/>
    <w:rsid w:val="00C7199E"/>
    <w:rsid w:val="00C71F51"/>
    <w:rsid w:val="00C746BE"/>
    <w:rsid w:val="00C755DF"/>
    <w:rsid w:val="00C75D6C"/>
    <w:rsid w:val="00C81738"/>
    <w:rsid w:val="00C81FF1"/>
    <w:rsid w:val="00C82DA8"/>
    <w:rsid w:val="00C84941"/>
    <w:rsid w:val="00C878A7"/>
    <w:rsid w:val="00C9044F"/>
    <w:rsid w:val="00C93A66"/>
    <w:rsid w:val="00C93D76"/>
    <w:rsid w:val="00C95866"/>
    <w:rsid w:val="00CA0839"/>
    <w:rsid w:val="00CA4B41"/>
    <w:rsid w:val="00CA4B8F"/>
    <w:rsid w:val="00CA68DB"/>
    <w:rsid w:val="00CA717B"/>
    <w:rsid w:val="00CB045C"/>
    <w:rsid w:val="00CB0EB8"/>
    <w:rsid w:val="00CB0FB5"/>
    <w:rsid w:val="00CB17BA"/>
    <w:rsid w:val="00CB5B1A"/>
    <w:rsid w:val="00CB626B"/>
    <w:rsid w:val="00CB696C"/>
    <w:rsid w:val="00CB6C04"/>
    <w:rsid w:val="00CC26B3"/>
    <w:rsid w:val="00CC29DC"/>
    <w:rsid w:val="00CC4706"/>
    <w:rsid w:val="00CC54F2"/>
    <w:rsid w:val="00CC56C1"/>
    <w:rsid w:val="00CC7D85"/>
    <w:rsid w:val="00CC7FB4"/>
    <w:rsid w:val="00CD1795"/>
    <w:rsid w:val="00CD26FA"/>
    <w:rsid w:val="00CD3B1D"/>
    <w:rsid w:val="00CD3D25"/>
    <w:rsid w:val="00CD54FA"/>
    <w:rsid w:val="00CE1415"/>
    <w:rsid w:val="00CE5647"/>
    <w:rsid w:val="00CE6D7D"/>
    <w:rsid w:val="00CE7466"/>
    <w:rsid w:val="00CF18AF"/>
    <w:rsid w:val="00CF2B5D"/>
    <w:rsid w:val="00CF3C0E"/>
    <w:rsid w:val="00CF3E5E"/>
    <w:rsid w:val="00CF54D5"/>
    <w:rsid w:val="00CF66EF"/>
    <w:rsid w:val="00CF78D5"/>
    <w:rsid w:val="00CF7FDF"/>
    <w:rsid w:val="00D01EFC"/>
    <w:rsid w:val="00D02CA1"/>
    <w:rsid w:val="00D02CDA"/>
    <w:rsid w:val="00D03349"/>
    <w:rsid w:val="00D04E02"/>
    <w:rsid w:val="00D07022"/>
    <w:rsid w:val="00D076FE"/>
    <w:rsid w:val="00D07C41"/>
    <w:rsid w:val="00D10848"/>
    <w:rsid w:val="00D11823"/>
    <w:rsid w:val="00D120B1"/>
    <w:rsid w:val="00D15687"/>
    <w:rsid w:val="00D15F68"/>
    <w:rsid w:val="00D165B9"/>
    <w:rsid w:val="00D165BD"/>
    <w:rsid w:val="00D16CB2"/>
    <w:rsid w:val="00D216CD"/>
    <w:rsid w:val="00D21965"/>
    <w:rsid w:val="00D229D9"/>
    <w:rsid w:val="00D2379C"/>
    <w:rsid w:val="00D240C8"/>
    <w:rsid w:val="00D265B5"/>
    <w:rsid w:val="00D2695A"/>
    <w:rsid w:val="00D27AEE"/>
    <w:rsid w:val="00D301A4"/>
    <w:rsid w:val="00D31959"/>
    <w:rsid w:val="00D35549"/>
    <w:rsid w:val="00D35AF0"/>
    <w:rsid w:val="00D415F2"/>
    <w:rsid w:val="00D50367"/>
    <w:rsid w:val="00D518BA"/>
    <w:rsid w:val="00D51D9D"/>
    <w:rsid w:val="00D5340D"/>
    <w:rsid w:val="00D53B19"/>
    <w:rsid w:val="00D54464"/>
    <w:rsid w:val="00D54F3B"/>
    <w:rsid w:val="00D57216"/>
    <w:rsid w:val="00D630A0"/>
    <w:rsid w:val="00D716AF"/>
    <w:rsid w:val="00D73004"/>
    <w:rsid w:val="00D73866"/>
    <w:rsid w:val="00D7447C"/>
    <w:rsid w:val="00D76C49"/>
    <w:rsid w:val="00D80150"/>
    <w:rsid w:val="00D8087E"/>
    <w:rsid w:val="00D8091A"/>
    <w:rsid w:val="00D817FF"/>
    <w:rsid w:val="00D82FFA"/>
    <w:rsid w:val="00D83214"/>
    <w:rsid w:val="00D836B4"/>
    <w:rsid w:val="00D83F58"/>
    <w:rsid w:val="00D84060"/>
    <w:rsid w:val="00D90775"/>
    <w:rsid w:val="00D91264"/>
    <w:rsid w:val="00D94B8F"/>
    <w:rsid w:val="00D95309"/>
    <w:rsid w:val="00D97F04"/>
    <w:rsid w:val="00DA18F1"/>
    <w:rsid w:val="00DA2B4D"/>
    <w:rsid w:val="00DA32EB"/>
    <w:rsid w:val="00DA4008"/>
    <w:rsid w:val="00DA63E9"/>
    <w:rsid w:val="00DA76F5"/>
    <w:rsid w:val="00DB167A"/>
    <w:rsid w:val="00DB3BF5"/>
    <w:rsid w:val="00DB3D8E"/>
    <w:rsid w:val="00DB42E4"/>
    <w:rsid w:val="00DB5AA1"/>
    <w:rsid w:val="00DB7709"/>
    <w:rsid w:val="00DC0A26"/>
    <w:rsid w:val="00DC0D44"/>
    <w:rsid w:val="00DC0FE1"/>
    <w:rsid w:val="00DC361A"/>
    <w:rsid w:val="00DC3857"/>
    <w:rsid w:val="00DC501D"/>
    <w:rsid w:val="00DC7522"/>
    <w:rsid w:val="00DD22B1"/>
    <w:rsid w:val="00DD2421"/>
    <w:rsid w:val="00DD2CB7"/>
    <w:rsid w:val="00DD3D9C"/>
    <w:rsid w:val="00DD4EE1"/>
    <w:rsid w:val="00DD5445"/>
    <w:rsid w:val="00DE310D"/>
    <w:rsid w:val="00DE5566"/>
    <w:rsid w:val="00DE6A6F"/>
    <w:rsid w:val="00DE7CE3"/>
    <w:rsid w:val="00DF21A4"/>
    <w:rsid w:val="00DF3326"/>
    <w:rsid w:val="00DF3A5D"/>
    <w:rsid w:val="00DF57EC"/>
    <w:rsid w:val="00DF5A40"/>
    <w:rsid w:val="00E006BE"/>
    <w:rsid w:val="00E01241"/>
    <w:rsid w:val="00E019C9"/>
    <w:rsid w:val="00E01D88"/>
    <w:rsid w:val="00E039E2"/>
    <w:rsid w:val="00E03D09"/>
    <w:rsid w:val="00E04AE7"/>
    <w:rsid w:val="00E051A9"/>
    <w:rsid w:val="00E0601D"/>
    <w:rsid w:val="00E07529"/>
    <w:rsid w:val="00E10A1B"/>
    <w:rsid w:val="00E11379"/>
    <w:rsid w:val="00E1504E"/>
    <w:rsid w:val="00E152E3"/>
    <w:rsid w:val="00E16D2B"/>
    <w:rsid w:val="00E16E10"/>
    <w:rsid w:val="00E170DA"/>
    <w:rsid w:val="00E17C39"/>
    <w:rsid w:val="00E2000F"/>
    <w:rsid w:val="00E207D6"/>
    <w:rsid w:val="00E22359"/>
    <w:rsid w:val="00E22B34"/>
    <w:rsid w:val="00E23393"/>
    <w:rsid w:val="00E23ED5"/>
    <w:rsid w:val="00E242D6"/>
    <w:rsid w:val="00E24307"/>
    <w:rsid w:val="00E24A06"/>
    <w:rsid w:val="00E24B47"/>
    <w:rsid w:val="00E25E09"/>
    <w:rsid w:val="00E26778"/>
    <w:rsid w:val="00E26AA7"/>
    <w:rsid w:val="00E341B1"/>
    <w:rsid w:val="00E35B73"/>
    <w:rsid w:val="00E361C4"/>
    <w:rsid w:val="00E3639C"/>
    <w:rsid w:val="00E36CE4"/>
    <w:rsid w:val="00E372B9"/>
    <w:rsid w:val="00E372C0"/>
    <w:rsid w:val="00E37341"/>
    <w:rsid w:val="00E37947"/>
    <w:rsid w:val="00E403BF"/>
    <w:rsid w:val="00E4116C"/>
    <w:rsid w:val="00E427A9"/>
    <w:rsid w:val="00E4486B"/>
    <w:rsid w:val="00E452FB"/>
    <w:rsid w:val="00E46545"/>
    <w:rsid w:val="00E46EC3"/>
    <w:rsid w:val="00E50F58"/>
    <w:rsid w:val="00E5345D"/>
    <w:rsid w:val="00E538EF"/>
    <w:rsid w:val="00E54CA6"/>
    <w:rsid w:val="00E5529E"/>
    <w:rsid w:val="00E55A1F"/>
    <w:rsid w:val="00E55CF0"/>
    <w:rsid w:val="00E568A0"/>
    <w:rsid w:val="00E6267B"/>
    <w:rsid w:val="00E62E7F"/>
    <w:rsid w:val="00E635A4"/>
    <w:rsid w:val="00E64884"/>
    <w:rsid w:val="00E64B9B"/>
    <w:rsid w:val="00E65677"/>
    <w:rsid w:val="00E6691C"/>
    <w:rsid w:val="00E66E36"/>
    <w:rsid w:val="00E6732E"/>
    <w:rsid w:val="00E728FD"/>
    <w:rsid w:val="00E75E12"/>
    <w:rsid w:val="00E80A38"/>
    <w:rsid w:val="00E827DF"/>
    <w:rsid w:val="00E82BEA"/>
    <w:rsid w:val="00E86DFB"/>
    <w:rsid w:val="00E87CFE"/>
    <w:rsid w:val="00E90157"/>
    <w:rsid w:val="00E91513"/>
    <w:rsid w:val="00E9374C"/>
    <w:rsid w:val="00E940E6"/>
    <w:rsid w:val="00E966DE"/>
    <w:rsid w:val="00E96E88"/>
    <w:rsid w:val="00EA03EF"/>
    <w:rsid w:val="00EA1888"/>
    <w:rsid w:val="00EA3EA2"/>
    <w:rsid w:val="00EA4412"/>
    <w:rsid w:val="00EA63F5"/>
    <w:rsid w:val="00EA64CB"/>
    <w:rsid w:val="00EA7D46"/>
    <w:rsid w:val="00EA7E1C"/>
    <w:rsid w:val="00EB309A"/>
    <w:rsid w:val="00EC0C1C"/>
    <w:rsid w:val="00EC150D"/>
    <w:rsid w:val="00EC4F30"/>
    <w:rsid w:val="00EC5DD1"/>
    <w:rsid w:val="00ED063B"/>
    <w:rsid w:val="00ED18B4"/>
    <w:rsid w:val="00ED3D70"/>
    <w:rsid w:val="00ED3F7C"/>
    <w:rsid w:val="00ED47BC"/>
    <w:rsid w:val="00ED5B38"/>
    <w:rsid w:val="00ED5E73"/>
    <w:rsid w:val="00ED73C7"/>
    <w:rsid w:val="00EE0B6E"/>
    <w:rsid w:val="00EE3E50"/>
    <w:rsid w:val="00EE74E0"/>
    <w:rsid w:val="00EF0803"/>
    <w:rsid w:val="00EF5267"/>
    <w:rsid w:val="00EF5C89"/>
    <w:rsid w:val="00EF5F30"/>
    <w:rsid w:val="00F007FA"/>
    <w:rsid w:val="00F0418D"/>
    <w:rsid w:val="00F0543A"/>
    <w:rsid w:val="00F06FF0"/>
    <w:rsid w:val="00F07473"/>
    <w:rsid w:val="00F077F2"/>
    <w:rsid w:val="00F07F98"/>
    <w:rsid w:val="00F114F0"/>
    <w:rsid w:val="00F159C0"/>
    <w:rsid w:val="00F1765A"/>
    <w:rsid w:val="00F176B8"/>
    <w:rsid w:val="00F21734"/>
    <w:rsid w:val="00F21E49"/>
    <w:rsid w:val="00F22EA1"/>
    <w:rsid w:val="00F23825"/>
    <w:rsid w:val="00F24EA3"/>
    <w:rsid w:val="00F25EF3"/>
    <w:rsid w:val="00F27083"/>
    <w:rsid w:val="00F272E4"/>
    <w:rsid w:val="00F32174"/>
    <w:rsid w:val="00F3317C"/>
    <w:rsid w:val="00F4064D"/>
    <w:rsid w:val="00F414FD"/>
    <w:rsid w:val="00F419A8"/>
    <w:rsid w:val="00F44825"/>
    <w:rsid w:val="00F44A5F"/>
    <w:rsid w:val="00F45F0B"/>
    <w:rsid w:val="00F46596"/>
    <w:rsid w:val="00F477A0"/>
    <w:rsid w:val="00F53BEB"/>
    <w:rsid w:val="00F55738"/>
    <w:rsid w:val="00F60013"/>
    <w:rsid w:val="00F60083"/>
    <w:rsid w:val="00F700F8"/>
    <w:rsid w:val="00F70482"/>
    <w:rsid w:val="00F706EA"/>
    <w:rsid w:val="00F70C9F"/>
    <w:rsid w:val="00F71544"/>
    <w:rsid w:val="00F732B5"/>
    <w:rsid w:val="00F757E5"/>
    <w:rsid w:val="00F76CB0"/>
    <w:rsid w:val="00F835B4"/>
    <w:rsid w:val="00F83FBE"/>
    <w:rsid w:val="00F84923"/>
    <w:rsid w:val="00F86328"/>
    <w:rsid w:val="00F90FAD"/>
    <w:rsid w:val="00F918CE"/>
    <w:rsid w:val="00F94865"/>
    <w:rsid w:val="00F9499D"/>
    <w:rsid w:val="00F95306"/>
    <w:rsid w:val="00F96278"/>
    <w:rsid w:val="00F975B6"/>
    <w:rsid w:val="00F97D5F"/>
    <w:rsid w:val="00FA1519"/>
    <w:rsid w:val="00FA3C1C"/>
    <w:rsid w:val="00FA3FBF"/>
    <w:rsid w:val="00FA498C"/>
    <w:rsid w:val="00FB01D6"/>
    <w:rsid w:val="00FB7B75"/>
    <w:rsid w:val="00FC0406"/>
    <w:rsid w:val="00FC20EF"/>
    <w:rsid w:val="00FC2D35"/>
    <w:rsid w:val="00FC313A"/>
    <w:rsid w:val="00FC36CF"/>
    <w:rsid w:val="00FC46DB"/>
    <w:rsid w:val="00FC5B8F"/>
    <w:rsid w:val="00FC5BA7"/>
    <w:rsid w:val="00FC6863"/>
    <w:rsid w:val="00FC715E"/>
    <w:rsid w:val="00FD21B6"/>
    <w:rsid w:val="00FD26E0"/>
    <w:rsid w:val="00FD3A13"/>
    <w:rsid w:val="00FD3C50"/>
    <w:rsid w:val="00FD5533"/>
    <w:rsid w:val="00FD6556"/>
    <w:rsid w:val="00FE0021"/>
    <w:rsid w:val="00FE0345"/>
    <w:rsid w:val="00FE08EA"/>
    <w:rsid w:val="00FE62B0"/>
    <w:rsid w:val="00FE715D"/>
    <w:rsid w:val="00FE73A7"/>
    <w:rsid w:val="00FF4AB1"/>
    <w:rsid w:val="00FF5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F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3AA"/>
    <w:pPr>
      <w:spacing w:before="120" w:after="120" w:line="240" w:lineRule="auto"/>
    </w:pPr>
  </w:style>
  <w:style w:type="paragraph" w:styleId="Heading1">
    <w:name w:val="heading 1"/>
    <w:aliases w:val="Heading 1 numbered"/>
    <w:basedOn w:val="Normal"/>
    <w:next w:val="Normal"/>
    <w:link w:val="Heading1Char"/>
    <w:uiPriority w:val="9"/>
    <w:qFormat/>
    <w:rsid w:val="00A8387E"/>
    <w:pPr>
      <w:keepNext/>
      <w:keepLines/>
      <w:pageBreakBefore/>
      <w:spacing w:before="160" w:after="40"/>
      <w:ind w:left="432" w:hanging="432"/>
      <w:outlineLvl w:val="0"/>
    </w:pPr>
    <w:rPr>
      <w:rFonts w:asciiTheme="majorHAnsi" w:eastAsiaTheme="majorEastAsia" w:hAnsiTheme="majorHAnsi" w:cstheme="majorBidi"/>
      <w:b/>
      <w:bCs/>
      <w:color w:val="215E6A" w:themeColor="accent1" w:themeShade="80"/>
      <w:sz w:val="36"/>
      <w:szCs w:val="36"/>
    </w:rPr>
  </w:style>
  <w:style w:type="paragraph" w:styleId="Heading2">
    <w:name w:val="heading 2"/>
    <w:basedOn w:val="Normal"/>
    <w:next w:val="Normal"/>
    <w:link w:val="Heading2Char"/>
    <w:uiPriority w:val="9"/>
    <w:unhideWhenUsed/>
    <w:qFormat/>
    <w:rsid w:val="00314A5D"/>
    <w:pPr>
      <w:keepNext/>
      <w:keepLines/>
      <w:spacing w:before="160"/>
      <w:ind w:left="576" w:hanging="576"/>
      <w:outlineLvl w:val="1"/>
    </w:pPr>
    <w:rPr>
      <w:rFonts w:asciiTheme="majorHAnsi" w:eastAsiaTheme="majorEastAsia" w:hAnsiTheme="majorHAnsi" w:cstheme="majorBidi"/>
      <w:b/>
      <w:bCs/>
      <w:color w:val="255421"/>
      <w:sz w:val="32"/>
      <w:szCs w:val="32"/>
    </w:rPr>
  </w:style>
  <w:style w:type="paragraph" w:styleId="Heading3">
    <w:name w:val="heading 3"/>
    <w:basedOn w:val="Heading2"/>
    <w:next w:val="Normal"/>
    <w:link w:val="Heading3Char"/>
    <w:uiPriority w:val="9"/>
    <w:unhideWhenUsed/>
    <w:qFormat/>
    <w:rsid w:val="0011775A"/>
    <w:pPr>
      <w:ind w:left="0" w:firstLine="0"/>
      <w:outlineLvl w:val="2"/>
    </w:pPr>
    <w:rPr>
      <w:sz w:val="28"/>
      <w:szCs w:val="28"/>
    </w:rPr>
  </w:style>
  <w:style w:type="paragraph" w:styleId="Heading4">
    <w:name w:val="heading 4"/>
    <w:basedOn w:val="Heading3"/>
    <w:next w:val="Normal"/>
    <w:link w:val="Heading4Char"/>
    <w:uiPriority w:val="9"/>
    <w:unhideWhenUsed/>
    <w:qFormat/>
    <w:rsid w:val="00C40E4B"/>
    <w:pPr>
      <w:spacing w:before="120" w:after="0"/>
      <w:outlineLvl w:val="3"/>
    </w:pPr>
    <w:rPr>
      <w:sz w:val="24"/>
      <w:szCs w:val="24"/>
    </w:rPr>
  </w:style>
  <w:style w:type="paragraph" w:styleId="Heading5">
    <w:name w:val="heading 5"/>
    <w:basedOn w:val="Heading4"/>
    <w:next w:val="Normal"/>
    <w:link w:val="Heading5Char"/>
    <w:uiPriority w:val="9"/>
    <w:unhideWhenUsed/>
    <w:qFormat/>
    <w:rsid w:val="00B609B5"/>
    <w:pPr>
      <w:spacing w:before="40"/>
      <w:outlineLvl w:val="4"/>
    </w:pPr>
  </w:style>
  <w:style w:type="paragraph" w:styleId="Heading6">
    <w:name w:val="heading 6"/>
    <w:basedOn w:val="Normal"/>
    <w:next w:val="Normal"/>
    <w:link w:val="Heading6Char"/>
    <w:uiPriority w:val="9"/>
    <w:unhideWhenUsed/>
    <w:rsid w:val="00A16691"/>
    <w:pPr>
      <w:keepNext/>
      <w:keepLines/>
      <w:numPr>
        <w:ilvl w:val="5"/>
        <w:numId w:val="16"/>
      </w:numPr>
      <w:spacing w:before="40" w:after="0"/>
      <w:outlineLvl w:val="5"/>
    </w:pPr>
    <w:rPr>
      <w:rFonts w:asciiTheme="majorHAnsi" w:eastAsiaTheme="majorEastAsia" w:hAnsiTheme="majorHAnsi" w:cstheme="majorBidi"/>
      <w:i/>
      <w:iCs/>
      <w:caps/>
      <w:color w:val="215E6A" w:themeColor="accent1" w:themeShade="80"/>
    </w:rPr>
  </w:style>
  <w:style w:type="paragraph" w:styleId="Heading7">
    <w:name w:val="heading 7"/>
    <w:basedOn w:val="Normal"/>
    <w:next w:val="Normal"/>
    <w:link w:val="Heading7Char"/>
    <w:uiPriority w:val="9"/>
    <w:semiHidden/>
    <w:unhideWhenUsed/>
    <w:qFormat/>
    <w:rsid w:val="00A16691"/>
    <w:pPr>
      <w:keepNext/>
      <w:keepLines/>
      <w:numPr>
        <w:ilvl w:val="6"/>
        <w:numId w:val="16"/>
      </w:numPr>
      <w:spacing w:before="40" w:after="0"/>
      <w:outlineLvl w:val="6"/>
    </w:pPr>
    <w:rPr>
      <w:rFonts w:asciiTheme="majorHAnsi" w:eastAsiaTheme="majorEastAsia" w:hAnsiTheme="majorHAnsi" w:cstheme="majorBidi"/>
      <w:b/>
      <w:bCs/>
      <w:color w:val="215E6A" w:themeColor="accent1" w:themeShade="80"/>
    </w:rPr>
  </w:style>
  <w:style w:type="paragraph" w:styleId="Heading8">
    <w:name w:val="heading 8"/>
    <w:basedOn w:val="Normal"/>
    <w:next w:val="Normal"/>
    <w:link w:val="Heading8Char"/>
    <w:uiPriority w:val="9"/>
    <w:semiHidden/>
    <w:unhideWhenUsed/>
    <w:qFormat/>
    <w:rsid w:val="00A16691"/>
    <w:pPr>
      <w:keepNext/>
      <w:keepLines/>
      <w:numPr>
        <w:ilvl w:val="7"/>
        <w:numId w:val="16"/>
      </w:numPr>
      <w:spacing w:before="40" w:after="0"/>
      <w:outlineLvl w:val="7"/>
    </w:pPr>
    <w:rPr>
      <w:rFonts w:asciiTheme="majorHAnsi" w:eastAsiaTheme="majorEastAsia" w:hAnsiTheme="majorHAnsi" w:cstheme="majorBidi"/>
      <w:b/>
      <w:bCs/>
      <w:i/>
      <w:iCs/>
      <w:color w:val="215E6A" w:themeColor="accent1" w:themeShade="80"/>
    </w:rPr>
  </w:style>
  <w:style w:type="paragraph" w:styleId="Heading9">
    <w:name w:val="heading 9"/>
    <w:basedOn w:val="Normal"/>
    <w:next w:val="Normal"/>
    <w:link w:val="Heading9Char"/>
    <w:uiPriority w:val="9"/>
    <w:semiHidden/>
    <w:unhideWhenUsed/>
    <w:qFormat/>
    <w:rsid w:val="00A16691"/>
    <w:pPr>
      <w:keepNext/>
      <w:keepLines/>
      <w:numPr>
        <w:ilvl w:val="8"/>
        <w:numId w:val="16"/>
      </w:numPr>
      <w:spacing w:before="40" w:after="0"/>
      <w:outlineLvl w:val="8"/>
    </w:pPr>
    <w:rPr>
      <w:rFonts w:asciiTheme="majorHAnsi" w:eastAsiaTheme="majorEastAsia" w:hAnsiTheme="majorHAnsi" w:cstheme="majorBidi"/>
      <w:i/>
      <w:iCs/>
      <w:color w:val="215E6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umbered Char"/>
    <w:basedOn w:val="DefaultParagraphFont"/>
    <w:link w:val="Heading1"/>
    <w:uiPriority w:val="9"/>
    <w:rsid w:val="00A8387E"/>
    <w:rPr>
      <w:rFonts w:asciiTheme="majorHAnsi" w:eastAsiaTheme="majorEastAsia" w:hAnsiTheme="majorHAnsi" w:cstheme="majorBidi"/>
      <w:b/>
      <w:bCs/>
      <w:color w:val="215E6A" w:themeColor="accent1" w:themeShade="80"/>
      <w:sz w:val="36"/>
      <w:szCs w:val="36"/>
    </w:rPr>
  </w:style>
  <w:style w:type="character" w:customStyle="1" w:styleId="Heading2Char">
    <w:name w:val="Heading 2 Char"/>
    <w:basedOn w:val="DefaultParagraphFont"/>
    <w:link w:val="Heading2"/>
    <w:uiPriority w:val="9"/>
    <w:rsid w:val="00314A5D"/>
    <w:rPr>
      <w:rFonts w:asciiTheme="majorHAnsi" w:eastAsiaTheme="majorEastAsia" w:hAnsiTheme="majorHAnsi" w:cstheme="majorBidi"/>
      <w:b/>
      <w:bCs/>
      <w:color w:val="255421"/>
      <w:sz w:val="32"/>
      <w:szCs w:val="32"/>
    </w:rPr>
  </w:style>
  <w:style w:type="character" w:customStyle="1" w:styleId="Heading3Char">
    <w:name w:val="Heading 3 Char"/>
    <w:basedOn w:val="DefaultParagraphFont"/>
    <w:link w:val="Heading3"/>
    <w:uiPriority w:val="9"/>
    <w:rsid w:val="0011775A"/>
    <w:rPr>
      <w:rFonts w:asciiTheme="majorHAnsi" w:eastAsiaTheme="majorEastAsia" w:hAnsiTheme="majorHAnsi" w:cstheme="majorBidi"/>
      <w:b/>
      <w:bCs/>
      <w:color w:val="13515E"/>
      <w:sz w:val="28"/>
      <w:szCs w:val="28"/>
    </w:rPr>
  </w:style>
  <w:style w:type="character" w:customStyle="1" w:styleId="Heading4Char">
    <w:name w:val="Heading 4 Char"/>
    <w:basedOn w:val="DefaultParagraphFont"/>
    <w:link w:val="Heading4"/>
    <w:uiPriority w:val="9"/>
    <w:rsid w:val="00183D44"/>
    <w:rPr>
      <w:rFonts w:asciiTheme="majorHAnsi" w:eastAsiaTheme="majorEastAsia" w:hAnsiTheme="majorHAnsi" w:cstheme="majorBidi"/>
      <w:color w:val="215E6A" w:themeColor="accent1" w:themeShade="80"/>
      <w:sz w:val="24"/>
      <w:szCs w:val="24"/>
    </w:rPr>
  </w:style>
  <w:style w:type="character" w:customStyle="1" w:styleId="Heading5Char">
    <w:name w:val="Heading 5 Char"/>
    <w:basedOn w:val="DefaultParagraphFont"/>
    <w:link w:val="Heading5"/>
    <w:uiPriority w:val="9"/>
    <w:rsid w:val="00B609B5"/>
    <w:rPr>
      <w:rFonts w:asciiTheme="majorHAnsi" w:eastAsiaTheme="majorEastAsia" w:hAnsiTheme="majorHAnsi" w:cstheme="majorBidi"/>
      <w:b/>
      <w:bCs/>
      <w:color w:val="13515E"/>
      <w:sz w:val="24"/>
      <w:szCs w:val="24"/>
    </w:rPr>
  </w:style>
  <w:style w:type="character" w:customStyle="1" w:styleId="Heading6Char">
    <w:name w:val="Heading 6 Char"/>
    <w:basedOn w:val="DefaultParagraphFont"/>
    <w:link w:val="Heading6"/>
    <w:uiPriority w:val="9"/>
    <w:rsid w:val="00A16691"/>
    <w:rPr>
      <w:rFonts w:asciiTheme="majorHAnsi" w:eastAsiaTheme="majorEastAsia" w:hAnsiTheme="majorHAnsi" w:cstheme="majorBidi"/>
      <w:i/>
      <w:iCs/>
      <w:caps/>
      <w:color w:val="215E6A" w:themeColor="accent1" w:themeShade="80"/>
    </w:rPr>
  </w:style>
  <w:style w:type="character" w:customStyle="1" w:styleId="Heading7Char">
    <w:name w:val="Heading 7 Char"/>
    <w:basedOn w:val="DefaultParagraphFont"/>
    <w:link w:val="Heading7"/>
    <w:uiPriority w:val="9"/>
    <w:semiHidden/>
    <w:rsid w:val="00A16691"/>
    <w:rPr>
      <w:rFonts w:asciiTheme="majorHAnsi" w:eastAsiaTheme="majorEastAsia" w:hAnsiTheme="majorHAnsi" w:cstheme="majorBidi"/>
      <w:b/>
      <w:bCs/>
      <w:color w:val="215E6A" w:themeColor="accent1" w:themeShade="80"/>
    </w:rPr>
  </w:style>
  <w:style w:type="character" w:customStyle="1" w:styleId="Heading8Char">
    <w:name w:val="Heading 8 Char"/>
    <w:basedOn w:val="DefaultParagraphFont"/>
    <w:link w:val="Heading8"/>
    <w:uiPriority w:val="9"/>
    <w:semiHidden/>
    <w:rsid w:val="00A16691"/>
    <w:rPr>
      <w:rFonts w:asciiTheme="majorHAnsi" w:eastAsiaTheme="majorEastAsia" w:hAnsiTheme="majorHAnsi" w:cstheme="majorBidi"/>
      <w:b/>
      <w:bCs/>
      <w:i/>
      <w:iCs/>
      <w:color w:val="215E6A" w:themeColor="accent1" w:themeShade="80"/>
    </w:rPr>
  </w:style>
  <w:style w:type="character" w:customStyle="1" w:styleId="Heading9Char">
    <w:name w:val="Heading 9 Char"/>
    <w:basedOn w:val="DefaultParagraphFont"/>
    <w:link w:val="Heading9"/>
    <w:uiPriority w:val="9"/>
    <w:semiHidden/>
    <w:rsid w:val="00A16691"/>
    <w:rPr>
      <w:rFonts w:asciiTheme="majorHAnsi" w:eastAsiaTheme="majorEastAsia" w:hAnsiTheme="majorHAnsi" w:cstheme="majorBidi"/>
      <w:i/>
      <w:iCs/>
      <w:color w:val="215E6A" w:themeColor="accent1" w:themeShade="80"/>
    </w:rPr>
  </w:style>
  <w:style w:type="character" w:styleId="Emphasis">
    <w:name w:val="Emphasis"/>
    <w:basedOn w:val="DefaultParagraphFont"/>
    <w:uiPriority w:val="20"/>
    <w:qFormat/>
    <w:rsid w:val="00A16691"/>
    <w:rPr>
      <w:i/>
      <w:iCs/>
    </w:rPr>
  </w:style>
  <w:style w:type="character" w:styleId="Strong">
    <w:name w:val="Strong"/>
    <w:basedOn w:val="DefaultParagraphFont"/>
    <w:uiPriority w:val="22"/>
    <w:qFormat/>
    <w:rsid w:val="00A16691"/>
    <w:rPr>
      <w:b/>
      <w:bCs/>
    </w:rPr>
  </w:style>
  <w:style w:type="paragraph" w:styleId="Subtitle">
    <w:name w:val="Subtitle"/>
    <w:basedOn w:val="Normal"/>
    <w:next w:val="Normal"/>
    <w:link w:val="SubtitleChar"/>
    <w:uiPriority w:val="11"/>
    <w:qFormat/>
    <w:rsid w:val="00BC587F"/>
    <w:pPr>
      <w:numPr>
        <w:ilvl w:val="1"/>
      </w:numPr>
      <w:spacing w:after="240"/>
    </w:pPr>
    <w:rPr>
      <w:rFonts w:asciiTheme="majorHAnsi" w:eastAsiaTheme="majorEastAsia" w:hAnsiTheme="majorHAnsi" w:cstheme="majorBidi"/>
      <w:b/>
      <w:sz w:val="36"/>
      <w:szCs w:val="28"/>
    </w:rPr>
  </w:style>
  <w:style w:type="character" w:customStyle="1" w:styleId="SubtitleChar">
    <w:name w:val="Subtitle Char"/>
    <w:basedOn w:val="DefaultParagraphFont"/>
    <w:link w:val="Subtitle"/>
    <w:uiPriority w:val="11"/>
    <w:rsid w:val="00BC587F"/>
    <w:rPr>
      <w:rFonts w:asciiTheme="majorHAnsi" w:eastAsiaTheme="majorEastAsia" w:hAnsiTheme="majorHAnsi" w:cstheme="majorBidi"/>
      <w:b/>
      <w:sz w:val="36"/>
      <w:szCs w:val="28"/>
    </w:rPr>
  </w:style>
  <w:style w:type="paragraph" w:styleId="Title">
    <w:name w:val="Title"/>
    <w:basedOn w:val="Normal"/>
    <w:next w:val="Normal"/>
    <w:link w:val="TitleChar"/>
    <w:uiPriority w:val="10"/>
    <w:qFormat/>
    <w:rsid w:val="00C71F51"/>
    <w:pPr>
      <w:spacing w:before="2040" w:after="1560" w:line="204" w:lineRule="auto"/>
      <w:contextualSpacing/>
    </w:pPr>
    <w:rPr>
      <w:rFonts w:asciiTheme="majorHAnsi" w:eastAsiaTheme="majorEastAsia" w:hAnsiTheme="majorHAnsi" w:cstheme="majorBidi"/>
      <w:b/>
      <w:color w:val="162F33" w:themeColor="text2"/>
      <w:spacing w:val="-15"/>
      <w:sz w:val="48"/>
      <w:szCs w:val="72"/>
    </w:rPr>
  </w:style>
  <w:style w:type="character" w:customStyle="1" w:styleId="TitleChar">
    <w:name w:val="Title Char"/>
    <w:basedOn w:val="DefaultParagraphFont"/>
    <w:link w:val="Title"/>
    <w:uiPriority w:val="10"/>
    <w:rsid w:val="00C71F51"/>
    <w:rPr>
      <w:rFonts w:asciiTheme="majorHAnsi" w:eastAsiaTheme="majorEastAsia" w:hAnsiTheme="majorHAnsi" w:cstheme="majorBidi"/>
      <w:b/>
      <w:color w:val="162F33" w:themeColor="text2"/>
      <w:spacing w:val="-15"/>
      <w:sz w:val="48"/>
      <w:szCs w:val="72"/>
    </w:rPr>
  </w:style>
  <w:style w:type="paragraph" w:styleId="NoSpacing">
    <w:name w:val="No Spacing"/>
    <w:uiPriority w:val="1"/>
    <w:qFormat/>
    <w:rsid w:val="00A16691"/>
    <w:pPr>
      <w:spacing w:after="0" w:line="240" w:lineRule="auto"/>
    </w:pPr>
  </w:style>
  <w:style w:type="character" w:styleId="SubtleEmphasis">
    <w:name w:val="Subtle Emphasis"/>
    <w:basedOn w:val="DefaultParagraphFont"/>
    <w:uiPriority w:val="19"/>
    <w:qFormat/>
    <w:rsid w:val="00A16691"/>
    <w:rPr>
      <w:i/>
      <w:iCs/>
      <w:color w:val="595959" w:themeColor="text1" w:themeTint="A6"/>
    </w:rPr>
  </w:style>
  <w:style w:type="paragraph" w:styleId="ListParagraph">
    <w:name w:val="List Paragraph"/>
    <w:basedOn w:val="Normal"/>
    <w:uiPriority w:val="34"/>
    <w:qFormat/>
    <w:rsid w:val="00846D81"/>
    <w:pPr>
      <w:spacing w:before="60" w:after="60"/>
      <w:ind w:left="340"/>
    </w:pPr>
  </w:style>
  <w:style w:type="character" w:styleId="SubtleReference">
    <w:name w:val="Subtle Reference"/>
    <w:basedOn w:val="DefaultParagraphFont"/>
    <w:uiPriority w:val="31"/>
    <w:qFormat/>
    <w:rsid w:val="00A16691"/>
    <w:rPr>
      <w:smallCaps/>
      <w:color w:val="595959" w:themeColor="text1" w:themeTint="A6"/>
      <w:u w:val="none" w:color="7F7F7F" w:themeColor="text1" w:themeTint="80"/>
      <w:bdr w:val="none" w:sz="0" w:space="0" w:color="auto"/>
    </w:rPr>
  </w:style>
  <w:style w:type="paragraph" w:customStyle="1" w:styleId="Bulletsalphabetical">
    <w:name w:val="Bullets alphabetical"/>
    <w:basedOn w:val="Normal"/>
    <w:link w:val="BulletsalphabeticalChar"/>
    <w:qFormat/>
    <w:rsid w:val="004F13AA"/>
    <w:pPr>
      <w:numPr>
        <w:ilvl w:val="1"/>
        <w:numId w:val="5"/>
      </w:numPr>
      <w:spacing w:before="40"/>
      <w:ind w:left="1134" w:hanging="567"/>
      <w:jc w:val="both"/>
    </w:pPr>
    <w:rPr>
      <w:rFonts w:ascii="Calibri Light" w:hAnsi="Calibri Light"/>
      <w:sz w:val="20"/>
    </w:rPr>
  </w:style>
  <w:style w:type="character" w:customStyle="1" w:styleId="BulletsalphabeticalChar">
    <w:name w:val="Bullets alphabetical Char"/>
    <w:basedOn w:val="DefaultParagraphFont"/>
    <w:link w:val="Bulletsalphabetical"/>
    <w:rsid w:val="004F13AA"/>
    <w:rPr>
      <w:rFonts w:ascii="Calibri Light" w:hAnsi="Calibri Light"/>
      <w:sz w:val="20"/>
    </w:rPr>
  </w:style>
  <w:style w:type="paragraph" w:customStyle="1" w:styleId="StyleListParagraphJustifiedBefore3pt">
    <w:name w:val="Style List Paragraph + Justified Before:  3 pt"/>
    <w:basedOn w:val="ListParagraph"/>
    <w:rsid w:val="00C84941"/>
    <w:pPr>
      <w:jc w:val="both"/>
    </w:pPr>
    <w:rPr>
      <w:rFonts w:eastAsia="Times New Roman" w:cs="Times New Roman"/>
      <w:szCs w:val="20"/>
    </w:rPr>
  </w:style>
  <w:style w:type="paragraph" w:customStyle="1" w:styleId="Tabletext">
    <w:name w:val="Table text"/>
    <w:basedOn w:val="Normal"/>
    <w:qFormat/>
    <w:rsid w:val="00C84941"/>
    <w:pPr>
      <w:spacing w:before="0" w:after="0"/>
    </w:pPr>
  </w:style>
  <w:style w:type="character" w:styleId="Hyperlink">
    <w:name w:val="Hyperlink"/>
    <w:basedOn w:val="DefaultParagraphFont"/>
    <w:uiPriority w:val="99"/>
    <w:unhideWhenUsed/>
    <w:rsid w:val="00316D3C"/>
    <w:rPr>
      <w:color w:val="0000FF"/>
      <w:u w:val="single"/>
    </w:rPr>
  </w:style>
  <w:style w:type="character" w:styleId="FootnoteReference">
    <w:name w:val="footnote reference"/>
    <w:basedOn w:val="DefaultParagraphFont"/>
    <w:uiPriority w:val="99"/>
    <w:unhideWhenUsed/>
    <w:rsid w:val="00316D3C"/>
    <w:rPr>
      <w:vertAlign w:val="superscript"/>
    </w:rPr>
  </w:style>
  <w:style w:type="paragraph" w:styleId="FootnoteText">
    <w:name w:val="footnote text"/>
    <w:aliases w:val="Footnotes Text,FSFootnotes Text"/>
    <w:basedOn w:val="Normal"/>
    <w:link w:val="FootnoteTextChar"/>
    <w:uiPriority w:val="5"/>
    <w:unhideWhenUsed/>
    <w:qFormat/>
    <w:rsid w:val="00316D3C"/>
    <w:rPr>
      <w:rFonts w:eastAsiaTheme="minorHAnsi"/>
      <w:sz w:val="20"/>
      <w:szCs w:val="20"/>
    </w:rPr>
  </w:style>
  <w:style w:type="character" w:customStyle="1" w:styleId="FootnoteTextChar">
    <w:name w:val="Footnote Text Char"/>
    <w:aliases w:val="Footnotes Text Char,FSFootnotes Text Char"/>
    <w:basedOn w:val="DefaultParagraphFont"/>
    <w:link w:val="FootnoteText"/>
    <w:uiPriority w:val="5"/>
    <w:rsid w:val="00316D3C"/>
    <w:rPr>
      <w:rFonts w:asciiTheme="minorHAnsi" w:eastAsiaTheme="minorHAnsi" w:hAnsiTheme="minorHAnsi" w:cstheme="minorBidi"/>
      <w:lang w:eastAsia="en-US"/>
    </w:rPr>
  </w:style>
  <w:style w:type="character" w:styleId="CommentReference">
    <w:name w:val="annotation reference"/>
    <w:basedOn w:val="DefaultParagraphFont"/>
    <w:uiPriority w:val="99"/>
    <w:rsid w:val="005C56F6"/>
    <w:rPr>
      <w:sz w:val="16"/>
      <w:szCs w:val="16"/>
    </w:rPr>
  </w:style>
  <w:style w:type="table" w:styleId="TableGrid">
    <w:name w:val="Table Grid"/>
    <w:basedOn w:val="TableNormal"/>
    <w:uiPriority w:val="39"/>
    <w:rsid w:val="00CD3B1D"/>
    <w:rPr>
      <w:rFonts w:eastAsiaTheme="minorHAns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FSHeader"/>
    <w:basedOn w:val="Normal"/>
    <w:link w:val="HeaderChar"/>
    <w:uiPriority w:val="99"/>
    <w:qFormat/>
    <w:rsid w:val="0000707B"/>
    <w:pPr>
      <w:tabs>
        <w:tab w:val="center" w:pos="4513"/>
        <w:tab w:val="right" w:pos="9026"/>
      </w:tabs>
    </w:pPr>
  </w:style>
  <w:style w:type="character" w:customStyle="1" w:styleId="HeaderChar">
    <w:name w:val="Header Char"/>
    <w:aliases w:val="FSHeader Char"/>
    <w:basedOn w:val="DefaultParagraphFont"/>
    <w:link w:val="Header"/>
    <w:uiPriority w:val="99"/>
    <w:rsid w:val="0000707B"/>
    <w:rPr>
      <w:sz w:val="24"/>
      <w:szCs w:val="24"/>
      <w:lang w:eastAsia="en-US"/>
    </w:rPr>
  </w:style>
  <w:style w:type="paragraph" w:styleId="Footer">
    <w:name w:val="footer"/>
    <w:aliases w:val="FSFooter"/>
    <w:basedOn w:val="Normal"/>
    <w:link w:val="FooterChar"/>
    <w:uiPriority w:val="99"/>
    <w:qFormat/>
    <w:rsid w:val="0000707B"/>
    <w:pPr>
      <w:tabs>
        <w:tab w:val="center" w:pos="4513"/>
        <w:tab w:val="right" w:pos="9026"/>
      </w:tabs>
    </w:pPr>
  </w:style>
  <w:style w:type="character" w:customStyle="1" w:styleId="FooterChar">
    <w:name w:val="Footer Char"/>
    <w:aliases w:val="FSFooter Char"/>
    <w:basedOn w:val="DefaultParagraphFont"/>
    <w:link w:val="Footer"/>
    <w:uiPriority w:val="99"/>
    <w:rsid w:val="0000707B"/>
    <w:rPr>
      <w:sz w:val="24"/>
      <w:szCs w:val="24"/>
      <w:lang w:eastAsia="en-US"/>
    </w:rPr>
  </w:style>
  <w:style w:type="character" w:customStyle="1" w:styleId="A2">
    <w:name w:val="A2"/>
    <w:uiPriority w:val="99"/>
    <w:rsid w:val="00552794"/>
    <w:rPr>
      <w:rFonts w:cs="Univers LT Std 55"/>
      <w:color w:val="000000"/>
      <w:sz w:val="18"/>
      <w:szCs w:val="18"/>
    </w:rPr>
  </w:style>
  <w:style w:type="paragraph" w:customStyle="1" w:styleId="FSBulletlist">
    <w:name w:val="FSBullet list"/>
    <w:basedOn w:val="Normal"/>
    <w:link w:val="FSBulletlistChar"/>
    <w:uiPriority w:val="5"/>
    <w:qFormat/>
    <w:locked/>
    <w:rsid w:val="004F13AA"/>
    <w:pPr>
      <w:numPr>
        <w:numId w:val="4"/>
      </w:numPr>
    </w:pPr>
    <w:rPr>
      <w:rFonts w:ascii="Arial" w:eastAsiaTheme="minorHAnsi" w:hAnsi="Arial" w:cs="Arial"/>
      <w:color w:val="2E3037"/>
      <w:sz w:val="20"/>
      <w:lang w:eastAsia="en-GB"/>
    </w:rPr>
  </w:style>
  <w:style w:type="character" w:customStyle="1" w:styleId="FSBulletlistChar">
    <w:name w:val="FSBullet list Char"/>
    <w:basedOn w:val="DefaultParagraphFont"/>
    <w:link w:val="FSBulletlist"/>
    <w:uiPriority w:val="5"/>
    <w:rsid w:val="00552794"/>
    <w:rPr>
      <w:rFonts w:ascii="Arial" w:eastAsiaTheme="minorHAnsi" w:hAnsi="Arial" w:cs="Arial"/>
      <w:color w:val="2E3037"/>
      <w:sz w:val="20"/>
      <w:lang w:eastAsia="en-GB"/>
    </w:rPr>
  </w:style>
  <w:style w:type="paragraph" w:styleId="Revision">
    <w:name w:val="Revision"/>
    <w:hidden/>
    <w:uiPriority w:val="99"/>
    <w:semiHidden/>
    <w:rsid w:val="005C3C94"/>
    <w:rPr>
      <w:sz w:val="24"/>
      <w:szCs w:val="24"/>
      <w:lang w:eastAsia="en-US"/>
    </w:rPr>
  </w:style>
  <w:style w:type="paragraph" w:styleId="TOCHeading">
    <w:name w:val="TOC Heading"/>
    <w:basedOn w:val="Heading1"/>
    <w:next w:val="Normal"/>
    <w:uiPriority w:val="39"/>
    <w:semiHidden/>
    <w:unhideWhenUsed/>
    <w:qFormat/>
    <w:rsid w:val="00A16691"/>
    <w:pPr>
      <w:outlineLvl w:val="9"/>
    </w:pPr>
  </w:style>
  <w:style w:type="paragraph" w:styleId="TOC2">
    <w:name w:val="toc 2"/>
    <w:basedOn w:val="Normal"/>
    <w:next w:val="Normal"/>
    <w:autoRedefine/>
    <w:uiPriority w:val="39"/>
    <w:unhideWhenUsed/>
    <w:rsid w:val="002B7189"/>
    <w:pPr>
      <w:tabs>
        <w:tab w:val="right" w:leader="dot" w:pos="9070"/>
      </w:tabs>
      <w:spacing w:after="100"/>
      <w:ind w:left="240"/>
    </w:pPr>
    <w:rPr>
      <w:rFonts w:cs="Arial"/>
      <w:noProof/>
    </w:rPr>
  </w:style>
  <w:style w:type="paragraph" w:styleId="TOC1">
    <w:name w:val="toc 1"/>
    <w:basedOn w:val="Normal"/>
    <w:next w:val="Normal"/>
    <w:autoRedefine/>
    <w:uiPriority w:val="39"/>
    <w:unhideWhenUsed/>
    <w:rsid w:val="002B7189"/>
    <w:pPr>
      <w:tabs>
        <w:tab w:val="left" w:pos="284"/>
        <w:tab w:val="right" w:leader="dot" w:pos="9070"/>
      </w:tabs>
      <w:spacing w:before="100" w:after="100"/>
    </w:pPr>
    <w:rPr>
      <w:rFonts w:ascii="Calibri Light" w:hAnsi="Calibri Light" w:cs="Arial"/>
      <w:noProof/>
      <w:sz w:val="24"/>
    </w:rPr>
  </w:style>
  <w:style w:type="paragraph" w:styleId="TOC3">
    <w:name w:val="toc 3"/>
    <w:basedOn w:val="Normal"/>
    <w:next w:val="Normal"/>
    <w:autoRedefine/>
    <w:uiPriority w:val="39"/>
    <w:unhideWhenUsed/>
    <w:rsid w:val="00E9374C"/>
    <w:pPr>
      <w:tabs>
        <w:tab w:val="right" w:leader="dot" w:pos="9060"/>
      </w:tabs>
      <w:spacing w:after="100"/>
      <w:ind w:left="240"/>
    </w:pPr>
  </w:style>
  <w:style w:type="paragraph" w:styleId="NormalWeb">
    <w:name w:val="Normal (Web)"/>
    <w:basedOn w:val="Normal"/>
    <w:uiPriority w:val="99"/>
    <w:semiHidden/>
    <w:unhideWhenUsed/>
    <w:rsid w:val="00B21DD4"/>
    <w:pPr>
      <w:spacing w:before="100" w:beforeAutospacing="1" w:after="100" w:afterAutospacing="1"/>
    </w:pPr>
  </w:style>
  <w:style w:type="paragraph" w:styleId="Caption">
    <w:name w:val="caption"/>
    <w:basedOn w:val="Normal"/>
    <w:next w:val="Normal"/>
    <w:uiPriority w:val="35"/>
    <w:unhideWhenUsed/>
    <w:qFormat/>
    <w:rsid w:val="004C37C0"/>
    <w:pPr>
      <w:keepNext/>
      <w:spacing w:before="160"/>
    </w:pPr>
    <w:rPr>
      <w:b/>
      <w:bCs/>
      <w:color w:val="162F33" w:themeColor="text2"/>
    </w:rPr>
  </w:style>
  <w:style w:type="paragraph" w:customStyle="1" w:styleId="StyleNormal">
    <w:name w:val="Style Normal +"/>
    <w:basedOn w:val="Normal"/>
    <w:rsid w:val="00A56F43"/>
    <w:rPr>
      <w:rFonts w:eastAsiaTheme="minorHAnsi"/>
      <w:lang w:eastAsia="en-US"/>
    </w:rPr>
  </w:style>
  <w:style w:type="character" w:styleId="PlaceholderText">
    <w:name w:val="Placeholder Text"/>
    <w:basedOn w:val="DefaultParagraphFont"/>
    <w:uiPriority w:val="99"/>
    <w:semiHidden/>
    <w:rsid w:val="00B449AB"/>
    <w:rPr>
      <w:color w:val="808080"/>
    </w:rPr>
  </w:style>
  <w:style w:type="paragraph" w:customStyle="1" w:styleId="Tableheader">
    <w:name w:val="Table header"/>
    <w:basedOn w:val="Normal"/>
    <w:link w:val="TableheaderChar"/>
    <w:autoRedefine/>
    <w:qFormat/>
    <w:rsid w:val="004C37C0"/>
    <w:pPr>
      <w:keepNext/>
      <w:spacing w:before="0" w:after="0"/>
    </w:pPr>
    <w:rPr>
      <w:rFonts w:eastAsiaTheme="minorHAnsi" w:cstheme="minorHAnsi"/>
      <w:b/>
      <w:lang w:eastAsia="en-US"/>
    </w:rPr>
  </w:style>
  <w:style w:type="character" w:customStyle="1" w:styleId="TableheaderChar">
    <w:name w:val="Table header Char"/>
    <w:basedOn w:val="DefaultParagraphFont"/>
    <w:link w:val="Tableheader"/>
    <w:rsid w:val="004C37C0"/>
    <w:rPr>
      <w:rFonts w:eastAsiaTheme="minorHAnsi" w:cstheme="minorHAnsi"/>
      <w:b/>
      <w:lang w:eastAsia="en-US"/>
    </w:rPr>
  </w:style>
  <w:style w:type="paragraph" w:customStyle="1" w:styleId="Boxtext">
    <w:name w:val="Box text"/>
    <w:basedOn w:val="Normal"/>
    <w:link w:val="BoxtextChar"/>
    <w:qFormat/>
    <w:rsid w:val="00727948"/>
    <w:pPr>
      <w:pBdr>
        <w:top w:val="single" w:sz="4" w:space="1" w:color="auto"/>
        <w:left w:val="single" w:sz="4" w:space="4" w:color="auto"/>
        <w:bottom w:val="single" w:sz="4" w:space="1" w:color="auto"/>
        <w:right w:val="single" w:sz="4" w:space="4" w:color="auto"/>
      </w:pBdr>
      <w:jc w:val="both"/>
    </w:pPr>
    <w:rPr>
      <w:i/>
      <w:sz w:val="28"/>
      <w:szCs w:val="28"/>
    </w:rPr>
  </w:style>
  <w:style w:type="character" w:customStyle="1" w:styleId="BoxtextChar">
    <w:name w:val="Box text Char"/>
    <w:basedOn w:val="DefaultParagraphFont"/>
    <w:link w:val="Boxtext"/>
    <w:rsid w:val="00727948"/>
    <w:rPr>
      <w:i/>
      <w:sz w:val="28"/>
      <w:szCs w:val="28"/>
    </w:rPr>
  </w:style>
  <w:style w:type="paragraph" w:customStyle="1" w:styleId="Bullets">
    <w:name w:val="Bullets"/>
    <w:basedOn w:val="ListParagraph"/>
    <w:link w:val="BulletsChar"/>
    <w:qFormat/>
    <w:rsid w:val="00C84941"/>
    <w:pPr>
      <w:numPr>
        <w:numId w:val="10"/>
      </w:numPr>
    </w:pPr>
  </w:style>
  <w:style w:type="character" w:customStyle="1" w:styleId="BulletsChar">
    <w:name w:val="Bullets Char"/>
    <w:basedOn w:val="DefaultParagraphFont"/>
    <w:link w:val="Bullets"/>
    <w:rsid w:val="00C84941"/>
  </w:style>
  <w:style w:type="paragraph" w:customStyle="1" w:styleId="Bulletlines">
    <w:name w:val="Bullet lines"/>
    <w:basedOn w:val="Normal"/>
    <w:link w:val="BulletlinesChar"/>
    <w:qFormat/>
    <w:rsid w:val="004F13AA"/>
    <w:pPr>
      <w:numPr>
        <w:numId w:val="3"/>
      </w:numPr>
      <w:autoSpaceDE w:val="0"/>
      <w:autoSpaceDN w:val="0"/>
      <w:adjustRightInd w:val="0"/>
      <w:spacing w:before="60"/>
      <w:ind w:left="567" w:hanging="567"/>
      <w:jc w:val="both"/>
    </w:pPr>
    <w:rPr>
      <w:rFonts w:ascii="Calibri Light" w:hAnsi="Calibri Light"/>
      <w:sz w:val="20"/>
    </w:rPr>
  </w:style>
  <w:style w:type="character" w:customStyle="1" w:styleId="BulletlinesChar">
    <w:name w:val="Bullet lines Char"/>
    <w:basedOn w:val="DefaultParagraphFont"/>
    <w:link w:val="Bulletlines"/>
    <w:rsid w:val="004F13AA"/>
    <w:rPr>
      <w:rFonts w:ascii="Calibri Light" w:hAnsi="Calibri Light"/>
      <w:sz w:val="20"/>
    </w:rPr>
  </w:style>
  <w:style w:type="character" w:customStyle="1" w:styleId="Footnotes">
    <w:name w:val="Footnotes"/>
    <w:basedOn w:val="Emphasis"/>
    <w:rsid w:val="00BC587F"/>
    <w:rPr>
      <w:rFonts w:ascii="Calibri Light" w:hAnsi="Calibri Light"/>
      <w:i/>
      <w:iCs/>
      <w:color w:val="000000"/>
      <w:vertAlign w:val="superscript"/>
    </w:rPr>
  </w:style>
  <w:style w:type="paragraph" w:customStyle="1" w:styleId="StyleHeading1numbered">
    <w:name w:val="Style Heading 1 numbered"/>
    <w:basedOn w:val="Heading1"/>
    <w:rsid w:val="00181998"/>
    <w:pPr>
      <w:ind w:left="0" w:firstLine="0"/>
    </w:pPr>
    <w:rPr>
      <w:rFonts w:eastAsia="Times New Roman" w:cs="Times New Roman"/>
      <w:szCs w:val="20"/>
    </w:rPr>
  </w:style>
  <w:style w:type="paragraph" w:styleId="TOC4">
    <w:name w:val="toc 4"/>
    <w:basedOn w:val="Normal"/>
    <w:next w:val="Normal"/>
    <w:autoRedefine/>
    <w:uiPriority w:val="39"/>
    <w:unhideWhenUsed/>
    <w:rsid w:val="002B7189"/>
    <w:pPr>
      <w:spacing w:before="0" w:after="100" w:line="259" w:lineRule="auto"/>
      <w:ind w:left="660"/>
    </w:pPr>
  </w:style>
  <w:style w:type="paragraph" w:styleId="TOC5">
    <w:name w:val="toc 5"/>
    <w:basedOn w:val="Normal"/>
    <w:next w:val="Normal"/>
    <w:autoRedefine/>
    <w:uiPriority w:val="39"/>
    <w:unhideWhenUsed/>
    <w:rsid w:val="002B7189"/>
    <w:pPr>
      <w:spacing w:before="0" w:after="100" w:line="259" w:lineRule="auto"/>
      <w:ind w:left="880"/>
    </w:pPr>
  </w:style>
  <w:style w:type="paragraph" w:styleId="TOC6">
    <w:name w:val="toc 6"/>
    <w:basedOn w:val="Normal"/>
    <w:next w:val="Normal"/>
    <w:autoRedefine/>
    <w:uiPriority w:val="39"/>
    <w:unhideWhenUsed/>
    <w:rsid w:val="002B7189"/>
    <w:pPr>
      <w:spacing w:before="0" w:after="100" w:line="259" w:lineRule="auto"/>
      <w:ind w:left="1100"/>
    </w:pPr>
  </w:style>
  <w:style w:type="paragraph" w:styleId="TOC7">
    <w:name w:val="toc 7"/>
    <w:basedOn w:val="Normal"/>
    <w:next w:val="Normal"/>
    <w:autoRedefine/>
    <w:uiPriority w:val="39"/>
    <w:unhideWhenUsed/>
    <w:rsid w:val="002B7189"/>
    <w:pPr>
      <w:spacing w:before="0" w:after="100" w:line="259" w:lineRule="auto"/>
      <w:ind w:left="1320"/>
    </w:pPr>
  </w:style>
  <w:style w:type="paragraph" w:styleId="TOC8">
    <w:name w:val="toc 8"/>
    <w:basedOn w:val="Normal"/>
    <w:next w:val="Normal"/>
    <w:autoRedefine/>
    <w:uiPriority w:val="39"/>
    <w:unhideWhenUsed/>
    <w:rsid w:val="002B7189"/>
    <w:pPr>
      <w:spacing w:before="0" w:after="100" w:line="259" w:lineRule="auto"/>
      <w:ind w:left="1540"/>
    </w:pPr>
  </w:style>
  <w:style w:type="paragraph" w:styleId="TOC9">
    <w:name w:val="toc 9"/>
    <w:basedOn w:val="Normal"/>
    <w:next w:val="Normal"/>
    <w:autoRedefine/>
    <w:uiPriority w:val="39"/>
    <w:unhideWhenUsed/>
    <w:rsid w:val="002B7189"/>
    <w:pPr>
      <w:spacing w:before="0" w:after="100" w:line="259" w:lineRule="auto"/>
      <w:ind w:left="1760"/>
    </w:pPr>
  </w:style>
  <w:style w:type="paragraph" w:customStyle="1" w:styleId="Heading1nonumbers">
    <w:name w:val="Heading 1 no numbers"/>
    <w:basedOn w:val="Heading1"/>
    <w:rsid w:val="00314A5D"/>
    <w:pPr>
      <w:ind w:left="0" w:firstLine="0"/>
    </w:pPr>
    <w:rPr>
      <w:rFonts w:eastAsia="Times New Roman" w:cstheme="majorHAnsi"/>
      <w:color w:val="255421"/>
      <w:szCs w:val="20"/>
    </w:rPr>
  </w:style>
  <w:style w:type="character" w:styleId="FollowedHyperlink">
    <w:name w:val="FollowedHyperlink"/>
    <w:basedOn w:val="DefaultParagraphFont"/>
    <w:semiHidden/>
    <w:unhideWhenUsed/>
    <w:rsid w:val="001D2BFF"/>
    <w:rPr>
      <w:color w:val="8775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171">
      <w:bodyDiv w:val="1"/>
      <w:marLeft w:val="0"/>
      <w:marRight w:val="0"/>
      <w:marTop w:val="0"/>
      <w:marBottom w:val="0"/>
      <w:divBdr>
        <w:top w:val="none" w:sz="0" w:space="0" w:color="auto"/>
        <w:left w:val="none" w:sz="0" w:space="0" w:color="auto"/>
        <w:bottom w:val="none" w:sz="0" w:space="0" w:color="auto"/>
        <w:right w:val="none" w:sz="0" w:space="0" w:color="auto"/>
      </w:divBdr>
      <w:divsChild>
        <w:div w:id="799571583">
          <w:marLeft w:val="0"/>
          <w:marRight w:val="0"/>
          <w:marTop w:val="288"/>
          <w:marBottom w:val="100"/>
          <w:divBdr>
            <w:top w:val="none" w:sz="0" w:space="0" w:color="auto"/>
            <w:left w:val="none" w:sz="0" w:space="0" w:color="auto"/>
            <w:bottom w:val="none" w:sz="0" w:space="0" w:color="auto"/>
            <w:right w:val="none" w:sz="0" w:space="0" w:color="auto"/>
          </w:divBdr>
          <w:divsChild>
            <w:div w:id="6705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946">
      <w:bodyDiv w:val="1"/>
      <w:marLeft w:val="0"/>
      <w:marRight w:val="0"/>
      <w:marTop w:val="0"/>
      <w:marBottom w:val="0"/>
      <w:divBdr>
        <w:top w:val="none" w:sz="0" w:space="0" w:color="auto"/>
        <w:left w:val="none" w:sz="0" w:space="0" w:color="auto"/>
        <w:bottom w:val="none" w:sz="0" w:space="0" w:color="auto"/>
        <w:right w:val="none" w:sz="0" w:space="0" w:color="auto"/>
      </w:divBdr>
    </w:div>
    <w:div w:id="149181534">
      <w:bodyDiv w:val="1"/>
      <w:marLeft w:val="0"/>
      <w:marRight w:val="0"/>
      <w:marTop w:val="0"/>
      <w:marBottom w:val="0"/>
      <w:divBdr>
        <w:top w:val="none" w:sz="0" w:space="0" w:color="auto"/>
        <w:left w:val="none" w:sz="0" w:space="0" w:color="auto"/>
        <w:bottom w:val="none" w:sz="0" w:space="0" w:color="auto"/>
        <w:right w:val="none" w:sz="0" w:space="0" w:color="auto"/>
      </w:divBdr>
    </w:div>
    <w:div w:id="221870444">
      <w:bodyDiv w:val="1"/>
      <w:marLeft w:val="0"/>
      <w:marRight w:val="0"/>
      <w:marTop w:val="0"/>
      <w:marBottom w:val="0"/>
      <w:divBdr>
        <w:top w:val="none" w:sz="0" w:space="0" w:color="auto"/>
        <w:left w:val="none" w:sz="0" w:space="0" w:color="auto"/>
        <w:bottom w:val="none" w:sz="0" w:space="0" w:color="auto"/>
        <w:right w:val="none" w:sz="0" w:space="0" w:color="auto"/>
      </w:divBdr>
    </w:div>
    <w:div w:id="349188440">
      <w:bodyDiv w:val="1"/>
      <w:marLeft w:val="0"/>
      <w:marRight w:val="0"/>
      <w:marTop w:val="0"/>
      <w:marBottom w:val="0"/>
      <w:divBdr>
        <w:top w:val="none" w:sz="0" w:space="0" w:color="auto"/>
        <w:left w:val="none" w:sz="0" w:space="0" w:color="auto"/>
        <w:bottom w:val="none" w:sz="0" w:space="0" w:color="auto"/>
        <w:right w:val="none" w:sz="0" w:space="0" w:color="auto"/>
      </w:divBdr>
      <w:divsChild>
        <w:div w:id="1526945688">
          <w:marLeft w:val="0"/>
          <w:marRight w:val="0"/>
          <w:marTop w:val="0"/>
          <w:marBottom w:val="0"/>
          <w:divBdr>
            <w:top w:val="none" w:sz="0" w:space="0" w:color="auto"/>
            <w:left w:val="none" w:sz="0" w:space="0" w:color="auto"/>
            <w:bottom w:val="none" w:sz="0" w:space="0" w:color="auto"/>
            <w:right w:val="none" w:sz="0" w:space="0" w:color="auto"/>
          </w:divBdr>
          <w:divsChild>
            <w:div w:id="7934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295">
      <w:bodyDiv w:val="1"/>
      <w:marLeft w:val="0"/>
      <w:marRight w:val="0"/>
      <w:marTop w:val="0"/>
      <w:marBottom w:val="0"/>
      <w:divBdr>
        <w:top w:val="none" w:sz="0" w:space="0" w:color="auto"/>
        <w:left w:val="none" w:sz="0" w:space="0" w:color="auto"/>
        <w:bottom w:val="none" w:sz="0" w:space="0" w:color="auto"/>
        <w:right w:val="none" w:sz="0" w:space="0" w:color="auto"/>
      </w:divBdr>
      <w:divsChild>
        <w:div w:id="2082822342">
          <w:marLeft w:val="0"/>
          <w:marRight w:val="0"/>
          <w:marTop w:val="0"/>
          <w:marBottom w:val="0"/>
          <w:divBdr>
            <w:top w:val="none" w:sz="0" w:space="0" w:color="auto"/>
            <w:left w:val="none" w:sz="0" w:space="0" w:color="auto"/>
            <w:bottom w:val="none" w:sz="0" w:space="0" w:color="auto"/>
            <w:right w:val="none" w:sz="0" w:space="0" w:color="auto"/>
          </w:divBdr>
          <w:divsChild>
            <w:div w:id="925653073">
              <w:marLeft w:val="0"/>
              <w:marRight w:val="0"/>
              <w:marTop w:val="0"/>
              <w:marBottom w:val="0"/>
              <w:divBdr>
                <w:top w:val="none" w:sz="0" w:space="0" w:color="auto"/>
                <w:left w:val="none" w:sz="0" w:space="0" w:color="auto"/>
                <w:bottom w:val="none" w:sz="0" w:space="0" w:color="auto"/>
                <w:right w:val="none" w:sz="0" w:space="0" w:color="auto"/>
              </w:divBdr>
              <w:divsChild>
                <w:div w:id="759831457">
                  <w:marLeft w:val="0"/>
                  <w:marRight w:val="0"/>
                  <w:marTop w:val="0"/>
                  <w:marBottom w:val="0"/>
                  <w:divBdr>
                    <w:top w:val="none" w:sz="0" w:space="0" w:color="auto"/>
                    <w:left w:val="none" w:sz="0" w:space="0" w:color="auto"/>
                    <w:bottom w:val="none" w:sz="0" w:space="0" w:color="auto"/>
                    <w:right w:val="none" w:sz="0" w:space="0" w:color="auto"/>
                  </w:divBdr>
                </w:div>
                <w:div w:id="283929636">
                  <w:marLeft w:val="0"/>
                  <w:marRight w:val="0"/>
                  <w:marTop w:val="0"/>
                  <w:marBottom w:val="0"/>
                  <w:divBdr>
                    <w:top w:val="none" w:sz="0" w:space="0" w:color="auto"/>
                    <w:left w:val="none" w:sz="0" w:space="0" w:color="auto"/>
                    <w:bottom w:val="none" w:sz="0" w:space="0" w:color="auto"/>
                    <w:right w:val="none" w:sz="0" w:space="0" w:color="auto"/>
                  </w:divBdr>
                </w:div>
              </w:divsChild>
            </w:div>
            <w:div w:id="1173883938">
              <w:marLeft w:val="0"/>
              <w:marRight w:val="0"/>
              <w:marTop w:val="0"/>
              <w:marBottom w:val="0"/>
              <w:divBdr>
                <w:top w:val="none" w:sz="0" w:space="0" w:color="auto"/>
                <w:left w:val="none" w:sz="0" w:space="0" w:color="auto"/>
                <w:bottom w:val="none" w:sz="0" w:space="0" w:color="auto"/>
                <w:right w:val="none" w:sz="0" w:space="0" w:color="auto"/>
              </w:divBdr>
              <w:divsChild>
                <w:div w:id="832643524">
                  <w:marLeft w:val="0"/>
                  <w:marRight w:val="0"/>
                  <w:marTop w:val="0"/>
                  <w:marBottom w:val="0"/>
                  <w:divBdr>
                    <w:top w:val="none" w:sz="0" w:space="0" w:color="auto"/>
                    <w:left w:val="none" w:sz="0" w:space="0" w:color="auto"/>
                    <w:bottom w:val="none" w:sz="0" w:space="0" w:color="auto"/>
                    <w:right w:val="none" w:sz="0" w:space="0" w:color="auto"/>
                  </w:divBdr>
                </w:div>
                <w:div w:id="20412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4086">
          <w:marLeft w:val="0"/>
          <w:marRight w:val="0"/>
          <w:marTop w:val="0"/>
          <w:marBottom w:val="0"/>
          <w:divBdr>
            <w:top w:val="none" w:sz="0" w:space="0" w:color="auto"/>
            <w:left w:val="none" w:sz="0" w:space="0" w:color="auto"/>
            <w:bottom w:val="none" w:sz="0" w:space="0" w:color="auto"/>
            <w:right w:val="none" w:sz="0" w:space="0" w:color="auto"/>
          </w:divBdr>
        </w:div>
        <w:div w:id="1752123877">
          <w:marLeft w:val="0"/>
          <w:marRight w:val="0"/>
          <w:marTop w:val="0"/>
          <w:marBottom w:val="0"/>
          <w:divBdr>
            <w:top w:val="none" w:sz="0" w:space="0" w:color="auto"/>
            <w:left w:val="none" w:sz="0" w:space="0" w:color="auto"/>
            <w:bottom w:val="none" w:sz="0" w:space="0" w:color="auto"/>
            <w:right w:val="none" w:sz="0" w:space="0" w:color="auto"/>
          </w:divBdr>
        </w:div>
        <w:div w:id="2012640924">
          <w:marLeft w:val="0"/>
          <w:marRight w:val="0"/>
          <w:marTop w:val="0"/>
          <w:marBottom w:val="0"/>
          <w:divBdr>
            <w:top w:val="none" w:sz="0" w:space="0" w:color="auto"/>
            <w:left w:val="none" w:sz="0" w:space="0" w:color="auto"/>
            <w:bottom w:val="none" w:sz="0" w:space="0" w:color="auto"/>
            <w:right w:val="none" w:sz="0" w:space="0" w:color="auto"/>
          </w:divBdr>
        </w:div>
        <w:div w:id="1587573175">
          <w:marLeft w:val="0"/>
          <w:marRight w:val="0"/>
          <w:marTop w:val="0"/>
          <w:marBottom w:val="0"/>
          <w:divBdr>
            <w:top w:val="none" w:sz="0" w:space="0" w:color="auto"/>
            <w:left w:val="none" w:sz="0" w:space="0" w:color="auto"/>
            <w:bottom w:val="none" w:sz="0" w:space="0" w:color="auto"/>
            <w:right w:val="none" w:sz="0" w:space="0" w:color="auto"/>
          </w:divBdr>
        </w:div>
        <w:div w:id="367146294">
          <w:marLeft w:val="0"/>
          <w:marRight w:val="0"/>
          <w:marTop w:val="0"/>
          <w:marBottom w:val="0"/>
          <w:divBdr>
            <w:top w:val="none" w:sz="0" w:space="0" w:color="auto"/>
            <w:left w:val="none" w:sz="0" w:space="0" w:color="auto"/>
            <w:bottom w:val="none" w:sz="0" w:space="0" w:color="auto"/>
            <w:right w:val="none" w:sz="0" w:space="0" w:color="auto"/>
          </w:divBdr>
        </w:div>
        <w:div w:id="3359393">
          <w:marLeft w:val="0"/>
          <w:marRight w:val="0"/>
          <w:marTop w:val="0"/>
          <w:marBottom w:val="0"/>
          <w:divBdr>
            <w:top w:val="none" w:sz="0" w:space="0" w:color="auto"/>
            <w:left w:val="none" w:sz="0" w:space="0" w:color="auto"/>
            <w:bottom w:val="none" w:sz="0" w:space="0" w:color="auto"/>
            <w:right w:val="none" w:sz="0" w:space="0" w:color="auto"/>
          </w:divBdr>
        </w:div>
        <w:div w:id="967472864">
          <w:marLeft w:val="0"/>
          <w:marRight w:val="0"/>
          <w:marTop w:val="0"/>
          <w:marBottom w:val="0"/>
          <w:divBdr>
            <w:top w:val="none" w:sz="0" w:space="0" w:color="auto"/>
            <w:left w:val="none" w:sz="0" w:space="0" w:color="auto"/>
            <w:bottom w:val="none" w:sz="0" w:space="0" w:color="auto"/>
            <w:right w:val="none" w:sz="0" w:space="0" w:color="auto"/>
          </w:divBdr>
        </w:div>
      </w:divsChild>
    </w:div>
    <w:div w:id="430516994">
      <w:bodyDiv w:val="1"/>
      <w:marLeft w:val="0"/>
      <w:marRight w:val="0"/>
      <w:marTop w:val="0"/>
      <w:marBottom w:val="0"/>
      <w:divBdr>
        <w:top w:val="none" w:sz="0" w:space="0" w:color="auto"/>
        <w:left w:val="none" w:sz="0" w:space="0" w:color="auto"/>
        <w:bottom w:val="none" w:sz="0" w:space="0" w:color="auto"/>
        <w:right w:val="none" w:sz="0" w:space="0" w:color="auto"/>
      </w:divBdr>
    </w:div>
    <w:div w:id="438843664">
      <w:bodyDiv w:val="1"/>
      <w:marLeft w:val="0"/>
      <w:marRight w:val="0"/>
      <w:marTop w:val="0"/>
      <w:marBottom w:val="0"/>
      <w:divBdr>
        <w:top w:val="none" w:sz="0" w:space="0" w:color="auto"/>
        <w:left w:val="none" w:sz="0" w:space="0" w:color="auto"/>
        <w:bottom w:val="none" w:sz="0" w:space="0" w:color="auto"/>
        <w:right w:val="none" w:sz="0" w:space="0" w:color="auto"/>
      </w:divBdr>
    </w:div>
    <w:div w:id="700282732">
      <w:bodyDiv w:val="1"/>
      <w:marLeft w:val="0"/>
      <w:marRight w:val="0"/>
      <w:marTop w:val="0"/>
      <w:marBottom w:val="0"/>
      <w:divBdr>
        <w:top w:val="none" w:sz="0" w:space="0" w:color="auto"/>
        <w:left w:val="none" w:sz="0" w:space="0" w:color="auto"/>
        <w:bottom w:val="none" w:sz="0" w:space="0" w:color="auto"/>
        <w:right w:val="none" w:sz="0" w:space="0" w:color="auto"/>
      </w:divBdr>
      <w:divsChild>
        <w:div w:id="1356733236">
          <w:marLeft w:val="0"/>
          <w:marRight w:val="0"/>
          <w:marTop w:val="288"/>
          <w:marBottom w:val="100"/>
          <w:divBdr>
            <w:top w:val="none" w:sz="0" w:space="0" w:color="auto"/>
            <w:left w:val="none" w:sz="0" w:space="0" w:color="auto"/>
            <w:bottom w:val="none" w:sz="0" w:space="0" w:color="auto"/>
            <w:right w:val="none" w:sz="0" w:space="0" w:color="auto"/>
          </w:divBdr>
          <w:divsChild>
            <w:div w:id="9691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09864">
      <w:bodyDiv w:val="1"/>
      <w:marLeft w:val="0"/>
      <w:marRight w:val="0"/>
      <w:marTop w:val="0"/>
      <w:marBottom w:val="0"/>
      <w:divBdr>
        <w:top w:val="none" w:sz="0" w:space="0" w:color="auto"/>
        <w:left w:val="none" w:sz="0" w:space="0" w:color="auto"/>
        <w:bottom w:val="none" w:sz="0" w:space="0" w:color="auto"/>
        <w:right w:val="none" w:sz="0" w:space="0" w:color="auto"/>
      </w:divBdr>
    </w:div>
    <w:div w:id="994071547">
      <w:bodyDiv w:val="1"/>
      <w:marLeft w:val="0"/>
      <w:marRight w:val="0"/>
      <w:marTop w:val="0"/>
      <w:marBottom w:val="0"/>
      <w:divBdr>
        <w:top w:val="none" w:sz="0" w:space="0" w:color="auto"/>
        <w:left w:val="none" w:sz="0" w:space="0" w:color="auto"/>
        <w:bottom w:val="none" w:sz="0" w:space="0" w:color="auto"/>
        <w:right w:val="none" w:sz="0" w:space="0" w:color="auto"/>
      </w:divBdr>
    </w:div>
    <w:div w:id="1036269141">
      <w:bodyDiv w:val="1"/>
      <w:marLeft w:val="0"/>
      <w:marRight w:val="0"/>
      <w:marTop w:val="0"/>
      <w:marBottom w:val="0"/>
      <w:divBdr>
        <w:top w:val="none" w:sz="0" w:space="0" w:color="auto"/>
        <w:left w:val="none" w:sz="0" w:space="0" w:color="auto"/>
        <w:bottom w:val="none" w:sz="0" w:space="0" w:color="auto"/>
        <w:right w:val="none" w:sz="0" w:space="0" w:color="auto"/>
      </w:divBdr>
    </w:div>
    <w:div w:id="1052969465">
      <w:bodyDiv w:val="1"/>
      <w:marLeft w:val="0"/>
      <w:marRight w:val="0"/>
      <w:marTop w:val="0"/>
      <w:marBottom w:val="0"/>
      <w:divBdr>
        <w:top w:val="none" w:sz="0" w:space="0" w:color="auto"/>
        <w:left w:val="none" w:sz="0" w:space="0" w:color="auto"/>
        <w:bottom w:val="none" w:sz="0" w:space="0" w:color="auto"/>
        <w:right w:val="none" w:sz="0" w:space="0" w:color="auto"/>
      </w:divBdr>
    </w:div>
    <w:div w:id="1601058505">
      <w:bodyDiv w:val="1"/>
      <w:marLeft w:val="0"/>
      <w:marRight w:val="0"/>
      <w:marTop w:val="0"/>
      <w:marBottom w:val="0"/>
      <w:divBdr>
        <w:top w:val="none" w:sz="0" w:space="0" w:color="auto"/>
        <w:left w:val="none" w:sz="0" w:space="0" w:color="auto"/>
        <w:bottom w:val="none" w:sz="0" w:space="0" w:color="auto"/>
        <w:right w:val="none" w:sz="0" w:space="0" w:color="auto"/>
      </w:divBdr>
    </w:div>
    <w:div w:id="1782531012">
      <w:bodyDiv w:val="1"/>
      <w:marLeft w:val="0"/>
      <w:marRight w:val="0"/>
      <w:marTop w:val="0"/>
      <w:marBottom w:val="0"/>
      <w:divBdr>
        <w:top w:val="none" w:sz="0" w:space="0" w:color="auto"/>
        <w:left w:val="none" w:sz="0" w:space="0" w:color="auto"/>
        <w:bottom w:val="none" w:sz="0" w:space="0" w:color="auto"/>
        <w:right w:val="none" w:sz="0" w:space="0" w:color="auto"/>
      </w:divBdr>
    </w:div>
    <w:div w:id="1866940282">
      <w:bodyDiv w:val="1"/>
      <w:marLeft w:val="0"/>
      <w:marRight w:val="0"/>
      <w:marTop w:val="0"/>
      <w:marBottom w:val="0"/>
      <w:divBdr>
        <w:top w:val="none" w:sz="0" w:space="0" w:color="auto"/>
        <w:left w:val="none" w:sz="0" w:space="0" w:color="auto"/>
        <w:bottom w:val="none" w:sz="0" w:space="0" w:color="auto"/>
        <w:right w:val="none" w:sz="0" w:space="0" w:color="auto"/>
      </w:divBdr>
      <w:divsChild>
        <w:div w:id="56637820">
          <w:marLeft w:val="0"/>
          <w:marRight w:val="0"/>
          <w:marTop w:val="150"/>
          <w:marBottom w:val="150"/>
          <w:divBdr>
            <w:top w:val="single" w:sz="6" w:space="4" w:color="BCBCBC"/>
            <w:left w:val="single" w:sz="6" w:space="4" w:color="BCBCBC"/>
            <w:bottom w:val="single" w:sz="6" w:space="4" w:color="BCBCBC"/>
            <w:right w:val="single" w:sz="6" w:space="4" w:color="BCBCBC"/>
          </w:divBdr>
        </w:div>
      </w:divsChild>
    </w:div>
    <w:div w:id="1869640632">
      <w:bodyDiv w:val="1"/>
      <w:marLeft w:val="0"/>
      <w:marRight w:val="0"/>
      <w:marTop w:val="0"/>
      <w:marBottom w:val="0"/>
      <w:divBdr>
        <w:top w:val="none" w:sz="0" w:space="0" w:color="auto"/>
        <w:left w:val="none" w:sz="0" w:space="0" w:color="auto"/>
        <w:bottom w:val="none" w:sz="0" w:space="0" w:color="auto"/>
        <w:right w:val="none" w:sz="0" w:space="0" w:color="auto"/>
      </w:divBdr>
    </w:div>
    <w:div w:id="1880315648">
      <w:bodyDiv w:val="1"/>
      <w:marLeft w:val="0"/>
      <w:marRight w:val="0"/>
      <w:marTop w:val="0"/>
      <w:marBottom w:val="0"/>
      <w:divBdr>
        <w:top w:val="none" w:sz="0" w:space="0" w:color="auto"/>
        <w:left w:val="none" w:sz="0" w:space="0" w:color="auto"/>
        <w:bottom w:val="none" w:sz="0" w:space="0" w:color="auto"/>
        <w:right w:val="none" w:sz="0" w:space="0" w:color="auto"/>
      </w:divBdr>
      <w:divsChild>
        <w:div w:id="1691181255">
          <w:marLeft w:val="0"/>
          <w:marRight w:val="0"/>
          <w:marTop w:val="0"/>
          <w:marBottom w:val="0"/>
          <w:divBdr>
            <w:top w:val="none" w:sz="0" w:space="0" w:color="auto"/>
            <w:left w:val="none" w:sz="0" w:space="0" w:color="auto"/>
            <w:bottom w:val="none" w:sz="0" w:space="0" w:color="auto"/>
            <w:right w:val="none" w:sz="0" w:space="0" w:color="auto"/>
          </w:divBdr>
          <w:divsChild>
            <w:div w:id="1075081013">
              <w:marLeft w:val="0"/>
              <w:marRight w:val="0"/>
              <w:marTop w:val="675"/>
              <w:marBottom w:val="675"/>
              <w:divBdr>
                <w:top w:val="none" w:sz="0" w:space="0" w:color="auto"/>
                <w:left w:val="none" w:sz="0" w:space="0" w:color="auto"/>
                <w:bottom w:val="none" w:sz="0" w:space="0" w:color="auto"/>
                <w:right w:val="none" w:sz="0" w:space="0" w:color="auto"/>
              </w:divBdr>
            </w:div>
          </w:divsChild>
        </w:div>
        <w:div w:id="1256747916">
          <w:marLeft w:val="0"/>
          <w:marRight w:val="0"/>
          <w:marTop w:val="0"/>
          <w:marBottom w:val="0"/>
          <w:divBdr>
            <w:top w:val="none" w:sz="0" w:space="0" w:color="auto"/>
            <w:left w:val="none" w:sz="0" w:space="0" w:color="auto"/>
            <w:bottom w:val="none" w:sz="0" w:space="0" w:color="auto"/>
            <w:right w:val="none" w:sz="0" w:space="0" w:color="auto"/>
          </w:divBdr>
        </w:div>
      </w:divsChild>
    </w:div>
    <w:div w:id="1903952988">
      <w:bodyDiv w:val="1"/>
      <w:marLeft w:val="0"/>
      <w:marRight w:val="0"/>
      <w:marTop w:val="0"/>
      <w:marBottom w:val="0"/>
      <w:divBdr>
        <w:top w:val="none" w:sz="0" w:space="0" w:color="auto"/>
        <w:left w:val="none" w:sz="0" w:space="0" w:color="auto"/>
        <w:bottom w:val="none" w:sz="0" w:space="0" w:color="auto"/>
        <w:right w:val="none" w:sz="0" w:space="0" w:color="auto"/>
      </w:divBdr>
    </w:div>
    <w:div w:id="1971862867">
      <w:bodyDiv w:val="1"/>
      <w:marLeft w:val="0"/>
      <w:marRight w:val="0"/>
      <w:marTop w:val="0"/>
      <w:marBottom w:val="0"/>
      <w:divBdr>
        <w:top w:val="none" w:sz="0" w:space="0" w:color="auto"/>
        <w:left w:val="none" w:sz="0" w:space="0" w:color="auto"/>
        <w:bottom w:val="none" w:sz="0" w:space="0" w:color="auto"/>
        <w:right w:val="none" w:sz="0" w:space="0" w:color="auto"/>
      </w:divBdr>
    </w:div>
    <w:div w:id="2019038348">
      <w:bodyDiv w:val="1"/>
      <w:marLeft w:val="0"/>
      <w:marRight w:val="0"/>
      <w:marTop w:val="0"/>
      <w:marBottom w:val="0"/>
      <w:divBdr>
        <w:top w:val="none" w:sz="0" w:space="0" w:color="auto"/>
        <w:left w:val="none" w:sz="0" w:space="0" w:color="auto"/>
        <w:bottom w:val="none" w:sz="0" w:space="0" w:color="auto"/>
        <w:right w:val="none" w:sz="0" w:space="0" w:color="auto"/>
      </w:divBdr>
    </w:div>
    <w:div w:id="20378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foodchecker.heas.health.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ihmeuw.org/4dn0" TargetMode="External"/><Relationship Id="rId117" Type="http://schemas.openxmlformats.org/officeDocument/2006/relationships/hyperlink" Target="http://www.abs.gov.au/ausstats/abs@.nsf/mf/4364.0.55.011" TargetMode="External"/><Relationship Id="rId21" Type="http://schemas.openxmlformats.org/officeDocument/2006/relationships/hyperlink" Target="http://www.abs.gov.au/ausstats/abs@.nsf/Lookup/by%20Subject/4364.0.55.011~2011-12~Main%20Features~Key%20Findings~1" TargetMode="External"/><Relationship Id="rId42" Type="http://schemas.openxmlformats.org/officeDocument/2006/relationships/hyperlink" Target="http://www.foodstandards.gov.au/science/monitoringnutrients/afcd/Pages/default.aspx" TargetMode="External"/><Relationship Id="rId47" Type="http://schemas.openxmlformats.org/officeDocument/2006/relationships/hyperlink" Target="https://www.betterhealth.vic.gov.au/health/healthyliving/food-labels" TargetMode="External"/><Relationship Id="rId63" Type="http://schemas.openxmlformats.org/officeDocument/2006/relationships/hyperlink" Target="http://www.health.gov.au/internet/fr/publishing.nsf/Content/C6995F10A56B5D56CA2581EE00177CA8/$File/LRRSFL2017.pdf" TargetMode="External"/><Relationship Id="rId68" Type="http://schemas.openxmlformats.org/officeDocument/2006/relationships/hyperlink" Target="http://www.health.gov.au/internet/fr/publishing.nsf/Content/C6995F10A56B5D56CA2581EE00177CA8/$File/LRRSFL2017.pdf" TargetMode="External"/><Relationship Id="rId84" Type="http://schemas.openxmlformats.org/officeDocument/2006/relationships/hyperlink" Target="https://aaf1a18515da0e792f78-c27fdabe952dfc357fe25ebf5c8897ee.ssl.cf5.rackcdn.com/1965/Added-sugar-report-Final-lowres.pdf?v=1492740564000" TargetMode="External"/><Relationship Id="rId89" Type="http://schemas.openxmlformats.org/officeDocument/2006/relationships/hyperlink" Target="https://www.educationcounts.govt.nz/__data/assets/pdf_file/0010/19495/Overview-and-International-Comparisons.pdf" TargetMode="External"/><Relationship Id="rId112" Type="http://schemas.openxmlformats.org/officeDocument/2006/relationships/hyperlink" Target="http://foodregulation.gov.au/internet/fr/publishing.nsf/Content/E6C6919B62C492BCCA257F720076F4C8/$File/Health%20Star%20Rating%20Cost%20Benefit%20Analysis%20Report.pdf" TargetMode="External"/><Relationship Id="rId133" Type="http://schemas.openxmlformats.org/officeDocument/2006/relationships/hyperlink" Target="http://ihmeuw.org/4dn0" TargetMode="External"/><Relationship Id="rId138" Type="http://schemas.openxmlformats.org/officeDocument/2006/relationships/hyperlink" Target="https://www.health.govt.nz/publication/annual-update-key-results-2016-17-new-zealand-health-survey" TargetMode="External"/><Relationship Id="rId154" Type="http://schemas.openxmlformats.org/officeDocument/2006/relationships/hyperlink" Target="https://doi.org/10.3945/ajcn.2009.28742" TargetMode="External"/><Relationship Id="rId159" Type="http://schemas.openxmlformats.org/officeDocument/2006/relationships/hyperlink" Target="http://www.foodstandards.gov.au/publications/Documents/Consumer%20label%20survey%202015/consumerlabelsurvey2015.pdf" TargetMode="External"/><Relationship Id="rId16" Type="http://schemas.openxmlformats.org/officeDocument/2006/relationships/hyperlink" Target="https://www.eatforhealth.gov.au/sites/default/files/content/n55_australian_dietary_guidelines.pdf" TargetMode="External"/><Relationship Id="rId107" Type="http://schemas.openxmlformats.org/officeDocument/2006/relationships/hyperlink" Target="https://www.pmc.gov.au/sites/default/files/publications/indigenous/Health-Performance-Framework-2014/tier-2-determinants-health/204-literacy-and-numeracy.html" TargetMode="External"/><Relationship Id="rId11" Type="http://schemas.openxmlformats.org/officeDocument/2006/relationships/hyperlink" Target="https://www.federalregister.gov/articles/2014/03/03/2014-04387/food-labeling-revision-of-the-nutrition-and-supplement-facts-labels" TargetMode="External"/><Relationship Id="rId32" Type="http://schemas.openxmlformats.org/officeDocument/2006/relationships/hyperlink" Target="https://www.pwc.com.au/pdf/weighing-the-cost-of-obesity-final.pdf" TargetMode="External"/><Relationship Id="rId37" Type="http://schemas.openxmlformats.org/officeDocument/2006/relationships/hyperlink" Target="http://healthyweight.health.gov.au/wps/portal/Home/eat-well/reading-food-labels/" TargetMode="External"/><Relationship Id="rId53" Type="http://schemas.openxmlformats.org/officeDocument/2006/relationships/hyperlink" Target="http://nutritionandactivity.govt.nz/nutrition" TargetMode="External"/><Relationship Id="rId58" Type="http://schemas.openxmlformats.org/officeDocument/2006/relationships/hyperlink" Target="https://www.canada.ca/en/health-canada/services/food-labelling-changes.html" TargetMode="External"/><Relationship Id="rId74" Type="http://schemas.openxmlformats.org/officeDocument/2006/relationships/hyperlink" Target="https://www.fda.gov/Food/GuidanceRegulation/GuidanceDocumentsRegulatoryInformation/LabelingNutrition/ucm385663.htm" TargetMode="External"/><Relationship Id="rId79" Type="http://schemas.openxmlformats.org/officeDocument/2006/relationships/hyperlink" Target="https://www.unileverusa.com/brands/smartlabel/" TargetMode="External"/><Relationship Id="rId102" Type="http://schemas.openxmlformats.org/officeDocument/2006/relationships/hyperlink" Target="https://www.gov.uk/government/news/soft-drinks-industry-levy-comes-into-effect" TargetMode="External"/><Relationship Id="rId123" Type="http://schemas.openxmlformats.org/officeDocument/2006/relationships/hyperlink" Target="http://www.abs.gov.au/ausstats/abs@.nsf/Lookup/by%20Subject/4364.0.55.011~2011-12~Main%20Features~Consumption%20of%20Added%20Sugars%20-%20A%20comparison%20of%201995%20to%202011-12~20" TargetMode="External"/><Relationship Id="rId128" Type="http://schemas.openxmlformats.org/officeDocument/2006/relationships/hyperlink" Target="http://www.abs.gov.au/ausstats/abs@.nsf/Lookup/by%20Subject/4364.0.55.001~2017-18~Main%20Features~Overweight%20and%20obesity~90" TargetMode="External"/><Relationship Id="rId144" Type="http://schemas.openxmlformats.org/officeDocument/2006/relationships/hyperlink" Target="https://www.ada.org.au/Dental-Professionals/Australia-s-Oral-Health-Tracker/Australia-s-Oral-Health-Tracker-Technical-Appendix/ADA_AHPC_Technical-Appendix_07032018" TargetMode="External"/><Relationship Id="rId149" Type="http://schemas.openxmlformats.org/officeDocument/2006/relationships/hyperlink" Target="https://www.health.govt.nz/system/files/documents/publications/korero-marama.pdf" TargetMode="External"/><Relationship Id="rId5" Type="http://schemas.openxmlformats.org/officeDocument/2006/relationships/hyperlink" Target="https://www.eatforhealth.gov.au/sites/default/files/content/n55_australian_dietary_guidelines.pdf" TargetMode="External"/><Relationship Id="rId90" Type="http://schemas.openxmlformats.org/officeDocument/2006/relationships/hyperlink" Target="https://read.oecd-ilibrary.org/education/building-skills-for-all-in-australia_9789264281110-en" TargetMode="External"/><Relationship Id="rId95" Type="http://schemas.openxmlformats.org/officeDocument/2006/relationships/hyperlink" Target="http://www.foodstandards.gov.au/publications/Documents/Consumer%20label%20survey%202015/consumerlabelsurvey2015.pdf" TargetMode="External"/><Relationship Id="rId160" Type="http://schemas.openxmlformats.org/officeDocument/2006/relationships/hyperlink" Target="https://action.choice.com.au/page/33382/petition/1" TargetMode="External"/><Relationship Id="rId22" Type="http://schemas.openxmlformats.org/officeDocument/2006/relationships/hyperlink" Target="https://ourarchive.otago.ac.nz/handle/10523/7195" TargetMode="External"/><Relationship Id="rId27" Type="http://schemas.openxmlformats.org/officeDocument/2006/relationships/hyperlink" Target="http://ihmeuw.org/4dn0" TargetMode="External"/><Relationship Id="rId43" Type="http://schemas.openxmlformats.org/officeDocument/2006/relationships/hyperlink" Target="http://www.health.gov.au/internet/fr/publishing.nsf/Content/C6995F10A56B5D56CA2581EE00177CA8/$File/LRRSFL2017.pdf" TargetMode="External"/><Relationship Id="rId48" Type="http://schemas.openxmlformats.org/officeDocument/2006/relationships/hyperlink" Target="https://goodhabitsforlife.act.gov.au/sugar-swap-challenge-brochure" TargetMode="External"/><Relationship Id="rId64" Type="http://schemas.openxmlformats.org/officeDocument/2006/relationships/hyperlink" Target="http://www.health.gov.au/internet/fr/publishing.nsf/Content/C6995F10A56B5D56CA2581EE00177CA8/$File/LRRSFL2017.pdf" TargetMode="External"/><Relationship Id="rId69" Type="http://schemas.openxmlformats.org/officeDocument/2006/relationships/hyperlink" Target="http://www.health.gov.au/internet/fr/publishing.nsf/Content/C6995F10A56B5D56CA2581EE00177CA8/$File/LRRSFL2017.pdf" TargetMode="External"/><Relationship Id="rId113" Type="http://schemas.openxmlformats.org/officeDocument/2006/relationships/hyperlink" Target="https://www.govinfo.gov/content/pkg/FR-2016-05-27/pdf/2016-11867.pdf" TargetMode="External"/><Relationship Id="rId118" Type="http://schemas.openxmlformats.org/officeDocument/2006/relationships/hyperlink" Target="http://www.foodstandards.gov.au/science/monitoringnutrients/ausnut/foodnutrient/Pages/Determining-the-amount-of-added-sugars-and-free-sugars-in-foods-listed-in-the-AUSNUT-201113-dataset.aspx" TargetMode="External"/><Relationship Id="rId134" Type="http://schemas.openxmlformats.org/officeDocument/2006/relationships/hyperlink" Target="https://vizhub.healthdata.org/gbd-compare/" TargetMode="External"/><Relationship Id="rId139" Type="http://schemas.openxmlformats.org/officeDocument/2006/relationships/hyperlink" Target="https://www.ada.org.au/Dental-Professionals/Australia-s-Oral-Health-Tracker/Australia-s-Oral-Health-Tracker-Technical-Appendix/ADA_AHPC_Technical-Appendix_07032018" TargetMode="External"/><Relationship Id="rId80" Type="http://schemas.openxmlformats.org/officeDocument/2006/relationships/hyperlink" Target="https://itunes.apple.com/au/app/foodswitch/id478225318?mt=8" TargetMode="External"/><Relationship Id="rId85" Type="http://schemas.openxmlformats.org/officeDocument/2006/relationships/hyperlink" Target="https://www.legislation.gov.au/Details/C2016B00120/Explanatory%20Memorandum/Text" TargetMode="External"/><Relationship Id="rId150" Type="http://schemas.openxmlformats.org/officeDocument/2006/relationships/hyperlink" Target="https://www.pmc.gov.au/sites/default/files/publications/indigenous/Health-Performance-Framework-2014/tier-2-determinants-health/204-literacy-and-numeracy.html" TargetMode="External"/><Relationship Id="rId155" Type="http://schemas.openxmlformats.org/officeDocument/2006/relationships/hyperlink" Target="https://aaf1a18515da0e792f78-c27fdabe952dfc357fe25ebf5c8897ee.ssl.cf5.rackcdn.com/1965/Added-sugar-report-Final-lowres.pdf?v=1492740564000" TargetMode="External"/><Relationship Id="rId12" Type="http://schemas.openxmlformats.org/officeDocument/2006/relationships/hyperlink" Target="http://apps.who.int/iris/bitstream/10665/149782/1/9789241549028_eng.pdf" TargetMode="External"/><Relationship Id="rId17" Type="http://schemas.openxmlformats.org/officeDocument/2006/relationships/hyperlink" Target="http://www.health.govt.nz/system/files/documents/publications/eating-activity-guidelines-for-new-zealand-adults-oct15_0.pdf" TargetMode="External"/><Relationship Id="rId33" Type="http://schemas.openxmlformats.org/officeDocument/2006/relationships/hyperlink" Target="https://www.ada.org.au/Dental-Professionals/Australia-s-Oral-Health-Tracker/Australia-s-Oral-Health-Tracker-Technical-Appendix/ADA_AHPC_Technical-Appendix_07032018" TargetMode="External"/><Relationship Id="rId38" Type="http://schemas.openxmlformats.org/officeDocument/2006/relationships/hyperlink" Target="https://www.nhmrc.gov.au/_files_nhmrc/publications/attachments/n33.pdf" TargetMode="External"/><Relationship Id="rId59" Type="http://schemas.openxmlformats.org/officeDocument/2006/relationships/hyperlink" Target="http://www.health.gov.au/internet/fr/publishing.nsf/Content/C6995F10A56B5D56CA2581EE00177CA8/$File/LRRSFL2017.pdf" TargetMode="External"/><Relationship Id="rId103" Type="http://schemas.openxmlformats.org/officeDocument/2006/relationships/hyperlink" Target="https://www.ers.usda.gov/publications/pub-details/?pubid=85760" TargetMode="External"/><Relationship Id="rId108" Type="http://schemas.openxmlformats.org/officeDocument/2006/relationships/hyperlink" Target="https://www.aihw.gov.au/reports/australias-health/australias-health-2018/contents/table-of-contents" TargetMode="External"/><Relationship Id="rId124" Type="http://schemas.openxmlformats.org/officeDocument/2006/relationships/hyperlink" Target="https://ourarchive.otago.ac.nz/handle/10523/7195" TargetMode="External"/><Relationship Id="rId129" Type="http://schemas.openxmlformats.org/officeDocument/2006/relationships/hyperlink" Target="http://www.abs.gov.au/ausstats/abs@.nsf/Lookup/by%20Subject/4364.0.55.001~2017-18~Main%20Features~Overweight%20and%20obesity~90" TargetMode="External"/><Relationship Id="rId54" Type="http://schemas.openxmlformats.org/officeDocument/2006/relationships/hyperlink" Target="https://www.coles.com.au/magazine" TargetMode="External"/><Relationship Id="rId70" Type="http://schemas.openxmlformats.org/officeDocument/2006/relationships/hyperlink" Target="https://www.fda.gov/Food/GuidanceRegulation/GuidanceDocumentsRegulatoryInformation/LabelingNutrition/ucm385663.htm" TargetMode="External"/><Relationship Id="rId75" Type="http://schemas.openxmlformats.org/officeDocument/2006/relationships/hyperlink" Target="https://www.ams.usda.gov/rules-regulations/gmo" TargetMode="External"/><Relationship Id="rId91" Type="http://schemas.openxmlformats.org/officeDocument/2006/relationships/hyperlink" Target="http://www.foodstandards.gov.au/publications/Documents/Consumer%20label%20survey%202015/consumerlabelsurvey2015.pdf" TargetMode="External"/><Relationship Id="rId96" Type="http://schemas.openxmlformats.org/officeDocument/2006/relationships/hyperlink" Target="http://www.foodstandards.gov.au/publications/Documents/Consumer%20label%20survey%202015/consumerlabelsurvey2015.pdf" TargetMode="External"/><Relationship Id="rId140" Type="http://schemas.openxmlformats.org/officeDocument/2006/relationships/hyperlink" Target="http://www.aihw.gov.au/publication-detail/?id=10737421875" TargetMode="External"/><Relationship Id="rId145" Type="http://schemas.openxmlformats.org/officeDocument/2006/relationships/hyperlink" Target="http://www.health.govt.nz/publication/our-oral-health-key-findings-2009-new-zealand-oral-health-survey" TargetMode="External"/><Relationship Id="rId161" Type="http://schemas.openxmlformats.org/officeDocument/2006/relationships/hyperlink" Target="https://action.choice.com.au/page/33382/petition/1" TargetMode="External"/><Relationship Id="rId1" Type="http://schemas.openxmlformats.org/officeDocument/2006/relationships/hyperlink" Target="http://www.foodstandards.gov.au/publications/Documents/Consumer%20label%20survey%202015/consumerlabelsurvey2015.pdf" TargetMode="External"/><Relationship Id="rId6" Type="http://schemas.openxmlformats.org/officeDocument/2006/relationships/hyperlink" Target="http://www.health.govt.nz/system/files/documents/publications/eating-activity-guidelines-for-new-zealand-adults-oct15_0.pdf" TargetMode="External"/><Relationship Id="rId15" Type="http://schemas.openxmlformats.org/officeDocument/2006/relationships/hyperlink" Target="http://sydney.edu.au/medicine/public-health/prevention-research/news/reports/PANORG%20Sugar%20&amp;%20Health%20Rapid%20Evid%20Review%2009102015%20Web.pdf" TargetMode="External"/><Relationship Id="rId23" Type="http://schemas.openxmlformats.org/officeDocument/2006/relationships/hyperlink" Target="https://ourarchive.otago.ac.nz/handle/10523/7204" TargetMode="External"/><Relationship Id="rId28" Type="http://schemas.openxmlformats.org/officeDocument/2006/relationships/hyperlink" Target="https://www.health.govt.nz/publication/annual-update-key-results-2016-17-new-zealand-health-survey" TargetMode="External"/><Relationship Id="rId36" Type="http://schemas.openxmlformats.org/officeDocument/2006/relationships/hyperlink" Target="http://healthyweightweek.com.au/understanding-food-labels" TargetMode="External"/><Relationship Id="rId49" Type="http://schemas.openxmlformats.org/officeDocument/2006/relationships/hyperlink" Target="https://daa.asn.au/smart-eating-for-you/smart-eating-fast-facts/food-labels/" TargetMode="External"/><Relationship Id="rId57" Type="http://schemas.openxmlformats.org/officeDocument/2006/relationships/hyperlink" Target="http://www.health.gov.au/internet/fr/publishing.nsf/Content/C6995F10A56B5D56CA2581EE00177CA8/$File/LRRSFL2017.pdf" TargetMode="External"/><Relationship Id="rId106" Type="http://schemas.openxmlformats.org/officeDocument/2006/relationships/hyperlink" Target="https://www.health.govt.nz/system/files/documents/publications/korero-marama.pdf" TargetMode="External"/><Relationship Id="rId114" Type="http://schemas.openxmlformats.org/officeDocument/2006/relationships/hyperlink" Target="http://www.health.gov.au/internet/fr/publishing.nsf/Content/C6995F10A56B5D56CA2581EE00177CA8/$File/LRRSFL2017.pdf" TargetMode="External"/><Relationship Id="rId119" Type="http://schemas.openxmlformats.org/officeDocument/2006/relationships/hyperlink" Target="http://apps.who.int/iris/bitstream/10665/149782/1/9789241549028_eng.pdf" TargetMode="External"/><Relationship Id="rId127" Type="http://schemas.openxmlformats.org/officeDocument/2006/relationships/hyperlink" Target="http://ihmeuw.org/4dtf" TargetMode="External"/><Relationship Id="rId10" Type="http://schemas.openxmlformats.org/officeDocument/2006/relationships/hyperlink" Target="http://apps.who.int/iris/bitstream/10665/149782/1/9789241549028_eng.pdf" TargetMode="External"/><Relationship Id="rId31" Type="http://schemas.openxmlformats.org/officeDocument/2006/relationships/hyperlink" Target="http://ihmeuw.org/4qax" TargetMode="External"/><Relationship Id="rId44" Type="http://schemas.openxmlformats.org/officeDocument/2006/relationships/hyperlink" Target="http://www.health.gov.au/internet/fr/publishing.nsf/Content/C6995F10A56B5D56CA2581EE00177CA8/$File/LRRSFL2017.pdf" TargetMode="External"/><Relationship Id="rId52" Type="http://schemas.openxmlformats.org/officeDocument/2006/relationships/hyperlink" Target="https://www.healthed.govt.nz/resource/healthy-eating-active-living" TargetMode="External"/><Relationship Id="rId60" Type="http://schemas.openxmlformats.org/officeDocument/2006/relationships/hyperlink" Target="http://www.health.gov.au/internet/fr/publishing.nsf/Content/C6995F10A56B5D56CA2581EE00177CA8/$File/LRRSFL2017.pdf" TargetMode="External"/><Relationship Id="rId65" Type="http://schemas.openxmlformats.org/officeDocument/2006/relationships/hyperlink" Target="https://www.canada.ca/en/health-canada/programs/front-of-package-nutrition-labelling/consultation-document.html" TargetMode="External"/><Relationship Id="rId73" Type="http://schemas.openxmlformats.org/officeDocument/2006/relationships/hyperlink" Target="https://action.choice.com.au/page/33382/petition/1" TargetMode="External"/><Relationship Id="rId78" Type="http://schemas.openxmlformats.org/officeDocument/2006/relationships/hyperlink" Target="https://www.packagingstrategies.com/articles/89634-mondelez-international-launches-smartlabel-apps" TargetMode="External"/><Relationship Id="rId81" Type="http://schemas.openxmlformats.org/officeDocument/2006/relationships/hyperlink" Target="http://www.health.gov.au/internet/fr/publishing.nsf/Content/C6995F10A56B5D56CA2581EE00177CA8/$File/LRRSFL2017.pdf" TargetMode="External"/><Relationship Id="rId86" Type="http://schemas.openxmlformats.org/officeDocument/2006/relationships/hyperlink" Target="http://www.foodstandards.gov.au/publications/Documents/Consumer%20label%20survey%202015/consumerlabelsurvey2015.pdf" TargetMode="External"/><Relationship Id="rId94" Type="http://schemas.openxmlformats.org/officeDocument/2006/relationships/hyperlink" Target="http://www.health.gov.au/internet/fr/publishing.nsf/Content/C6995F10A56B5D56CA2581EE00177CA8/$File/LRRSFL2017.pdf" TargetMode="External"/><Relationship Id="rId99" Type="http://schemas.openxmlformats.org/officeDocument/2006/relationships/hyperlink" Target="https://digitalinclusionindex.org.au/wp-content/uploads/2018/08/Australian-digital-inclusion-index-2018.pdf" TargetMode="External"/><Relationship Id="rId101" Type="http://schemas.openxmlformats.org/officeDocument/2006/relationships/hyperlink" Target="http://www.health.gov.au/internet/fr/publishing.nsf/Content/C6995F10A56B5D56CA2581EE00177CA8/$File/LRRSFL2017.pdf" TargetMode="External"/><Relationship Id="rId122" Type="http://schemas.openxmlformats.org/officeDocument/2006/relationships/hyperlink" Target="http://abs.gov.au/ausstats/abs@.nsf/Lookup/4727.0.55.009main+features12012-13" TargetMode="External"/><Relationship Id="rId130" Type="http://schemas.openxmlformats.org/officeDocument/2006/relationships/hyperlink" Target="http://www.abs.gov.au/ausstats/abs@.nsf/Lookup/by%20Subject/4364.0.55.001~2017-18~Main%20Features~Overweight%20and%20obesity~90" TargetMode="External"/><Relationship Id="rId135" Type="http://schemas.openxmlformats.org/officeDocument/2006/relationships/hyperlink" Target="https://www.health.govt.nz/publication/annual-update-key-results-2016-17-new-zealand-health-survey" TargetMode="External"/><Relationship Id="rId143" Type="http://schemas.openxmlformats.org/officeDocument/2006/relationships/hyperlink" Target="http://www.health.gov.au/internet/publications/publishing.nsf/Content/report_nacdh" TargetMode="External"/><Relationship Id="rId148" Type="http://schemas.openxmlformats.org/officeDocument/2006/relationships/hyperlink" Target="https://read.oecd-ilibrary.org/education/building-skills-for-all-in-australia_9789264281110-en" TargetMode="External"/><Relationship Id="rId151" Type="http://schemas.openxmlformats.org/officeDocument/2006/relationships/hyperlink" Target="https://www.aihw.gov.au/reports/australias-health/australias-health-2018/contents/table-of-contents" TargetMode="External"/><Relationship Id="rId156" Type="http://schemas.openxmlformats.org/officeDocument/2006/relationships/hyperlink" Target="https://action.choice.com.au/page/33382/petition/1" TargetMode="External"/><Relationship Id="rId164" Type="http://schemas.openxmlformats.org/officeDocument/2006/relationships/hyperlink" Target="https://digitalinclusionindex.org.au/wp-content/uploads/2018/08/Australian-digital-inclusion-index-2018.pdf" TargetMode="External"/><Relationship Id="rId4" Type="http://schemas.openxmlformats.org/officeDocument/2006/relationships/hyperlink" Target="http://www.health.gov.au/internet/fr/publishing.nsf/Content/sugar-labelling" TargetMode="External"/><Relationship Id="rId9" Type="http://schemas.openxmlformats.org/officeDocument/2006/relationships/hyperlink" Target="http://www.nap.edu/download/10490" TargetMode="External"/><Relationship Id="rId13" Type="http://schemas.openxmlformats.org/officeDocument/2006/relationships/hyperlink" Target="https://www.aihw.gov.au/reports/burden-of-disease/impact-of-overweight-and-obesity-as-a-risk-factor-for-chronic-conditions/contents/table-of-contents" TargetMode="External"/><Relationship Id="rId18" Type="http://schemas.openxmlformats.org/officeDocument/2006/relationships/hyperlink" Target="https://www.gov.uk/government/uploads/system/uploads/attachment_data/file/445503/SACN_Carbohydrates_and_Health.pdf" TargetMode="External"/><Relationship Id="rId39" Type="http://schemas.openxmlformats.org/officeDocument/2006/relationships/hyperlink" Target="http://www.health.gov.au/internet/fr/publishing.nsf/Content/C6995F10A56B5D56CA2581EE00177CA8/$File/LRRSFL2017.pdf" TargetMode="External"/><Relationship Id="rId109" Type="http://schemas.openxmlformats.org/officeDocument/2006/relationships/hyperlink" Target="https://www.health.govt.nz/publication/tatau-kahukura-maori-health-chart-book-2015-3rd-editionhttps:/www.health.govt.nz/publication/tatau-kahukura-maori-health-chart-book-2015-3rd-edition" TargetMode="External"/><Relationship Id="rId34" Type="http://schemas.openxmlformats.org/officeDocument/2006/relationships/hyperlink" Target="http://www.aihw.gov.au/publication-detail/?id=10737421875" TargetMode="External"/><Relationship Id="rId50" Type="http://schemas.openxmlformats.org/officeDocument/2006/relationships/hyperlink" Target="https://www.heartfoundation.org.au/healthy-eating/food-labels" TargetMode="External"/><Relationship Id="rId55" Type="http://schemas.openxmlformats.org/officeDocument/2006/relationships/hyperlink" Target="https://www.woolworths.com.au/shop/discover/healthy-eating/health-star-rating" TargetMode="External"/><Relationship Id="rId76" Type="http://schemas.openxmlformats.org/officeDocument/2006/relationships/hyperlink" Target="https://www.ams.usda.gov/rules-regulations/gmo" TargetMode="External"/><Relationship Id="rId97" Type="http://schemas.openxmlformats.org/officeDocument/2006/relationships/hyperlink" Target="http://landing.deloitte.com.au/rs/761-IBL-328/images/tmt-mobile-consumer-survey-2017_pdf.pdf" TargetMode="External"/><Relationship Id="rId104" Type="http://schemas.openxmlformats.org/officeDocument/2006/relationships/hyperlink" Target="https://www.educationcounts.govt.nz/__data/assets/pdf_file/0010/19495/Overview-and-International-Comparisons.pdf" TargetMode="External"/><Relationship Id="rId120" Type="http://schemas.openxmlformats.org/officeDocument/2006/relationships/hyperlink" Target="http://abs.gov.au/ausstats/abs@.nsf/Lookup/4727.0.55.009main+features12012-13" TargetMode="External"/><Relationship Id="rId125" Type="http://schemas.openxmlformats.org/officeDocument/2006/relationships/hyperlink" Target="https://ourarchive.otago.ac.nz/handle/10523/7204" TargetMode="External"/><Relationship Id="rId141" Type="http://schemas.openxmlformats.org/officeDocument/2006/relationships/hyperlink" Target="https://www.aihw.gov.au/reports/dental-oral-health/oral-health-and-dental-care-in-australia-2015/contents/oral-health-in-australia" TargetMode="External"/><Relationship Id="rId146" Type="http://schemas.openxmlformats.org/officeDocument/2006/relationships/hyperlink" Target="http://www.health.govt.nz/system/files/documents/publications/eating-activity-guidelines-for-new-zealand-adults-oct15_0.pdf" TargetMode="External"/><Relationship Id="rId7" Type="http://schemas.openxmlformats.org/officeDocument/2006/relationships/hyperlink" Target="https://www.srasanz.org/sras/basics-sugar/functionsuses-food" TargetMode="External"/><Relationship Id="rId71" Type="http://schemas.openxmlformats.org/officeDocument/2006/relationships/hyperlink" Target="https://www.canada.ca/en/health-canada/programs/front-of-package-nutrition-labelling/consultation-document.html" TargetMode="External"/><Relationship Id="rId92" Type="http://schemas.openxmlformats.org/officeDocument/2006/relationships/hyperlink" Target="http://www.foodstandards.gov.au/publications/Documents/Consumer%20label%20survey%202015/consumerlabelsurvey2015.pdf" TargetMode="External"/><Relationship Id="rId162" Type="http://schemas.openxmlformats.org/officeDocument/2006/relationships/hyperlink" Target="https://www.legislation.gov.au/Details/C2016B00120/Explanatory%20Memorandum/Text" TargetMode="External"/><Relationship Id="rId2" Type="http://schemas.openxmlformats.org/officeDocument/2006/relationships/hyperlink" Target="http://www.health.gov.au/internet/fr/publishing.nsf/Content/C6995F10A56B5D56CA2581EE00177CA8/$File/LRRSFL2017.pdf" TargetMode="External"/><Relationship Id="rId29" Type="http://schemas.openxmlformats.org/officeDocument/2006/relationships/hyperlink" Target="http://www.abs.gov.au/ausstats/abs@.nsf/Lookup/by%20Subject/4364.0.55.001~2017-18~Main%20Features~Overweight%20and%20obesity~90" TargetMode="External"/><Relationship Id="rId24" Type="http://schemas.openxmlformats.org/officeDocument/2006/relationships/hyperlink" Target="http://www.abs.gov.au/ausstats/abs@.nsf/Lookup/by%20Subject/4364.0.55.011~2011-12~Main%20Features~Consumption%20of%20Added%20Sugars%20-%20A%20comparison%20of%201995%20to%202011-12~20" TargetMode="External"/><Relationship Id="rId40" Type="http://schemas.openxmlformats.org/officeDocument/2006/relationships/hyperlink" Target="http://www.foodstandards.gov.au/science/monitoringnutrients/ausnut/ausnutdatafiles/Pages/foodnutrient.aspx" TargetMode="External"/><Relationship Id="rId45" Type="http://schemas.openxmlformats.org/officeDocument/2006/relationships/hyperlink" Target="https://www.eatforhealth.gov.au/eating-well/how-understand-food-labels" TargetMode="External"/><Relationship Id="rId66" Type="http://schemas.openxmlformats.org/officeDocument/2006/relationships/hyperlink" Target="https://courses.lumenlearning.com/alamo-sociology/chapter/reading-elements-of-culture/" TargetMode="External"/><Relationship Id="rId87" Type="http://schemas.openxmlformats.org/officeDocument/2006/relationships/hyperlink" Target="http://www.foodstandards.gov.au/publications/Documents/Consumer%20label%20survey%202015/consumerlabelsurvey2015.pdf" TargetMode="External"/><Relationship Id="rId110" Type="http://schemas.openxmlformats.org/officeDocument/2006/relationships/hyperlink" Target="https://www.educationcounts.govt.nz/__data/assets/pdf_file/0010/19495/Overview-and-International-Comparisons.pdf" TargetMode="External"/><Relationship Id="rId115" Type="http://schemas.openxmlformats.org/officeDocument/2006/relationships/hyperlink" Target="https://www.mpi.govt.nz/dmsdocument/31632/loggedIn" TargetMode="External"/><Relationship Id="rId131" Type="http://schemas.openxmlformats.org/officeDocument/2006/relationships/hyperlink" Target="http://www.abs.gov.au/ausstats/abs@.nsf/Lookup/by%20Subject/4727.0.55.006~2012%E2%80%9313~Main%20Features~Overweight%20and%20obesity~12" TargetMode="External"/><Relationship Id="rId136" Type="http://schemas.openxmlformats.org/officeDocument/2006/relationships/hyperlink" Target="https://www.health.govt.nz/publication/annual-update-key-results-2016-17-new-zealand-health-survey" TargetMode="External"/><Relationship Id="rId157" Type="http://schemas.openxmlformats.org/officeDocument/2006/relationships/hyperlink" Target="https://www.acma.gov.au/-/media/Diversity-Localism-and-Accessibility/Report/pdf/Industry-selfregulation-of-food-and-beverage-advertising-to-childrenACMA-monitoring-report.PDF?la=en" TargetMode="External"/><Relationship Id="rId61" Type="http://schemas.openxmlformats.org/officeDocument/2006/relationships/hyperlink" Target="https://action.choice.com.au/page/33382/petition/1" TargetMode="External"/><Relationship Id="rId82" Type="http://schemas.openxmlformats.org/officeDocument/2006/relationships/hyperlink" Target="https://www.fda.gov/Food/GuidanceRegulation/GuidanceDocumentsRegulatoryInformation/LabelingNutrition/ucm385663.htm" TargetMode="External"/><Relationship Id="rId152" Type="http://schemas.openxmlformats.org/officeDocument/2006/relationships/hyperlink" Target="https://www.health.govt.nz/publication/tatau-kahukura-maori-health-chart-book-2015-3rd-editionhttps:/www.health.govt.nz/publication/tatau-kahukura-maori-health-chart-book-2015-3rd-edition" TargetMode="External"/><Relationship Id="rId19" Type="http://schemas.openxmlformats.org/officeDocument/2006/relationships/hyperlink" Target="https://health.gov/dietaryguidelines/2015/resources/2015-2020_Dietary_Guidelines.pdf" TargetMode="External"/><Relationship Id="rId14" Type="http://schemas.openxmlformats.org/officeDocument/2006/relationships/hyperlink" Target="http://apps.who.int/iris/bitstream/10665/149782/1/9789241549028_eng.pdf" TargetMode="External"/><Relationship Id="rId30" Type="http://schemas.openxmlformats.org/officeDocument/2006/relationships/hyperlink" Target="http://ihmeuw.org/4qaw" TargetMode="External"/><Relationship Id="rId35" Type="http://schemas.openxmlformats.org/officeDocument/2006/relationships/hyperlink" Target="https://www.ada.org.au/Dental-Professionals/Australia-s-Oral-Health-Tracker/Australia-s-Oral-Health-Tracker-Technical-Appendix/ADA_AHPC_Technical-Appendix_07032018" TargetMode="External"/><Relationship Id="rId56" Type="http://schemas.openxmlformats.org/officeDocument/2006/relationships/hyperlink" Target="https://www.canada.ca/en/health-canada/services/food-labelling-changes.html" TargetMode="External"/><Relationship Id="rId77" Type="http://schemas.openxmlformats.org/officeDocument/2006/relationships/hyperlink" Target="http://www.smartlabel.org/" TargetMode="External"/><Relationship Id="rId100" Type="http://schemas.openxmlformats.org/officeDocument/2006/relationships/hyperlink" Target="https://www.ams.usda.gov/sites/default/files/media/USDADeloitteStudyofElectronicorDigitalDisclosure20170801.pdf" TargetMode="External"/><Relationship Id="rId105" Type="http://schemas.openxmlformats.org/officeDocument/2006/relationships/hyperlink" Target="https://read.oecd-ilibrary.org/education/building-skills-for-all-in-australia_9789264281110-en" TargetMode="External"/><Relationship Id="rId126" Type="http://schemas.openxmlformats.org/officeDocument/2006/relationships/hyperlink" Target="http://ihmeuw.org/4dn0" TargetMode="External"/><Relationship Id="rId147" Type="http://schemas.openxmlformats.org/officeDocument/2006/relationships/hyperlink" Target="https://www.educationcounts.govt.nz/__data/assets/pdf_file/0010/19495/Overview-and-International-Comparisons.pdf" TargetMode="External"/><Relationship Id="rId8" Type="http://schemas.openxmlformats.org/officeDocument/2006/relationships/hyperlink" Target="https://www.federalregister.gov/articles/2014/03/03/2014-04387/food-labeling-revision-of-the-nutrition-and-supplement-facts-labels" TargetMode="External"/><Relationship Id="rId51" Type="http://schemas.openxmlformats.org/officeDocument/2006/relationships/hyperlink" Target="https://www.healthnavigator.org.nz/healthy-living/tips-for-healthy-living/f/food-labels-using" TargetMode="External"/><Relationship Id="rId72" Type="http://schemas.openxmlformats.org/officeDocument/2006/relationships/hyperlink" Target="http://www.health.gov.au/internet/fr/publishing.nsf/Content/C6995F10A56B5D56CA2581EE00177CA8/$File/LRRSFL2017.pdf" TargetMode="External"/><Relationship Id="rId93" Type="http://schemas.openxmlformats.org/officeDocument/2006/relationships/hyperlink" Target="http://www.foodstandards.gov.au/publications/Documents/Consumer%20label%20survey%202015/consumerlabelsurvey2015.pdf" TargetMode="External"/><Relationship Id="rId98" Type="http://schemas.openxmlformats.org/officeDocument/2006/relationships/hyperlink" Target="https://digitalinclusionindex.org.au/wp-content/uploads/2018/08/Australian-digital-inclusion-index-2018.pdf" TargetMode="External"/><Relationship Id="rId121" Type="http://schemas.openxmlformats.org/officeDocument/2006/relationships/hyperlink" Target="http://www.abs.gov.au/ausstats/abs@.nsf/mf/4364.0.55.011" TargetMode="External"/><Relationship Id="rId142" Type="http://schemas.openxmlformats.org/officeDocument/2006/relationships/hyperlink" Target="https://www.ada.org.au/Dental-Professionals/Australia-s-Oral-Health-Tracker/Australia-s-Oral-Health-Tracker-Technical-Appendix/ADA_AHPC_Technical-Appendix_07032018" TargetMode="External"/><Relationship Id="rId163" Type="http://schemas.openxmlformats.org/officeDocument/2006/relationships/hyperlink" Target="https://www.csoonline.com/article/2133890/mobile-security/the-dangers-of-qr-codes-for-security.html" TargetMode="External"/><Relationship Id="rId3" Type="http://schemas.openxmlformats.org/officeDocument/2006/relationships/hyperlink" Target="https://www.foodstandards.gov.au/consumer/labelling/review/Documents/LR12%20Technical%20Evaluation%20Report.pdf" TargetMode="External"/><Relationship Id="rId25" Type="http://schemas.openxmlformats.org/officeDocument/2006/relationships/hyperlink" Target="https://www.pwc.com.au/pdf/weighing-the-cost-of-obesity-final.pdf" TargetMode="External"/><Relationship Id="rId46" Type="http://schemas.openxmlformats.org/officeDocument/2006/relationships/hyperlink" Target="http://www.foodstandards.gov.au/consumer/labelling/Pages/default.aspx." TargetMode="External"/><Relationship Id="rId67" Type="http://schemas.openxmlformats.org/officeDocument/2006/relationships/hyperlink" Target="https://www.unicef.org/ecuador/english/20161122_UNICEF_LACRO_Labeling_Report_LR(3).pdf" TargetMode="External"/><Relationship Id="rId116" Type="http://schemas.openxmlformats.org/officeDocument/2006/relationships/hyperlink" Target="http://www.abs.gov.au/ausstats/abs@.nsf/Lookup/by%20Subject/4364.0.55.011~2011-12~Main%20Features~Key%20Findings~1" TargetMode="External"/><Relationship Id="rId137" Type="http://schemas.openxmlformats.org/officeDocument/2006/relationships/hyperlink" Target="http://www.health.govt.nz/publication/annual-update-key-results-2015-16-new-zealand-health-survey" TargetMode="External"/><Relationship Id="rId158" Type="http://schemas.openxmlformats.org/officeDocument/2006/relationships/hyperlink" Target="http://www.foodstandards.gov.au/publications/Documents/Consumer%20label%20survey%202015/consumerlabelsurvey2015.pdf" TargetMode="External"/><Relationship Id="rId20" Type="http://schemas.openxmlformats.org/officeDocument/2006/relationships/hyperlink" Target="https://www.efsa.europa.eu/en/press/news/170323-0" TargetMode="External"/><Relationship Id="rId41" Type="http://schemas.openxmlformats.org/officeDocument/2006/relationships/hyperlink" Target="http://www.foodstandards.gov.au/science/monitoringnutrients/ausnut/foodnutrient/Pages/Determining-the-amount-of-added-sugars-and-free-sugars-in-foods-listed-in-the-AUSNUT-201113-dataset.aspx" TargetMode="External"/><Relationship Id="rId62" Type="http://schemas.openxmlformats.org/officeDocument/2006/relationships/hyperlink" Target="https://www.fda.gov/Food/GuidanceRegulation/GuidanceDocumentsRegulatoryInformation/LabelingNutrition/ucm385663.htm" TargetMode="External"/><Relationship Id="rId83" Type="http://schemas.openxmlformats.org/officeDocument/2006/relationships/hyperlink" Target="http://www.foodstandards.gov.au/publications/Documents/Consumer%20label%20survey%202015/consumerlabelsurvey2015.pdf" TargetMode="External"/><Relationship Id="rId88" Type="http://schemas.openxmlformats.org/officeDocument/2006/relationships/hyperlink" Target="https://www.bopdhb.govt.nz/media/59458/maori-health-profile-bop-english-.pdf" TargetMode="External"/><Relationship Id="rId111" Type="http://schemas.openxmlformats.org/officeDocument/2006/relationships/hyperlink" Target="https://read.oecd-ilibrary.org/education/building-skills-for-all-in-australia_9789264281110-en" TargetMode="External"/><Relationship Id="rId132" Type="http://schemas.openxmlformats.org/officeDocument/2006/relationships/hyperlink" Target="https://www.pwc.com.au/pdf/weighing-the-cost-of-obesity-final.pdf" TargetMode="External"/><Relationship Id="rId153" Type="http://schemas.openxmlformats.org/officeDocument/2006/relationships/hyperlink" Target="https://www.health.govt.nz/our-work/populations/maori-health/tatau-kahukura-maori-health-statistics/nga-awe-o-te-hauora-socioeconomic-determinants-health/socioeconomic-indicators" TargetMode="External"/></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22" ma:contentTypeDescription="Create a new document." ma:contentTypeScope="" ma:versionID="e757f8389803b7a2635a78da6f44a28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425e735e90bb3b15ca2cfc7d55d74a9d"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element ref="ns2:lcf76f155ced4ddcb4097134ff3c332f" minOccurs="0"/>
                <xsd:element ref="ns3:TaxCatchAll" minOccurs="0"/>
                <xsd:element ref="ns2:MediaServiceObjectDetectorVersions" minOccurs="0"/>
                <xsd:element ref="ns2:Project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Projectidentifier" ma:index="28" nillable="true" ma:displayName="Project identifier" ma:format="Dropdown" ma:internalName="Projectidentifi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e043222-2f0b-4155-99ed-6c139f6a2a22}" ma:internalName="TaxCatchAll" ma:showField="CatchAllData" ma:web="2af0ad07-0ce2-4345-92b0-b87809ef5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f0ad07-0ce2-4345-92b0-b87809ef53a8" xsi:nil="true"/>
    <lcf76f155ced4ddcb4097134ff3c332f xmlns="839094c7-44eb-41ba-bf13-17cd8e527726">
      <Terms xmlns="http://schemas.microsoft.com/office/infopath/2007/PartnerControls"/>
    </lcf76f155ced4ddcb4097134ff3c332f>
    <Projectidentifier xmlns="839094c7-44eb-41ba-bf13-17cd8e527726" xsi:nil="true"/>
    <Website xmlns="839094c7-44eb-41ba-bf13-17cd8e527726" xsi:nil="true"/>
    <sjwf xmlns="839094c7-44eb-41ba-bf13-17cd8e527726" xsi:nil="true"/>
    <Documentstatus xmlns="839094c7-44eb-41ba-bf13-17cd8e527726" xsi:nil="true"/>
    <SharedWithUsers xmlns="2af0ad07-0ce2-4345-92b0-b87809ef53a8">
      <UserInfo>
        <DisplayName/>
        <AccountId xsi:nil="true"/>
        <AccountType/>
      </UserInfo>
    </SharedWithUsers>
    <MediaLengthInSeconds xmlns="839094c7-44eb-41ba-bf13-17cd8e527726" xsi:nil="true"/>
  </documentManagement>
</p:properties>
</file>

<file path=customXml/item5.xml><?xml version="1.0" encoding="utf-8"?>
<sisl xmlns:xsd="http://www.w3.org/2001/XMLSchema" xmlns:xsi="http://www.w3.org/2001/XMLSchema-instance" xmlns="http://www.boldonjames.com/2008/01/sie/internal/label" sislVersion="0" policy="1865c0a7-d648-4a74-80fe-fa9dc7fe13cc" origin="userSelected">
  <element uid="7c13fe2d-c7c1-4f6c-bb3a-8f72249e7201" value=""/>
</sisl>
</file>

<file path=customXml/itemProps1.xml><?xml version="1.0" encoding="utf-8"?>
<ds:datastoreItem xmlns:ds="http://schemas.openxmlformats.org/officeDocument/2006/customXml" ds:itemID="{8B042FA5-1E2B-4070-AB37-43BBB7A8DC48}">
  <ds:schemaRefs>
    <ds:schemaRef ds:uri="http://schemas.openxmlformats.org/officeDocument/2006/bibliography"/>
  </ds:schemaRefs>
</ds:datastoreItem>
</file>

<file path=customXml/itemProps2.xml><?xml version="1.0" encoding="utf-8"?>
<ds:datastoreItem xmlns:ds="http://schemas.openxmlformats.org/officeDocument/2006/customXml" ds:itemID="{D5EF791B-EEFA-4DA8-9D0B-E4A16EC87CFB}"/>
</file>

<file path=customXml/itemProps3.xml><?xml version="1.0" encoding="utf-8"?>
<ds:datastoreItem xmlns:ds="http://schemas.openxmlformats.org/officeDocument/2006/customXml" ds:itemID="{05E15B44-2E32-42CD-95F2-1EA02558CA29}">
  <ds:schemaRefs>
    <ds:schemaRef ds:uri="http://schemas.microsoft.com/sharepoint/v3/contenttype/forms"/>
  </ds:schemaRefs>
</ds:datastoreItem>
</file>

<file path=customXml/itemProps4.xml><?xml version="1.0" encoding="utf-8"?>
<ds:datastoreItem xmlns:ds="http://schemas.openxmlformats.org/officeDocument/2006/customXml" ds:itemID="{CD2F116D-8186-45F3-B890-B5DC5A962400}">
  <ds:schemaRefs>
    <ds:schemaRef ds:uri="http://schemas.microsoft.com/office/2006/metadata/properties"/>
    <ds:schemaRef ds:uri="http://schemas.microsoft.com/office/infopath/2007/PartnerControls"/>
    <ds:schemaRef ds:uri="236487dd-ec90-4f99-8970-1318e5f29791"/>
    <ds:schemaRef ds:uri="dcf7b372-aaaa-46d8-9da6-ade9aab953df"/>
    <ds:schemaRef ds:uri="http://schemas.microsoft.com/sharepoint/v3/fields"/>
  </ds:schemaRefs>
</ds:datastoreItem>
</file>

<file path=customXml/itemProps5.xml><?xml version="1.0" encoding="utf-8"?>
<ds:datastoreItem xmlns:ds="http://schemas.openxmlformats.org/officeDocument/2006/customXml" ds:itemID="{3F977AB3-AF53-43CF-A01D-BC7EA991DD9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38601</Words>
  <Characters>212307</Characters>
  <Application>Microsoft Office Word</Application>
  <DocSecurity>0</DocSecurity>
  <Lines>4423</Lines>
  <Paragraphs>1805</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Labelling of sugars on packaged foods and drinks – Policy paper</vt:lpstr>
      <vt:lpstr>&lt;Contents</vt:lpstr>
      <vt:lpstr>Glossary</vt:lpstr>
      <vt:lpstr>Executive summary</vt:lpstr>
      <vt:lpstr>    Introduction</vt:lpstr>
      <vt:lpstr>    Statement of the problem</vt:lpstr>
      <vt:lpstr>    Objectives</vt:lpstr>
      <vt:lpstr>    Statement of options</vt:lpstr>
      <vt:lpstr>    Stakeholder views in relation to the proposed options</vt:lpstr>
      <vt:lpstr>    Assessment of the options</vt:lpstr>
      <vt:lpstr>    Benefit and impact analysis</vt:lpstr>
      <vt:lpstr>    Food products for which the feasible options would apply</vt:lpstr>
      <vt:lpstr>    Combinations of the feasible options</vt:lpstr>
      <vt:lpstr>    Net benefit</vt:lpstr>
      <vt:lpstr>    Option with greatest potential</vt:lpstr>
      <vt:lpstr>    Implementation</vt:lpstr>
      <vt:lpstr>Introduction</vt:lpstr>
      <vt:lpstr>    Purpose of this paper</vt:lpstr>
      <vt:lpstr>    Scope and terminology</vt:lpstr>
      <vt:lpstr>Background</vt:lpstr>
      <vt:lpstr>Statement of the problem</vt:lpstr>
      <vt:lpstr>    About sugars</vt:lpstr>
      <vt:lpstr>    Health impacts of excessive added sugars consumption</vt:lpstr>
      <vt:lpstr>    Recommendations about intake of sugars in Australia, New Zealand and internation</vt:lpstr>
      <vt:lpstr>    Intakes of added sugars in Australia and New Zealand and associated health outco</vt:lpstr>
      <vt:lpstr>        Costs of obesity and dental caries</vt:lpstr>
      <vt:lpstr>    Labelling for informed choice</vt:lpstr>
      <vt:lpstr>    Current labelling requirements in relation to sugars</vt:lpstr>
      <vt:lpstr>        Mandatory labelling</vt:lpstr>
      <vt:lpstr>        Voluntary labelling</vt:lpstr>
      <vt:lpstr>    Consumer knowledge, attitudes and behaviours relating to sugars</vt:lpstr>
      <vt:lpstr>    Other sources of information about added sugar content of foods in Australia and</vt:lpstr>
      <vt:lpstr>    Current actions that are underway to support reducing intakes of sugars</vt:lpstr>
      <vt:lpstr>Objectives</vt:lpstr>
      <vt:lpstr>Statement of options</vt:lpstr>
      <vt:lpstr>    Option 1: Status quo</vt:lpstr>
      <vt:lpstr>        Description</vt:lpstr>
      <vt:lpstr>    Option 2: Education on how to read and interpret labelling information about sug</vt:lpstr>
      <vt:lpstr>        Description</vt:lpstr>
      <vt:lpstr>        Rationale</vt:lpstr>
      <vt:lpstr>        Current examples</vt:lpstr>
      <vt:lpstr>        Strengths</vt:lpstr>
      <vt:lpstr>        Weaknesses</vt:lpstr>
      <vt:lpstr>    Option 3: Change to statement of ingredients</vt:lpstr>
      <vt:lpstr>        Description</vt:lpstr>
      <vt:lpstr>        Rationale</vt:lpstr>
      <vt:lpstr>        Current examples</vt:lpstr>
      <vt:lpstr>        Strengths</vt:lpstr>
      <vt:lpstr>        Weaknesses</vt:lpstr>
      <vt:lpstr>    Option 4: Added sugars quantified in the NIP</vt:lpstr>
      <vt:lpstr>        Description</vt:lpstr>
      <vt:lpstr>        Rationale</vt:lpstr>
      <vt:lpstr>        Current examples</vt:lpstr>
      <vt:lpstr>        Strengths</vt:lpstr>
      <vt:lpstr>        Weaknesses</vt:lpstr>
    </vt:vector>
  </TitlesOfParts>
  <Manager/>
  <Company/>
  <LinksUpToDate>false</LinksUpToDate>
  <CharactersWithSpaces>249103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Labelling of sugars on packaged foods and drinks – Policy paper</dc:title>
  <dc:subject>Food regulation</dc:subject>
  <dc:creator>Australian Government Department of Health and Aged Care</dc:creator>
  <cp:keywords>Food regulation</cp:keywords>
  <cp:lastModifiedBy/>
  <cp:revision>1</cp:revision>
  <dcterms:created xsi:type="dcterms:W3CDTF">2023-11-28T05:45:00Z</dcterms:created>
  <dcterms:modified xsi:type="dcterms:W3CDTF">2023-11-28T05:47:00Z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r8>1894400</vt:r8>
  </property>
  <property fmtid="{D5CDD505-2E9C-101B-9397-08002B2CF9AE}" pid="4" name="Peerreviewed?">
    <vt:bool>false</vt:bool>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